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186642" w14:textId="77777777" w:rsidR="000C369F" w:rsidRPr="00AF195A" w:rsidRDefault="000C369F" w:rsidP="000C369F">
      <w:pPr>
        <w:pStyle w:val="Heading1"/>
      </w:pPr>
      <w:r w:rsidRPr="00AF195A">
        <w:t>Extended Data Figures</w:t>
      </w:r>
    </w:p>
    <w:p w14:paraId="5117EEBB" w14:textId="77777777" w:rsidR="000C369F" w:rsidRPr="00AF195A" w:rsidRDefault="000C369F" w:rsidP="000C369F">
      <w:pPr>
        <w:pStyle w:val="BodyText"/>
      </w:pPr>
    </w:p>
    <w:p w14:paraId="1E2E6656" w14:textId="77777777" w:rsidR="000C369F" w:rsidRPr="00AF195A" w:rsidRDefault="000C369F" w:rsidP="000C369F">
      <w:pPr>
        <w:keepNext/>
        <w:tabs>
          <w:tab w:val="num" w:pos="0"/>
        </w:tabs>
        <w:spacing w:line="240" w:lineRule="auto"/>
      </w:pPr>
      <w:r w:rsidRPr="00AF195A">
        <w:rPr>
          <w:i/>
          <w:iCs/>
          <w:noProof/>
          <w:lang w:val="es-AR" w:eastAsia="es-AR"/>
        </w:rPr>
        <w:drawing>
          <wp:inline distT="0" distB="0" distL="0" distR="0" wp14:anchorId="07C971B4" wp14:editId="561BB8AB">
            <wp:extent cx="5569527" cy="3959555"/>
            <wp:effectExtent l="0" t="0" r="0" b="3175"/>
            <wp:docPr id="1834268147" name="Picture 183426814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ayout1.tif" descr="Map&#10;&#10;Description automatically generated"/>
                    <pic:cNvPicPr/>
                  </pic:nvPicPr>
                  <pic:blipFill>
                    <a:blip r:embed="rId5" cstate="screen">
                      <a:extLst>
                        <a:ext uri="{28A0092B-C50C-407E-A947-70E740481C1C}">
                          <a14:useLocalDpi xmlns:a14="http://schemas.microsoft.com/office/drawing/2010/main" val="0"/>
                        </a:ext>
                      </a:extLst>
                    </a:blip>
                    <a:stretch>
                      <a:fillRect/>
                    </a:stretch>
                  </pic:blipFill>
                  <pic:spPr>
                    <a:xfrm>
                      <a:off x="0" y="0"/>
                      <a:ext cx="5586639" cy="3971720"/>
                    </a:xfrm>
                    <a:prstGeom prst="rect">
                      <a:avLst/>
                    </a:prstGeom>
                  </pic:spPr>
                </pic:pic>
              </a:graphicData>
            </a:graphic>
          </wp:inline>
        </w:drawing>
      </w:r>
      <w:bookmarkStart w:id="0" w:name="_Ref116988767"/>
      <w:bookmarkStart w:id="1" w:name="_Ref115248513"/>
      <w:bookmarkStart w:id="2" w:name="_Ref116401306"/>
    </w:p>
    <w:p w14:paraId="7518A205" w14:textId="77777777" w:rsidR="000C369F" w:rsidRDefault="000C369F" w:rsidP="000C369F">
      <w:pPr>
        <w:pStyle w:val="Caption"/>
        <w:rPr>
          <w:b/>
          <w:bCs/>
        </w:rPr>
      </w:pPr>
      <w:bookmarkStart w:id="3" w:name="_Ref138679346"/>
    </w:p>
    <w:p w14:paraId="4D0C7D2C" w14:textId="77777777" w:rsidR="000C369F" w:rsidRPr="00AF195A" w:rsidRDefault="000C369F" w:rsidP="000C369F">
      <w:pPr>
        <w:pStyle w:val="Caption"/>
        <w:rPr>
          <w:b/>
          <w:bCs/>
          <w:i w:val="0"/>
          <w:iCs w:val="0"/>
        </w:rPr>
      </w:pPr>
      <w:r w:rsidRPr="00AF195A">
        <w:rPr>
          <w:b/>
          <w:bCs/>
        </w:rPr>
        <w:t xml:space="preserve">Extended Data Figure </w:t>
      </w:r>
      <w:r w:rsidRPr="00AF195A">
        <w:rPr>
          <w:b/>
          <w:bCs/>
        </w:rPr>
        <w:fldChar w:fldCharType="begin"/>
      </w:r>
      <w:r w:rsidRPr="00AF195A">
        <w:rPr>
          <w:b/>
          <w:bCs/>
        </w:rPr>
        <w:instrText xml:space="preserve"> SEQ Extended_Data_Figure \* ARABIC </w:instrText>
      </w:r>
      <w:r w:rsidRPr="00AF195A">
        <w:rPr>
          <w:b/>
          <w:bCs/>
        </w:rPr>
        <w:fldChar w:fldCharType="separate"/>
      </w:r>
      <w:r w:rsidRPr="00AF195A">
        <w:rPr>
          <w:b/>
          <w:bCs/>
          <w:noProof/>
        </w:rPr>
        <w:t>1</w:t>
      </w:r>
      <w:r w:rsidRPr="00AF195A">
        <w:rPr>
          <w:b/>
          <w:bCs/>
        </w:rPr>
        <w:fldChar w:fldCharType="end"/>
      </w:r>
      <w:bookmarkEnd w:id="3"/>
      <w:r w:rsidRPr="00AF195A">
        <w:rPr>
          <w:b/>
          <w:bCs/>
        </w:rPr>
        <w:t>.</w:t>
      </w:r>
      <w:bookmarkEnd w:id="0"/>
      <w:bookmarkEnd w:id="1"/>
      <w:bookmarkEnd w:id="2"/>
      <w:r w:rsidRPr="00AF195A">
        <w:t xml:space="preserve"> Selected provinces (i.e., those where we collected survey data or leaf samples; in red) for assessing K deficiencies in rice-maize systems in Indonesia: North Sumatra (NSU), South Sumatra (SSU), Lampung (LAM), West Java (WJA), Central Java (CJA), East Java (EJA), South Kalimantan (SKA), South Sulawesi (SUL), Gorontalo (GOR), and West Nusa Tenggara (WNT). Locations where survey data were collected are shown with green circles (n = 1147 field-years); included among them there is</w:t>
      </w:r>
      <w:r>
        <w:t xml:space="preserve"> a</w:t>
      </w:r>
      <w:r w:rsidRPr="00AF195A">
        <w:t xml:space="preserve"> subset of fields where crop nutrient status was determined via analysis of leaf nutrient concentration (n = 335 field-years). Triangles show location of on-farm fertility trials for rice (blue) and maize (yellow) whereas location of the rice long-term fertility experiment in WJA is shown with a star. Inset shows rice (green), maize (yellow), and overlapping of both crops area (red) as reported by SPAM2010 (IFPRI, 2019).</w:t>
      </w:r>
    </w:p>
    <w:p w14:paraId="732AD56D" w14:textId="77777777" w:rsidR="000C369F" w:rsidRPr="00AF195A" w:rsidRDefault="000C369F" w:rsidP="000C369F">
      <w:pPr>
        <w:spacing w:after="160" w:line="259" w:lineRule="auto"/>
      </w:pPr>
      <w:r w:rsidRPr="00AF195A">
        <w:br w:type="page"/>
      </w:r>
    </w:p>
    <w:p w14:paraId="4D4AABA3" w14:textId="77777777" w:rsidR="000C369F" w:rsidRPr="00AF195A" w:rsidRDefault="000C369F" w:rsidP="000C369F">
      <w:pPr>
        <w:pStyle w:val="BodyText"/>
        <w:keepNext/>
        <w:spacing w:line="240" w:lineRule="auto"/>
        <w:jc w:val="center"/>
      </w:pPr>
      <w:r w:rsidRPr="00AF195A">
        <w:rPr>
          <w:noProof/>
          <w:lang w:val="es-AR" w:eastAsia="es-AR"/>
        </w:rPr>
        <w:lastRenderedPageBreak/>
        <w:drawing>
          <wp:inline distT="0" distB="0" distL="0" distR="0" wp14:anchorId="00884D65" wp14:editId="080DC3EF">
            <wp:extent cx="5343525" cy="3275638"/>
            <wp:effectExtent l="0" t="0" r="0" b="1270"/>
            <wp:docPr id="2" name="Picture 1" descr="A picture containing text, screenshot, number, font&#10;&#10;Description automatically generated">
              <a:extLst xmlns:a="http://schemas.openxmlformats.org/drawingml/2006/main">
                <a:ext uri="{FF2B5EF4-FFF2-40B4-BE49-F238E27FC236}">
                  <a16:creationId xmlns:a16="http://schemas.microsoft.com/office/drawing/2014/main" id="{FA745D5B-AAAF-44ED-91EC-7240371947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icture containing text, screenshot, number, font&#10;&#10;Description automatically generated">
                      <a:extLst>
                        <a:ext uri="{FF2B5EF4-FFF2-40B4-BE49-F238E27FC236}">
                          <a16:creationId xmlns:a16="http://schemas.microsoft.com/office/drawing/2014/main" id="{FA745D5B-AAAF-44ED-91EC-724037194726}"/>
                        </a:ext>
                      </a:extLst>
                    </pic:cNvPr>
                    <pic:cNvPicPr>
                      <a:picLocks noChangeAspect="1"/>
                    </pic:cNvPicPr>
                  </pic:nvPicPr>
                  <pic:blipFill>
                    <a:blip r:embed="rId6" cstate="screen">
                      <a:extLst>
                        <a:ext uri="{28A0092B-C50C-407E-A947-70E740481C1C}">
                          <a14:useLocalDpi xmlns:a14="http://schemas.microsoft.com/office/drawing/2010/main" val="0"/>
                        </a:ext>
                      </a:extLst>
                    </a:blip>
                    <a:stretch>
                      <a:fillRect/>
                    </a:stretch>
                  </pic:blipFill>
                  <pic:spPr>
                    <a:xfrm>
                      <a:off x="0" y="0"/>
                      <a:ext cx="5343525" cy="3275638"/>
                    </a:xfrm>
                    <a:prstGeom prst="rect">
                      <a:avLst/>
                    </a:prstGeom>
                  </pic:spPr>
                </pic:pic>
              </a:graphicData>
            </a:graphic>
          </wp:inline>
        </w:drawing>
      </w:r>
    </w:p>
    <w:p w14:paraId="44A75B90" w14:textId="77777777" w:rsidR="000C369F" w:rsidRDefault="000C369F" w:rsidP="000C369F">
      <w:pPr>
        <w:pStyle w:val="Caption"/>
        <w:rPr>
          <w:b/>
          <w:bCs/>
        </w:rPr>
      </w:pPr>
      <w:bookmarkStart w:id="4" w:name="_Ref138680217"/>
    </w:p>
    <w:p w14:paraId="63708ADD" w14:textId="77777777" w:rsidR="000C369F" w:rsidRPr="00AF195A" w:rsidRDefault="000C369F" w:rsidP="000C369F">
      <w:pPr>
        <w:pStyle w:val="Caption"/>
      </w:pPr>
      <w:r w:rsidRPr="00AF195A">
        <w:rPr>
          <w:b/>
          <w:bCs/>
        </w:rPr>
        <w:t xml:space="preserve">Extended Data Figure </w:t>
      </w:r>
      <w:r w:rsidRPr="00AF195A">
        <w:rPr>
          <w:b/>
          <w:bCs/>
        </w:rPr>
        <w:fldChar w:fldCharType="begin"/>
      </w:r>
      <w:r w:rsidRPr="00AF195A">
        <w:rPr>
          <w:b/>
          <w:bCs/>
        </w:rPr>
        <w:instrText xml:space="preserve"> SEQ Extended_Data_Figure \* ARABIC </w:instrText>
      </w:r>
      <w:r w:rsidRPr="00AF195A">
        <w:rPr>
          <w:b/>
          <w:bCs/>
        </w:rPr>
        <w:fldChar w:fldCharType="separate"/>
      </w:r>
      <w:r w:rsidRPr="00AF195A">
        <w:rPr>
          <w:b/>
          <w:bCs/>
          <w:noProof/>
        </w:rPr>
        <w:t>2</w:t>
      </w:r>
      <w:r w:rsidRPr="00AF195A">
        <w:rPr>
          <w:b/>
          <w:bCs/>
        </w:rPr>
        <w:fldChar w:fldCharType="end"/>
      </w:r>
      <w:bookmarkEnd w:id="4"/>
      <w:r w:rsidRPr="00AF195A">
        <w:rPr>
          <w:b/>
          <w:bCs/>
        </w:rPr>
        <w:t>.</w:t>
      </w:r>
      <w:r w:rsidRPr="00AF195A">
        <w:t xml:space="preserve"> Selected 13 rice-maize cropping systems in each province. Color indicates water regime: irrigated (green), and rainfed (yellow). In some double-rice crop systems, an additional third rice crop was planted in some fields (dashed boxes). See Figure 1 for full province names and geographical location.</w:t>
      </w:r>
    </w:p>
    <w:p w14:paraId="6F8C1B2C" w14:textId="77777777" w:rsidR="000C369F" w:rsidRPr="00AF195A" w:rsidRDefault="000C369F" w:rsidP="000C369F">
      <w:pPr>
        <w:spacing w:after="160" w:line="259" w:lineRule="auto"/>
        <w:rPr>
          <w:i/>
          <w:iCs/>
        </w:rPr>
      </w:pPr>
      <w:r w:rsidRPr="00AF195A">
        <w:br w:type="page"/>
      </w:r>
    </w:p>
    <w:p w14:paraId="6CFB4D7C" w14:textId="77777777" w:rsidR="000C369F" w:rsidRPr="00AF195A" w:rsidRDefault="000C369F" w:rsidP="000C369F">
      <w:pPr>
        <w:pStyle w:val="Caption"/>
        <w:keepNext/>
        <w:tabs>
          <w:tab w:val="num" w:pos="0"/>
        </w:tabs>
        <w:jc w:val="center"/>
      </w:pPr>
      <w:r w:rsidRPr="00AF195A">
        <w:rPr>
          <w:noProof/>
          <w:lang w:val="es-AR" w:eastAsia="es-AR"/>
        </w:rPr>
        <w:lastRenderedPageBreak/>
        <w:drawing>
          <wp:inline distT="0" distB="0" distL="0" distR="0" wp14:anchorId="132249B2" wp14:editId="2571F48A">
            <wp:extent cx="3448175" cy="6465329"/>
            <wp:effectExtent l="0" t="0" r="0" b="0"/>
            <wp:docPr id="2032707639" name="Picture 2032707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707639" name="Picture 2032707639"/>
                    <pic:cNvPicPr/>
                  </pic:nvPicPr>
                  <pic:blipFill>
                    <a:blip r:embed="rId7" cstate="screen">
                      <a:extLst>
                        <a:ext uri="{28A0092B-C50C-407E-A947-70E740481C1C}">
                          <a14:useLocalDpi xmlns:a14="http://schemas.microsoft.com/office/drawing/2010/main" val="0"/>
                        </a:ext>
                      </a:extLst>
                    </a:blip>
                    <a:stretch>
                      <a:fillRect/>
                    </a:stretch>
                  </pic:blipFill>
                  <pic:spPr>
                    <a:xfrm>
                      <a:off x="0" y="0"/>
                      <a:ext cx="3448175" cy="6465329"/>
                    </a:xfrm>
                    <a:prstGeom prst="rect">
                      <a:avLst/>
                    </a:prstGeom>
                  </pic:spPr>
                </pic:pic>
              </a:graphicData>
            </a:graphic>
          </wp:inline>
        </w:drawing>
      </w:r>
    </w:p>
    <w:p w14:paraId="7FD87A77" w14:textId="77777777" w:rsidR="000C369F" w:rsidRPr="00AF195A" w:rsidRDefault="000C369F" w:rsidP="000C369F">
      <w:pPr>
        <w:pStyle w:val="Caption"/>
        <w:rPr>
          <w:b/>
          <w:bCs/>
        </w:rPr>
      </w:pPr>
      <w:bookmarkStart w:id="5" w:name="_Ref138679794"/>
      <w:r w:rsidRPr="00AF195A">
        <w:rPr>
          <w:b/>
          <w:bCs/>
        </w:rPr>
        <w:t xml:space="preserve">Extended Data Figure </w:t>
      </w:r>
      <w:r w:rsidRPr="00AF195A">
        <w:rPr>
          <w:b/>
          <w:bCs/>
        </w:rPr>
        <w:fldChar w:fldCharType="begin"/>
      </w:r>
      <w:r w:rsidRPr="00AF195A">
        <w:rPr>
          <w:b/>
          <w:bCs/>
        </w:rPr>
        <w:instrText xml:space="preserve"> SEQ Extended_Data_Figure \* ARABIC </w:instrText>
      </w:r>
      <w:r w:rsidRPr="00AF195A">
        <w:rPr>
          <w:b/>
          <w:bCs/>
        </w:rPr>
        <w:fldChar w:fldCharType="separate"/>
      </w:r>
      <w:r w:rsidRPr="00AF195A">
        <w:rPr>
          <w:b/>
          <w:bCs/>
          <w:noProof/>
        </w:rPr>
        <w:t>3</w:t>
      </w:r>
      <w:r w:rsidRPr="00AF195A">
        <w:rPr>
          <w:b/>
          <w:bCs/>
        </w:rPr>
        <w:fldChar w:fldCharType="end"/>
      </w:r>
      <w:bookmarkEnd w:id="5"/>
      <w:r w:rsidRPr="00AF195A">
        <w:rPr>
          <w:b/>
          <w:bCs/>
        </w:rPr>
        <w:t xml:space="preserve">. </w:t>
      </w:r>
      <w:r w:rsidRPr="00AF195A">
        <w:t xml:space="preserve">Annual nitrogen (N), phosphorus (P), and potassium (K) balances by cropping sequence in Indonesia. The dominant crop systems in each province are shown, as determined by the environments (upland, lowland, tidal) and crop intensity (single, double, triple cropping) for rice (R) and maize (M). Boxes delimit first and third quartiles. </w:t>
      </w:r>
      <w:r w:rsidRPr="002E27E3">
        <w:t>Solid line inside the box indicates the median, while the cross represents the mean.</w:t>
      </w:r>
      <w:r w:rsidRPr="00AF195A">
        <w:t xml:space="preserve"> The upper and lower end of vertical lines represents the 10 and 90</w:t>
      </w:r>
      <w:r w:rsidRPr="00AF195A">
        <w:rPr>
          <w:vertAlign w:val="superscript"/>
        </w:rPr>
        <w:t>th</w:t>
      </w:r>
      <w:r w:rsidRPr="00AF195A">
        <w:t xml:space="preserve"> percentiles. The upper and lower points represent the 5 and 95</w:t>
      </w:r>
      <w:r w:rsidRPr="00AF195A">
        <w:rPr>
          <w:vertAlign w:val="superscript"/>
        </w:rPr>
        <w:t>th</w:t>
      </w:r>
      <w:r w:rsidRPr="00AF195A">
        <w:t xml:space="preserve"> percentiles. </w:t>
      </w:r>
      <w:r>
        <w:t>H</w:t>
      </w:r>
      <w:r w:rsidRPr="00AF195A">
        <w:t xml:space="preserve">orizontal </w:t>
      </w:r>
      <w:r>
        <w:t>d</w:t>
      </w:r>
      <w:r w:rsidRPr="006838DF">
        <w:t>ashed</w:t>
      </w:r>
      <w:r>
        <w:t xml:space="preserve"> line</w:t>
      </w:r>
      <w:r w:rsidRPr="00AF195A">
        <w:t xml:space="preserve"> represents a zero-nutrient balance and is shown as a reference. See Extended Data Figure 1-2 for a map showing location of each province, associated full name, and dominant crop sequence.</w:t>
      </w:r>
    </w:p>
    <w:p w14:paraId="2EDF2124" w14:textId="77777777" w:rsidR="000C369F" w:rsidRDefault="000C369F" w:rsidP="000C369F">
      <w:pPr>
        <w:spacing w:after="160" w:line="259" w:lineRule="auto"/>
        <w:sectPr w:rsidR="000C369F" w:rsidSect="00F070DA">
          <w:footerReference w:type="default" r:id="rId8"/>
          <w:pgSz w:w="12240" w:h="15840"/>
          <w:pgMar w:top="1440" w:right="1440" w:bottom="1440" w:left="1440" w:header="720" w:footer="720" w:gutter="0"/>
          <w:lnNumType w:countBy="1" w:restart="continuous"/>
          <w:cols w:space="720"/>
          <w:docGrid w:linePitch="360"/>
        </w:sectPr>
      </w:pPr>
    </w:p>
    <w:p w14:paraId="410729EF" w14:textId="77777777" w:rsidR="000C369F" w:rsidRDefault="000C369F" w:rsidP="000C369F">
      <w:pPr>
        <w:pStyle w:val="Heading1"/>
      </w:pPr>
      <w:bookmarkStart w:id="6" w:name="_Ref139547815"/>
      <w:bookmarkStart w:id="7" w:name="_Ref139622852"/>
      <w:r w:rsidRPr="00AF195A">
        <w:lastRenderedPageBreak/>
        <w:t>Supplementary Information</w:t>
      </w:r>
      <w:bookmarkEnd w:id="6"/>
      <w:bookmarkEnd w:id="7"/>
      <w:r>
        <w:t xml:space="preserve"> for Rizzo et al.</w:t>
      </w:r>
    </w:p>
    <w:p w14:paraId="4AE09715" w14:textId="77777777" w:rsidR="000C369F" w:rsidRPr="00143EED" w:rsidRDefault="000C369F" w:rsidP="000C369F">
      <w:pPr>
        <w:pStyle w:val="BodyText"/>
      </w:pPr>
    </w:p>
    <w:p w14:paraId="2510D1A1" w14:textId="77777777" w:rsidR="000C369F" w:rsidRDefault="000C369F" w:rsidP="000C369F">
      <w:pPr>
        <w:tabs>
          <w:tab w:val="num" w:pos="0"/>
        </w:tabs>
        <w:rPr>
          <w:b/>
          <w:bCs/>
        </w:rPr>
      </w:pPr>
      <w:r>
        <w:rPr>
          <w:b/>
          <w:bCs/>
        </w:rPr>
        <w:t xml:space="preserve">Section </w:t>
      </w:r>
      <w:r w:rsidRPr="00143EED">
        <w:rPr>
          <w:b/>
          <w:bCs/>
        </w:rPr>
        <w:t>S1. Calculation of nutrient removal and losses…………</w:t>
      </w:r>
      <w:r>
        <w:rPr>
          <w:b/>
          <w:bCs/>
        </w:rPr>
        <w:t>………</w:t>
      </w:r>
      <w:r w:rsidRPr="00143EED">
        <w:rPr>
          <w:b/>
          <w:bCs/>
        </w:rPr>
        <w:t xml:space="preserve">……………………. </w:t>
      </w:r>
      <w:r>
        <w:rPr>
          <w:b/>
          <w:bCs/>
        </w:rPr>
        <w:t>2</w:t>
      </w:r>
    </w:p>
    <w:p w14:paraId="1146CE87" w14:textId="77777777" w:rsidR="000C369F" w:rsidRDefault="000C369F" w:rsidP="000C369F">
      <w:pPr>
        <w:tabs>
          <w:tab w:val="num" w:pos="0"/>
        </w:tabs>
        <w:rPr>
          <w:b/>
          <w:bCs/>
        </w:rPr>
      </w:pPr>
      <w:r>
        <w:rPr>
          <w:b/>
          <w:bCs/>
        </w:rPr>
        <w:t xml:space="preserve">Section </w:t>
      </w:r>
      <w:r w:rsidRPr="00143EED">
        <w:rPr>
          <w:b/>
          <w:bCs/>
        </w:rPr>
        <w:t>S</w:t>
      </w:r>
      <w:r>
        <w:rPr>
          <w:b/>
          <w:bCs/>
        </w:rPr>
        <w:t>2</w:t>
      </w:r>
      <w:r w:rsidRPr="00143EED">
        <w:rPr>
          <w:b/>
          <w:bCs/>
        </w:rPr>
        <w:t xml:space="preserve">. </w:t>
      </w:r>
      <w:r w:rsidRPr="00E0624B">
        <w:rPr>
          <w:b/>
          <w:bCs/>
        </w:rPr>
        <w:t>Assessing strategies to increase K fertilizer rates</w:t>
      </w:r>
      <w:r>
        <w:rPr>
          <w:b/>
          <w:bCs/>
        </w:rPr>
        <w:t>…………………….………….. 3</w:t>
      </w:r>
    </w:p>
    <w:p w14:paraId="646DDDFE" w14:textId="77777777" w:rsidR="000C369F" w:rsidRPr="00143EED" w:rsidRDefault="000C369F" w:rsidP="000C369F">
      <w:pPr>
        <w:tabs>
          <w:tab w:val="num" w:pos="0"/>
        </w:tabs>
        <w:rPr>
          <w:b/>
          <w:bCs/>
        </w:rPr>
      </w:pPr>
      <w:r>
        <w:rPr>
          <w:b/>
          <w:bCs/>
        </w:rPr>
        <w:t>Supplementary Table S1 …………………………….……………………………..………….. 5</w:t>
      </w:r>
    </w:p>
    <w:p w14:paraId="65EA4804" w14:textId="77777777" w:rsidR="000C369F" w:rsidRPr="00143EED" w:rsidRDefault="000C369F" w:rsidP="000C369F">
      <w:pPr>
        <w:tabs>
          <w:tab w:val="num" w:pos="0"/>
        </w:tabs>
        <w:rPr>
          <w:b/>
          <w:bCs/>
        </w:rPr>
      </w:pPr>
      <w:r>
        <w:rPr>
          <w:b/>
          <w:bCs/>
        </w:rPr>
        <w:t>Supplementary Table S2 …………………………….………………….………….………….. 6</w:t>
      </w:r>
    </w:p>
    <w:p w14:paraId="67D9AD1F" w14:textId="77777777" w:rsidR="000C369F" w:rsidRPr="00295ADA" w:rsidRDefault="000C369F" w:rsidP="000C369F">
      <w:pPr>
        <w:tabs>
          <w:tab w:val="num" w:pos="0"/>
        </w:tabs>
        <w:rPr>
          <w:b/>
          <w:bCs/>
        </w:rPr>
      </w:pPr>
      <w:r w:rsidRPr="00295ADA">
        <w:rPr>
          <w:b/>
          <w:bCs/>
        </w:rPr>
        <w:t>Additional references associated with Supplementary Information</w:t>
      </w:r>
      <w:r>
        <w:rPr>
          <w:b/>
          <w:bCs/>
        </w:rPr>
        <w:t>…….………………….. 7</w:t>
      </w:r>
    </w:p>
    <w:p w14:paraId="24D37F24" w14:textId="77777777" w:rsidR="000C369F" w:rsidRPr="00143EED" w:rsidRDefault="000C369F" w:rsidP="000C369F">
      <w:pPr>
        <w:tabs>
          <w:tab w:val="num" w:pos="0"/>
        </w:tabs>
        <w:rPr>
          <w:b/>
          <w:bCs/>
        </w:rPr>
      </w:pPr>
    </w:p>
    <w:p w14:paraId="60C14BBD" w14:textId="77777777" w:rsidR="000C369F" w:rsidRPr="00143EED" w:rsidRDefault="000C369F" w:rsidP="000C369F">
      <w:pPr>
        <w:pStyle w:val="BodyText"/>
      </w:pPr>
    </w:p>
    <w:p w14:paraId="72836C52" w14:textId="77777777" w:rsidR="000C369F" w:rsidRDefault="000C369F" w:rsidP="000C369F">
      <w:pPr>
        <w:pStyle w:val="BodyText"/>
      </w:pPr>
    </w:p>
    <w:p w14:paraId="36DF7DC0" w14:textId="77777777" w:rsidR="000C369F" w:rsidRDefault="000C369F" w:rsidP="000C369F">
      <w:pPr>
        <w:pStyle w:val="BodyText"/>
      </w:pPr>
    </w:p>
    <w:p w14:paraId="36E8013F" w14:textId="77777777" w:rsidR="000C369F" w:rsidRDefault="000C369F" w:rsidP="000C369F">
      <w:pPr>
        <w:pStyle w:val="BodyText"/>
        <w:sectPr w:rsidR="000C369F" w:rsidSect="00143EED">
          <w:footerReference w:type="default" r:id="rId9"/>
          <w:pgSz w:w="12240" w:h="15840"/>
          <w:pgMar w:top="1440" w:right="1440" w:bottom="1440" w:left="1440" w:header="720" w:footer="720" w:gutter="0"/>
          <w:lnNumType w:countBy="1" w:restart="continuous"/>
          <w:pgNumType w:start="1"/>
          <w:cols w:space="720"/>
          <w:docGrid w:linePitch="360"/>
        </w:sectPr>
      </w:pPr>
    </w:p>
    <w:p w14:paraId="7D84A733" w14:textId="77777777" w:rsidR="000C369F" w:rsidRPr="00295ADA" w:rsidRDefault="000C369F" w:rsidP="000C369F">
      <w:pPr>
        <w:tabs>
          <w:tab w:val="num" w:pos="0"/>
        </w:tabs>
        <w:rPr>
          <w:b/>
          <w:bCs/>
          <w:i/>
          <w:iCs/>
        </w:rPr>
      </w:pPr>
      <w:r>
        <w:rPr>
          <w:b/>
          <w:bCs/>
          <w:i/>
          <w:iCs/>
        </w:rPr>
        <w:lastRenderedPageBreak/>
        <w:t xml:space="preserve">S1. </w:t>
      </w:r>
      <w:r w:rsidRPr="00295ADA">
        <w:rPr>
          <w:b/>
          <w:bCs/>
          <w:i/>
          <w:iCs/>
        </w:rPr>
        <w:t>Calculation of nutrient removal and losses</w:t>
      </w:r>
    </w:p>
    <w:p w14:paraId="650F3D25" w14:textId="77777777" w:rsidR="000C369F" w:rsidRPr="00295ADA" w:rsidRDefault="000C369F" w:rsidP="000C369F">
      <w:pPr>
        <w:tabs>
          <w:tab w:val="num" w:pos="0"/>
        </w:tabs>
      </w:pPr>
    </w:p>
    <w:p w14:paraId="14A9AAC2" w14:textId="77777777" w:rsidR="000C369F" w:rsidRPr="00295ADA" w:rsidRDefault="000C369F" w:rsidP="000C369F">
      <w:pPr>
        <w:tabs>
          <w:tab w:val="num" w:pos="0"/>
        </w:tabs>
      </w:pPr>
      <w:r w:rsidRPr="00295ADA">
        <w:t>Nutrient removal with harvested grain per hectare was determined for each crop based on the grain dry matter (GDM) and associated nutrient concentration (GNC) as follows:</w:t>
      </w:r>
    </w:p>
    <w:p w14:paraId="4C0880AF" w14:textId="77777777" w:rsidR="000C369F" w:rsidRPr="00295ADA" w:rsidRDefault="000C369F" w:rsidP="000C369F">
      <w:pPr>
        <w:tabs>
          <w:tab w:val="num" w:pos="0"/>
        </w:tabs>
      </w:pPr>
    </w:p>
    <w:p w14:paraId="7D3D99DB" w14:textId="77777777" w:rsidR="000C369F" w:rsidRPr="00295ADA" w:rsidRDefault="000C369F" w:rsidP="000C369F">
      <w:pPr>
        <w:tabs>
          <w:tab w:val="num" w:pos="0"/>
        </w:tabs>
      </w:pPr>
      <m:oMath>
        <m:r>
          <m:rPr>
            <m:sty m:val="p"/>
          </m:rPr>
          <w:rPr>
            <w:rFonts w:ascii="Cambria Math" w:hAnsi="Cambria Math"/>
            <w:vertAlign w:val="subscript"/>
          </w:rPr>
          <m:t>H=GDM×GNC</m:t>
        </m:r>
      </m:oMath>
      <w:r w:rsidRPr="00295ADA">
        <w:rPr>
          <w:vertAlign w:val="subscript"/>
        </w:rPr>
        <w:t xml:space="preserve"> </w:t>
      </w:r>
      <w:r w:rsidRPr="00295ADA">
        <w:t xml:space="preserve">                                                                                                         Eq. 4</w:t>
      </w:r>
    </w:p>
    <w:p w14:paraId="3F44500F" w14:textId="77777777" w:rsidR="000C369F" w:rsidRPr="00295ADA" w:rsidRDefault="000C369F" w:rsidP="000C369F">
      <w:pPr>
        <w:tabs>
          <w:tab w:val="num" w:pos="0"/>
        </w:tabs>
      </w:pPr>
      <w:r w:rsidRPr="00295ADA">
        <w:t>The GNC used for rice were 0.0106 kg N per kg of GDM, 0.0021 kg P per kg of GDM, and 0.0027 kg K per kg of GDM</w:t>
      </w:r>
      <w:r w:rsidRPr="00295ADA">
        <w:rPr>
          <w:rFonts w:eastAsiaTheme="minorHAnsi"/>
          <w:vertAlign w:val="superscript"/>
          <w:lang w:eastAsia="en-US"/>
          <w14:ligatures w14:val="standardContextual"/>
        </w:rPr>
        <w:t>1</w:t>
      </w:r>
      <w:r w:rsidRPr="00295ADA">
        <w:t>. In the case of maize, the GNC used were 0.0106 kg N per kg of GDM, 0.0021 kg P per kg of GDM, and 0.0045 kg K per kg of GDM</w:t>
      </w:r>
      <w:r w:rsidRPr="00295ADA">
        <w:rPr>
          <w:rFonts w:eastAsiaTheme="minorHAnsi"/>
          <w:vertAlign w:val="superscript"/>
          <w:lang w:eastAsia="en-US"/>
          <w14:ligatures w14:val="standardContextual"/>
        </w:rPr>
        <w:t>2</w:t>
      </w:r>
      <w:r w:rsidRPr="00295ADA">
        <w:t>. We note that gra</w:t>
      </w:r>
      <w:r>
        <w:t>i</w:t>
      </w:r>
      <w:r w:rsidRPr="00295ADA">
        <w:t>n N removal depends mostly on yield rather than GNC; hence, variation in GNC will have a minor impact on our nutrient balances</w:t>
      </w:r>
      <w:r w:rsidRPr="00295ADA">
        <w:rPr>
          <w:rFonts w:eastAsiaTheme="minorHAnsi"/>
          <w:vertAlign w:val="superscript"/>
          <w:lang w:eastAsia="en-US"/>
          <w14:ligatures w14:val="standardContextual"/>
        </w:rPr>
        <w:t>1,3</w:t>
      </w:r>
      <w:r w:rsidRPr="00295ADA">
        <w:t>. Nutrient removal with straw was estimated based on grain yield and straw management, and published data on straw nutrient concentration (SNC) as follows:</w:t>
      </w:r>
    </w:p>
    <w:p w14:paraId="3AC01FB3" w14:textId="77777777" w:rsidR="000C369F" w:rsidRPr="00295ADA" w:rsidRDefault="000C369F" w:rsidP="000C369F">
      <w:pPr>
        <w:tabs>
          <w:tab w:val="num" w:pos="0"/>
        </w:tabs>
      </w:pPr>
    </w:p>
    <w:p w14:paraId="778CDE1B" w14:textId="77777777" w:rsidR="000C369F" w:rsidRPr="00295ADA" w:rsidRDefault="000C369F" w:rsidP="000C369F">
      <w:pPr>
        <w:tabs>
          <w:tab w:val="num" w:pos="0"/>
        </w:tabs>
      </w:pPr>
      <m:oMath>
        <m:r>
          <m:rPr>
            <m:sty m:val="p"/>
          </m:rPr>
          <w:rPr>
            <w:rFonts w:ascii="Cambria Math" w:hAnsi="Cambria Math"/>
            <w:vertAlign w:val="subscript"/>
          </w:rPr>
          <m:t>S</m:t>
        </m:r>
        <m:r>
          <w:rPr>
            <w:rFonts w:ascii="Cambria Math" w:hAnsi="Cambria Math"/>
            <w:vertAlign w:val="subscript"/>
          </w:rPr>
          <m:t>=</m:t>
        </m:r>
        <m:d>
          <m:dPr>
            <m:ctrlPr>
              <w:rPr>
                <w:rFonts w:ascii="Cambria Math" w:hAnsi="Cambria Math"/>
                <w:i/>
                <w:vertAlign w:val="subscript"/>
              </w:rPr>
            </m:ctrlPr>
          </m:dPr>
          <m:e>
            <m:f>
              <m:fPr>
                <m:ctrlPr>
                  <w:rPr>
                    <w:rFonts w:ascii="Cambria Math" w:hAnsi="Cambria Math"/>
                    <w:i/>
                    <w:vertAlign w:val="subscript"/>
                  </w:rPr>
                </m:ctrlPr>
              </m:fPr>
              <m:num>
                <m:r>
                  <w:rPr>
                    <w:rFonts w:ascii="Cambria Math" w:hAnsi="Cambria Math"/>
                    <w:vertAlign w:val="subscript"/>
                  </w:rPr>
                  <m:t>GDM</m:t>
                </m:r>
              </m:num>
              <m:den>
                <m:r>
                  <w:rPr>
                    <w:rFonts w:ascii="Cambria Math" w:hAnsi="Cambria Math"/>
                    <w:vertAlign w:val="subscript"/>
                  </w:rPr>
                  <m:t>HI</m:t>
                </m:r>
              </m:den>
            </m:f>
            <m:r>
              <w:rPr>
                <w:rFonts w:ascii="Cambria Math" w:hAnsi="Cambria Math"/>
                <w:vertAlign w:val="subscript"/>
              </w:rPr>
              <m:t>–GDM</m:t>
            </m:r>
          </m:e>
        </m:d>
        <m:r>
          <w:rPr>
            <w:rFonts w:ascii="Cambria Math" w:hAnsi="Cambria Math"/>
            <w:vertAlign w:val="subscript"/>
          </w:rPr>
          <m:t>×SNC×FSL</m:t>
        </m:r>
      </m:oMath>
      <w:r w:rsidRPr="00295ADA">
        <w:rPr>
          <w:vertAlign w:val="subscript"/>
        </w:rPr>
        <w:t xml:space="preserve">                                                                                                                         </w:t>
      </w:r>
      <w:r w:rsidRPr="00295ADA">
        <w:t>Eq. 5</w:t>
      </w:r>
    </w:p>
    <w:p w14:paraId="7231A7F8" w14:textId="77777777" w:rsidR="000C369F" w:rsidRPr="00295ADA" w:rsidRDefault="000C369F" w:rsidP="000C369F">
      <w:pPr>
        <w:tabs>
          <w:tab w:val="num" w:pos="0"/>
        </w:tabs>
      </w:pPr>
      <w:r w:rsidRPr="00295ADA">
        <w:t>where HI is grain harvest index (kg of grain per kg of total above-ground dry matter), SNC is the nutrient concentration in straw expressed in kg nutrient per kg of straw dry matter, and FSL is the fraction of total crop residue that is withdraw</w:t>
      </w:r>
      <w:r>
        <w:t>n</w:t>
      </w:r>
      <w:r w:rsidRPr="00295ADA">
        <w:t xml:space="preserve"> from the field during harvest. We assumed an average HI of 0.5 (rice) and 0.45 (maize) based on Dobermann and Fairhurst</w:t>
      </w:r>
      <w:r w:rsidRPr="00295ADA">
        <w:rPr>
          <w:rFonts w:eastAsiaTheme="minorHAnsi"/>
          <w:vertAlign w:val="superscript"/>
          <w:lang w:eastAsia="en-US"/>
          <w14:ligatures w14:val="standardContextual"/>
        </w:rPr>
        <w:t>1</w:t>
      </w:r>
      <w:r w:rsidRPr="00295ADA">
        <w:t xml:space="preserve"> and Setiyono et al.</w:t>
      </w:r>
      <w:r w:rsidRPr="00295ADA">
        <w:rPr>
          <w:rFonts w:eastAsiaTheme="minorHAnsi"/>
          <w:vertAlign w:val="superscript"/>
          <w:lang w:eastAsia="en-US"/>
          <w14:ligatures w14:val="standardContextual"/>
        </w:rPr>
        <w:t>2</w:t>
      </w:r>
      <w:r w:rsidRPr="00295ADA">
        <w:t>. For rice, we assumed SNC to be 0.0063 kg N, 0.001 kg P, and 0.0139 kg K per kg of straw dry matter following Dobermann and Fairhurst</w:t>
      </w:r>
      <w:r w:rsidRPr="00295ADA">
        <w:rPr>
          <w:rFonts w:eastAsiaTheme="minorHAnsi"/>
          <w:vertAlign w:val="superscript"/>
          <w:lang w:eastAsia="en-US"/>
          <w14:ligatures w14:val="standardContextual"/>
        </w:rPr>
        <w:t>1</w:t>
      </w:r>
      <w:r w:rsidRPr="00295ADA">
        <w:t>. In the case of maize, we assumed 0.0059 kg N, 0.0006 kg, and 0.0143 kg K per kg of straw dry matter based on Setiyono et al.</w:t>
      </w:r>
      <w:r w:rsidRPr="00295ADA">
        <w:rPr>
          <w:rFonts w:eastAsiaTheme="minorHAnsi"/>
          <w:vertAlign w:val="superscript"/>
          <w:lang w:eastAsia="en-US"/>
          <w14:ligatures w14:val="standardContextual"/>
        </w:rPr>
        <w:t>2</w:t>
      </w:r>
      <w:r w:rsidRPr="00295ADA">
        <w:t xml:space="preserve">. Finally, we assumed FSL to be 0.9 when farmer reported straw removal from the field, and 0.5 when farmer </w:t>
      </w:r>
      <w:r w:rsidRPr="00295ADA">
        <w:lastRenderedPageBreak/>
        <w:t>reported that the straw was left in the field</w:t>
      </w:r>
      <w:r w:rsidRPr="00295ADA">
        <w:rPr>
          <w:rFonts w:eastAsiaTheme="minorHAnsi"/>
          <w:vertAlign w:val="superscript"/>
          <w:lang w:eastAsia="en-US"/>
          <w14:ligatures w14:val="standardContextual"/>
        </w:rPr>
        <w:t>4</w:t>
      </w:r>
      <w:r w:rsidRPr="00295ADA">
        <w:t>. We note that even if straw is left in the field after harvest, a substantial fraction is lost due to animal fe</w:t>
      </w:r>
      <w:r>
        <w:t>e</w:t>
      </w:r>
      <w:r w:rsidRPr="00295ADA">
        <w:t>d, burning, and harvesting for other losses.</w:t>
      </w:r>
    </w:p>
    <w:p w14:paraId="7605C02A" w14:textId="77777777" w:rsidR="000C369F" w:rsidRPr="00295ADA" w:rsidRDefault="000C369F" w:rsidP="000C369F">
      <w:pPr>
        <w:tabs>
          <w:tab w:val="num" w:pos="0"/>
        </w:tabs>
      </w:pPr>
    </w:p>
    <w:p w14:paraId="55A9FAD3" w14:textId="77777777" w:rsidR="000C369F" w:rsidRPr="00295ADA" w:rsidRDefault="000C369F" w:rsidP="000C369F">
      <w:pPr>
        <w:tabs>
          <w:tab w:val="num" w:pos="0"/>
        </w:tabs>
      </w:pPr>
      <w:r w:rsidRPr="00295ADA">
        <w:t>Following Dobermann et al.</w:t>
      </w:r>
      <w:r w:rsidRPr="00295ADA">
        <w:rPr>
          <w:rFonts w:eastAsiaTheme="minorHAnsi"/>
          <w:vertAlign w:val="superscript"/>
          <w:lang w:eastAsia="en-US"/>
          <w14:ligatures w14:val="standardContextual"/>
        </w:rPr>
        <w:t>4</w:t>
      </w:r>
      <w:r w:rsidRPr="00295ADA">
        <w:t xml:space="preserve">, losses </w:t>
      </w:r>
      <w:r w:rsidRPr="00295ADA">
        <w:rPr>
          <w:i/>
          <w:iCs/>
        </w:rPr>
        <w:t>via</w:t>
      </w:r>
      <w:r w:rsidRPr="00295ADA">
        <w:t xml:space="preserve"> leaching or burning of straw retained in the field were estimated based on the farmer-reported straw management:</w:t>
      </w:r>
    </w:p>
    <w:p w14:paraId="75085C52" w14:textId="77777777" w:rsidR="000C369F" w:rsidRPr="00295ADA" w:rsidRDefault="000C369F" w:rsidP="000C369F">
      <w:pPr>
        <w:tabs>
          <w:tab w:val="num" w:pos="0"/>
        </w:tabs>
      </w:pPr>
    </w:p>
    <w:p w14:paraId="5CCAB6AA" w14:textId="77777777" w:rsidR="000C369F" w:rsidRPr="00295ADA" w:rsidRDefault="000C369F" w:rsidP="000C369F">
      <w:pPr>
        <w:tabs>
          <w:tab w:val="num" w:pos="0"/>
        </w:tabs>
      </w:pPr>
      <m:oMath>
        <m:r>
          <m:rPr>
            <m:sty m:val="p"/>
          </m:rPr>
          <w:rPr>
            <w:rFonts w:ascii="Cambria Math" w:hAnsi="Cambria Math"/>
            <w:vertAlign w:val="subscript"/>
          </w:rPr>
          <m:t>L</m:t>
        </m:r>
        <m:r>
          <w:rPr>
            <w:rFonts w:ascii="Cambria Math" w:hAnsi="Cambria Math"/>
            <w:vertAlign w:val="subscript"/>
          </w:rPr>
          <m:t>=</m:t>
        </m:r>
        <m:d>
          <m:dPr>
            <m:ctrlPr>
              <w:rPr>
                <w:rFonts w:ascii="Cambria Math" w:hAnsi="Cambria Math"/>
                <w:i/>
                <w:vertAlign w:val="subscript"/>
              </w:rPr>
            </m:ctrlPr>
          </m:dPr>
          <m:e>
            <m:f>
              <m:fPr>
                <m:ctrlPr>
                  <w:rPr>
                    <w:rFonts w:ascii="Cambria Math" w:hAnsi="Cambria Math"/>
                    <w:i/>
                    <w:vertAlign w:val="subscript"/>
                  </w:rPr>
                </m:ctrlPr>
              </m:fPr>
              <m:num>
                <m:r>
                  <w:rPr>
                    <w:rFonts w:ascii="Cambria Math" w:hAnsi="Cambria Math"/>
                    <w:vertAlign w:val="subscript"/>
                  </w:rPr>
                  <m:t>GDM</m:t>
                </m:r>
              </m:num>
              <m:den>
                <m:r>
                  <w:rPr>
                    <w:rFonts w:ascii="Cambria Math" w:hAnsi="Cambria Math"/>
                    <w:vertAlign w:val="subscript"/>
                  </w:rPr>
                  <m:t>HI</m:t>
                </m:r>
              </m:den>
            </m:f>
            <m:r>
              <w:rPr>
                <w:rFonts w:ascii="Cambria Math" w:hAnsi="Cambria Math"/>
                <w:vertAlign w:val="subscript"/>
              </w:rPr>
              <m:t>–GDM</m:t>
            </m:r>
          </m:e>
        </m:d>
        <m:r>
          <w:rPr>
            <w:rFonts w:ascii="Cambria Math" w:hAnsi="Cambria Math"/>
            <w:vertAlign w:val="subscript"/>
          </w:rPr>
          <m:t>×SNC×</m:t>
        </m:r>
        <m:d>
          <m:dPr>
            <m:ctrlPr>
              <w:rPr>
                <w:rFonts w:ascii="Cambria Math" w:hAnsi="Cambria Math"/>
                <w:i/>
                <w:vertAlign w:val="subscript"/>
              </w:rPr>
            </m:ctrlPr>
          </m:dPr>
          <m:e>
            <m:r>
              <w:rPr>
                <w:rFonts w:ascii="Cambria Math" w:hAnsi="Cambria Math"/>
                <w:vertAlign w:val="subscript"/>
              </w:rPr>
              <m:t>1-FSL</m:t>
            </m:r>
          </m:e>
        </m:d>
        <m:r>
          <w:rPr>
            <w:rFonts w:ascii="Cambria Math" w:hAnsi="Cambria Math"/>
            <w:vertAlign w:val="subscript"/>
          </w:rPr>
          <m:t>×FLB</m:t>
        </m:r>
      </m:oMath>
      <w:r w:rsidRPr="00295ADA">
        <w:t xml:space="preserve">                                                           Eq. 6</w:t>
      </w:r>
    </w:p>
    <w:p w14:paraId="67CE81C7" w14:textId="77777777" w:rsidR="000C369F" w:rsidRPr="00295ADA" w:rsidRDefault="000C369F" w:rsidP="000C369F">
      <w:pPr>
        <w:tabs>
          <w:tab w:val="num" w:pos="0"/>
        </w:tabs>
      </w:pPr>
      <w:r w:rsidRPr="00295ADA">
        <w:t xml:space="preserve">where FLB is the fraction of nutrient loss </w:t>
      </w:r>
      <w:r w:rsidRPr="00295ADA">
        <w:rPr>
          <w:i/>
          <w:iCs/>
        </w:rPr>
        <w:t>via</w:t>
      </w:r>
      <w:r w:rsidRPr="00295ADA">
        <w:t xml:space="preserve"> leaching or burning. When farmer reported straw burning, we assumed that 90%, 10% and 20% of the N, P, and K in straw remaining in the field was lost. If the straw that remained in the field was not burned, we assumed that only 10% of N and K would be lost and no P losses would occur</w:t>
      </w:r>
      <w:r w:rsidRPr="00295ADA">
        <w:rPr>
          <w:rFonts w:eastAsiaTheme="minorHAnsi"/>
          <w:vertAlign w:val="superscript"/>
          <w:lang w:eastAsia="en-US"/>
          <w14:ligatures w14:val="standardContextual"/>
        </w:rPr>
        <w:t>4</w:t>
      </w:r>
      <w:r w:rsidRPr="00295ADA">
        <w:t>. Finally, based on our re-analysis of Pampolino et al.</w:t>
      </w:r>
      <w:r w:rsidRPr="00295ADA">
        <w:rPr>
          <w:rFonts w:eastAsiaTheme="minorHAnsi"/>
          <w:vertAlign w:val="superscript"/>
          <w:lang w:eastAsia="en-US"/>
          <w14:ligatures w14:val="standardContextual"/>
        </w:rPr>
        <w:t>5</w:t>
      </w:r>
      <w:r w:rsidRPr="00295ADA">
        <w:t xml:space="preserve"> and Pasuquin et al.</w:t>
      </w:r>
      <w:r w:rsidRPr="00295ADA">
        <w:rPr>
          <w:rFonts w:eastAsiaTheme="minorHAnsi"/>
          <w:vertAlign w:val="superscript"/>
          <w:lang w:eastAsia="en-US"/>
          <w14:ligatures w14:val="standardContextual"/>
        </w:rPr>
        <w:t>6</w:t>
      </w:r>
      <w:r w:rsidRPr="00295ADA">
        <w:t xml:space="preserve"> data, we assumed G to represent 40% (rice) and 22.5% (maize) of total N input</w:t>
      </w:r>
      <w:r>
        <w:t xml:space="preserve"> </w:t>
      </w:r>
      <w:r w:rsidRPr="002411BA">
        <w:rPr>
          <w:i/>
          <w:iCs/>
        </w:rPr>
        <w:t>via</w:t>
      </w:r>
      <w:r>
        <w:t xml:space="preserve"> fertilizer and manure</w:t>
      </w:r>
      <w:r w:rsidRPr="00295ADA">
        <w:t>, which is consistent with data on N volatilization for rice and maize reported in the literature</w:t>
      </w:r>
      <w:r w:rsidRPr="00295ADA">
        <w:rPr>
          <w:rFonts w:eastAsiaTheme="minorHAnsi"/>
          <w:vertAlign w:val="superscript"/>
          <w:lang w:eastAsia="en-US"/>
          <w14:ligatures w14:val="standardContextual"/>
        </w:rPr>
        <w:t>2,6,7</w:t>
      </w:r>
      <w:r w:rsidRPr="00295ADA">
        <w:t>.</w:t>
      </w:r>
    </w:p>
    <w:p w14:paraId="7855B051" w14:textId="77777777" w:rsidR="000C369F" w:rsidRPr="00295ADA" w:rsidRDefault="000C369F" w:rsidP="000C369F">
      <w:pPr>
        <w:tabs>
          <w:tab w:val="num" w:pos="0"/>
        </w:tabs>
      </w:pPr>
    </w:p>
    <w:p w14:paraId="0A5A0B64" w14:textId="77777777" w:rsidR="000C369F" w:rsidRPr="00295ADA" w:rsidRDefault="000C369F" w:rsidP="000C369F">
      <w:pPr>
        <w:tabs>
          <w:tab w:val="num" w:pos="0"/>
        </w:tabs>
        <w:rPr>
          <w:b/>
          <w:bCs/>
          <w:i/>
          <w:iCs/>
        </w:rPr>
      </w:pPr>
      <w:r>
        <w:rPr>
          <w:b/>
          <w:bCs/>
          <w:i/>
          <w:iCs/>
        </w:rPr>
        <w:t xml:space="preserve">S2. Assessing strategies to increase </w:t>
      </w:r>
      <w:r w:rsidRPr="00295ADA">
        <w:rPr>
          <w:b/>
          <w:bCs/>
          <w:i/>
          <w:iCs/>
        </w:rPr>
        <w:t>K fertilizer</w:t>
      </w:r>
      <w:r>
        <w:rPr>
          <w:b/>
          <w:bCs/>
          <w:i/>
          <w:iCs/>
        </w:rPr>
        <w:t xml:space="preserve"> rates</w:t>
      </w:r>
    </w:p>
    <w:p w14:paraId="3B73A776" w14:textId="77777777" w:rsidR="000C369F" w:rsidRPr="00295ADA" w:rsidRDefault="000C369F" w:rsidP="000C369F">
      <w:pPr>
        <w:tabs>
          <w:tab w:val="num" w:pos="0"/>
        </w:tabs>
      </w:pPr>
    </w:p>
    <w:p w14:paraId="5EEC332E" w14:textId="77777777" w:rsidR="000C369F" w:rsidRPr="00295ADA" w:rsidRDefault="000C369F" w:rsidP="000C369F">
      <w:pPr>
        <w:tabs>
          <w:tab w:val="num" w:pos="0"/>
        </w:tabs>
      </w:pPr>
      <w:r w:rsidRPr="00295ADA">
        <w:t xml:space="preserve">Fields </w:t>
      </w:r>
      <w:r>
        <w:t>exhibiting</w:t>
      </w:r>
      <w:r w:rsidRPr="00295ADA">
        <w:t xml:space="preserve"> a nutrient balance </w:t>
      </w:r>
      <w:r>
        <w:t>&gt;</w:t>
      </w:r>
      <w:r w:rsidRPr="00295ADA">
        <w:t xml:space="preserve">25 kg N and/or </w:t>
      </w:r>
      <w:r>
        <w:t>&gt;5</w:t>
      </w:r>
      <w:r w:rsidRPr="00295ADA">
        <w:t xml:space="preserve"> kg P per h</w:t>
      </w:r>
      <w:r>
        <w:t>a</w:t>
      </w:r>
      <w:r w:rsidRPr="00295ADA">
        <w:t xml:space="preserve"> per crop, were considered as fields with large N and/or P surplus</w:t>
      </w:r>
      <w:r>
        <w:t>(</w:t>
      </w:r>
      <w:r w:rsidRPr="00295ADA">
        <w:t>es</w:t>
      </w:r>
      <w:r>
        <w:t>)</w:t>
      </w:r>
      <w:r w:rsidRPr="00295ADA">
        <w:t xml:space="preserve">. For this subset of fields, we estimated the cost saving </w:t>
      </w:r>
      <w:r>
        <w:t xml:space="preserve">(US$ per ha per crop) </w:t>
      </w:r>
      <w:r w:rsidRPr="00295ADA">
        <w:t>of reducing their N and/or P surpluses to the</w:t>
      </w:r>
      <w:r>
        <w:t>ir</w:t>
      </w:r>
      <w:r w:rsidRPr="00295ADA">
        <w:t xml:space="preserve"> respective </w:t>
      </w:r>
      <w:r>
        <w:t xml:space="preserve">(i.e., </w:t>
      </w:r>
      <w:r w:rsidRPr="00295ADA">
        <w:t>25 kg N and</w:t>
      </w:r>
      <w:r>
        <w:t xml:space="preserve"> 5</w:t>
      </w:r>
      <w:r w:rsidRPr="00295ADA">
        <w:t xml:space="preserve"> kg P</w:t>
      </w:r>
      <w:r>
        <w:t xml:space="preserve"> per ha per crop)</w:t>
      </w:r>
      <w:r w:rsidRPr="00295ADA">
        <w:t xml:space="preserve"> as follows:</w:t>
      </w:r>
    </w:p>
    <w:p w14:paraId="26745955" w14:textId="77777777" w:rsidR="000C369F" w:rsidRPr="00295ADA" w:rsidRDefault="000C369F" w:rsidP="000C369F">
      <w:pPr>
        <w:tabs>
          <w:tab w:val="num" w:pos="0"/>
        </w:tabs>
      </w:pPr>
    </w:p>
    <w:p w14:paraId="5893E1C0" w14:textId="77777777" w:rsidR="000C369F" w:rsidRDefault="000C369F" w:rsidP="000C369F">
      <w:pPr>
        <w:tabs>
          <w:tab w:val="num" w:pos="0"/>
        </w:tabs>
      </w:pPr>
      <m:oMath>
        <m:r>
          <w:rPr>
            <w:rFonts w:ascii="Cambria Math" w:hAnsi="Cambria Math"/>
          </w:rPr>
          <m:t>Cost saving=(Nbal-25)×FNP+(Pbal-5)×FPP</m:t>
        </m:r>
      </m:oMath>
      <w:r w:rsidRPr="00295ADA">
        <w:t xml:space="preserve">                                                 Eq. </w:t>
      </w:r>
      <w:r>
        <w:t>(</w:t>
      </w:r>
      <w:r w:rsidRPr="00295ADA">
        <w:t>7</w:t>
      </w:r>
      <w:r>
        <w:t>)</w:t>
      </w:r>
    </w:p>
    <w:p w14:paraId="3C4874B7" w14:textId="77777777" w:rsidR="000C369F" w:rsidRPr="00295ADA" w:rsidRDefault="000C369F" w:rsidP="000C369F">
      <w:pPr>
        <w:tabs>
          <w:tab w:val="num" w:pos="0"/>
        </w:tabs>
      </w:pPr>
      <w:r w:rsidRPr="00295ADA">
        <w:lastRenderedPageBreak/>
        <w:t>where Nbal and Pbal refers to the estimated N and P balance</w:t>
      </w:r>
      <w:r>
        <w:t>s,</w:t>
      </w:r>
      <w:r w:rsidRPr="00295ADA">
        <w:t xml:space="preserve"> respectively, and F</w:t>
      </w:r>
      <w:r>
        <w:t>NP</w:t>
      </w:r>
      <w:r w:rsidRPr="00295ADA">
        <w:t xml:space="preserve"> </w:t>
      </w:r>
      <w:r>
        <w:t>is</w:t>
      </w:r>
      <w:r w:rsidRPr="00295ADA">
        <w:t xml:space="preserve"> the average </w:t>
      </w:r>
      <w:r>
        <w:t xml:space="preserve">fertilizer </w:t>
      </w:r>
      <w:r w:rsidRPr="00295ADA">
        <w:t xml:space="preserve">N price </w:t>
      </w:r>
      <w:r>
        <w:t>(</w:t>
      </w:r>
      <w:r w:rsidRPr="00295ADA">
        <w:t xml:space="preserve">US$ per kg of </w:t>
      </w:r>
      <w:r>
        <w:t xml:space="preserve">elemental </w:t>
      </w:r>
      <w:r w:rsidRPr="00295ADA">
        <w:t>N</w:t>
      </w:r>
      <w:r>
        <w:t>)</w:t>
      </w:r>
      <w:r w:rsidRPr="00295ADA">
        <w:t>, and FP</w:t>
      </w:r>
      <w:r>
        <w:t>P</w:t>
      </w:r>
      <w:r w:rsidRPr="00295ADA">
        <w:t xml:space="preserve"> </w:t>
      </w:r>
      <w:r>
        <w:t>is the</w:t>
      </w:r>
      <w:r w:rsidRPr="00295ADA">
        <w:t xml:space="preserve"> average </w:t>
      </w:r>
      <w:r>
        <w:t xml:space="preserve">fertilizer </w:t>
      </w:r>
      <w:r w:rsidRPr="00295ADA">
        <w:t xml:space="preserve">P price </w:t>
      </w:r>
      <w:r>
        <w:t>(</w:t>
      </w:r>
      <w:r w:rsidRPr="00295ADA">
        <w:t xml:space="preserve">US$ per kg of </w:t>
      </w:r>
      <w:r>
        <w:t xml:space="preserve">elemental </w:t>
      </w:r>
      <w:r w:rsidRPr="00295ADA">
        <w:t>P</w:t>
      </w:r>
      <w:r>
        <w:t>)</w:t>
      </w:r>
      <w:r w:rsidRPr="00295ADA">
        <w:t>. In the case of fertilizer prices, we assumed a cost of 0.29 (N) and 0.94 (P) US$ per kg of elemental nutrient</w:t>
      </w:r>
      <w:r w:rsidRPr="00295ADA">
        <w:rPr>
          <w:rFonts w:eastAsiaTheme="minorHAnsi"/>
          <w:vertAlign w:val="superscript"/>
          <w:lang w:eastAsia="en-US"/>
          <w14:ligatures w14:val="standardContextual"/>
        </w:rPr>
        <w:t>8</w:t>
      </w:r>
      <w:r w:rsidRPr="00295ADA">
        <w:t>.</w:t>
      </w:r>
      <w:r>
        <w:t xml:space="preserve"> </w:t>
      </w:r>
      <w:r w:rsidRPr="00295ADA">
        <w:t xml:space="preserve">The </w:t>
      </w:r>
      <w:r>
        <w:t xml:space="preserve">amount of K fertilizer (kg K per ha per crop) that could be applied if the cost saving from reducing N and P surpluses would be reinvested into K fertilizer was calculated </w:t>
      </w:r>
      <w:r w:rsidRPr="00295ADA">
        <w:t>as follows:</w:t>
      </w:r>
    </w:p>
    <w:p w14:paraId="42B274E2" w14:textId="77777777" w:rsidR="000C369F" w:rsidRPr="00295ADA" w:rsidRDefault="000C369F" w:rsidP="000C369F">
      <w:pPr>
        <w:tabs>
          <w:tab w:val="num" w:pos="0"/>
        </w:tabs>
      </w:pPr>
    </w:p>
    <w:p w14:paraId="533AEB3A" w14:textId="77777777" w:rsidR="000C369F" w:rsidRDefault="000C369F" w:rsidP="000C369F">
      <w:pPr>
        <w:tabs>
          <w:tab w:val="num" w:pos="0"/>
        </w:tabs>
      </w:pPr>
      <m:oMath>
        <m:r>
          <w:rPr>
            <w:rFonts w:ascii="Cambria Math" w:hAnsi="Cambria Math"/>
          </w:rPr>
          <m:t>Additional K fertilizer=</m:t>
        </m:r>
        <m:f>
          <m:fPr>
            <m:ctrlPr>
              <w:rPr>
                <w:rFonts w:ascii="Cambria Math" w:hAnsi="Cambria Math"/>
                <w:i/>
              </w:rPr>
            </m:ctrlPr>
          </m:fPr>
          <m:num>
            <m:r>
              <w:rPr>
                <w:rFonts w:ascii="Cambria Math" w:hAnsi="Cambria Math"/>
              </w:rPr>
              <m:t>Cost saving</m:t>
            </m:r>
          </m:num>
          <m:den>
            <m:r>
              <w:rPr>
                <w:rFonts w:ascii="Cambria Math" w:hAnsi="Cambria Math"/>
              </w:rPr>
              <m:t>FKP</m:t>
            </m:r>
          </m:den>
        </m:f>
      </m:oMath>
      <w:r w:rsidRPr="00295ADA">
        <w:t xml:space="preserve">                                   </w:t>
      </w:r>
      <w:r>
        <w:t xml:space="preserve">                                    </w:t>
      </w:r>
      <w:r w:rsidRPr="00295ADA">
        <w:t xml:space="preserve">           Eq. </w:t>
      </w:r>
      <w:r>
        <w:t>(</w:t>
      </w:r>
      <w:r w:rsidRPr="00295ADA">
        <w:t>8</w:t>
      </w:r>
      <w:r>
        <w:t>)</w:t>
      </w:r>
    </w:p>
    <w:p w14:paraId="165EE3D8" w14:textId="77777777" w:rsidR="000C369F" w:rsidRDefault="000C369F" w:rsidP="000C369F">
      <w:pPr>
        <w:tabs>
          <w:tab w:val="num" w:pos="0"/>
        </w:tabs>
      </w:pPr>
    </w:p>
    <w:p w14:paraId="51578BCB" w14:textId="77777777" w:rsidR="000C369F" w:rsidRPr="00295ADA" w:rsidRDefault="000C369F" w:rsidP="000C369F">
      <w:pPr>
        <w:tabs>
          <w:tab w:val="num" w:pos="0"/>
        </w:tabs>
      </w:pPr>
      <w:r w:rsidRPr="00295ADA">
        <w:t>where FK</w:t>
      </w:r>
      <w:r>
        <w:t>P</w:t>
      </w:r>
      <w:r w:rsidRPr="00295ADA">
        <w:t xml:space="preserve"> </w:t>
      </w:r>
      <w:r>
        <w:t>is</w:t>
      </w:r>
      <w:r w:rsidRPr="00295ADA">
        <w:t xml:space="preserve"> the price of K fertilizer (0.7 US$ per kg elemental K)</w:t>
      </w:r>
      <w:r w:rsidRPr="00295ADA">
        <w:rPr>
          <w:rFonts w:eastAsiaTheme="minorHAnsi"/>
          <w:vertAlign w:val="superscript"/>
          <w:lang w:eastAsia="en-US"/>
          <w14:ligatures w14:val="standardContextual"/>
        </w:rPr>
        <w:t>8</w:t>
      </w:r>
      <w:r w:rsidRPr="00295ADA">
        <w:t>. We note that domestic prices for N and P are lower than international prices because the subsidy program includes urea and SP</w:t>
      </w:r>
      <w:r>
        <w:t>36</w:t>
      </w:r>
      <w:r w:rsidRPr="00295ADA">
        <w:t>, while MOP is not subsidized.</w:t>
      </w:r>
    </w:p>
    <w:p w14:paraId="269AB8AC" w14:textId="77777777" w:rsidR="000C369F" w:rsidRPr="00295ADA" w:rsidRDefault="000C369F" w:rsidP="000C369F">
      <w:pPr>
        <w:tabs>
          <w:tab w:val="num" w:pos="0"/>
        </w:tabs>
      </w:pPr>
    </w:p>
    <w:p w14:paraId="18AB74BB" w14:textId="77777777" w:rsidR="000C369F" w:rsidRDefault="000C369F" w:rsidP="000C369F">
      <w:pPr>
        <w:tabs>
          <w:tab w:val="num" w:pos="0"/>
        </w:tabs>
      </w:pPr>
      <w:r w:rsidRPr="00295ADA">
        <w:t xml:space="preserve">Following this </w:t>
      </w:r>
      <w:r>
        <w:t>‘</w:t>
      </w:r>
      <w:r w:rsidRPr="00295ADA">
        <w:t>reinvestment</w:t>
      </w:r>
      <w:r>
        <w:t>’</w:t>
      </w:r>
      <w:r w:rsidRPr="00295ADA">
        <w:t xml:space="preserve"> strategy, </w:t>
      </w:r>
      <w:r>
        <w:t xml:space="preserve">based on reducing N and P surpluses and reinvesting the costs saving on K fertilizer, </w:t>
      </w:r>
      <w:r w:rsidRPr="00295ADA">
        <w:t>this subset of fields would have an average cost saving of US$ 23 per ha for both rice and maize. Reinvesting those savings in K fertilizer would allow those farmers to increase K fertilizer rates from current 33 and 39 kg K ha</w:t>
      </w:r>
      <w:r w:rsidRPr="00295ADA">
        <w:rPr>
          <w:vertAlign w:val="superscript"/>
        </w:rPr>
        <w:t>-1</w:t>
      </w:r>
      <w:r w:rsidRPr="00295ADA">
        <w:t xml:space="preserve"> crop</w:t>
      </w:r>
      <w:r w:rsidRPr="00295ADA">
        <w:rPr>
          <w:vertAlign w:val="superscript"/>
        </w:rPr>
        <w:t>-1</w:t>
      </w:r>
      <w:r w:rsidRPr="00295ADA">
        <w:t xml:space="preserve"> up to 65 and 72 kg K ha</w:t>
      </w:r>
      <w:r w:rsidRPr="00295ADA">
        <w:rPr>
          <w:vertAlign w:val="superscript"/>
        </w:rPr>
        <w:t>-1</w:t>
      </w:r>
      <w:r w:rsidRPr="00295ADA">
        <w:t xml:space="preserve"> crop</w:t>
      </w:r>
      <w:r w:rsidRPr="00295ADA">
        <w:rPr>
          <w:vertAlign w:val="superscript"/>
        </w:rPr>
        <w:t>-1</w:t>
      </w:r>
      <w:r w:rsidRPr="00295ADA">
        <w:t xml:space="preserve"> for rice and maize, respectively. In the short term, this strategy would change the K balance of those fields from -14 and -29 kg K ha</w:t>
      </w:r>
      <w:r w:rsidRPr="00295ADA">
        <w:rPr>
          <w:vertAlign w:val="superscript"/>
        </w:rPr>
        <w:t>-1</w:t>
      </w:r>
      <w:r w:rsidRPr="00295ADA">
        <w:t xml:space="preserve"> crop</w:t>
      </w:r>
      <w:r w:rsidRPr="00295ADA">
        <w:rPr>
          <w:vertAlign w:val="superscript"/>
        </w:rPr>
        <w:t>-1</w:t>
      </w:r>
      <w:r w:rsidRPr="00295ADA">
        <w:t xml:space="preserve"> to an average K balance of 19 and 3 kg K ha</w:t>
      </w:r>
      <w:r w:rsidRPr="00295ADA">
        <w:rPr>
          <w:vertAlign w:val="superscript"/>
        </w:rPr>
        <w:t>-1</w:t>
      </w:r>
      <w:r w:rsidRPr="00295ADA">
        <w:t xml:space="preserve"> crop</w:t>
      </w:r>
      <w:r w:rsidRPr="00295ADA">
        <w:rPr>
          <w:vertAlign w:val="superscript"/>
        </w:rPr>
        <w:t>-1</w:t>
      </w:r>
      <w:r w:rsidRPr="00295ADA">
        <w:t xml:space="preserve"> for rice and maize</w:t>
      </w:r>
      <w:bookmarkStart w:id="8" w:name="_Ref135137441"/>
      <w:bookmarkStart w:id="9" w:name="_Toc117069533"/>
      <w:r w:rsidRPr="00295ADA">
        <w:t>.</w:t>
      </w:r>
    </w:p>
    <w:p w14:paraId="04A9E009" w14:textId="77777777" w:rsidR="000C369F" w:rsidRDefault="000C369F" w:rsidP="000C369F">
      <w:pPr>
        <w:tabs>
          <w:tab w:val="num" w:pos="0"/>
        </w:tabs>
      </w:pPr>
    </w:p>
    <w:p w14:paraId="0404724B" w14:textId="77777777" w:rsidR="000C369F" w:rsidRPr="00E0624B" w:rsidRDefault="000C369F" w:rsidP="000C369F">
      <w:pPr>
        <w:tabs>
          <w:tab w:val="num" w:pos="0"/>
        </w:tabs>
      </w:pPr>
      <w:r>
        <w:t xml:space="preserve">Finally, we also quantify the economic impact of doubling current K fertilizer rates </w:t>
      </w:r>
      <w:r w:rsidRPr="00E0624B">
        <w:rPr>
          <w:i/>
          <w:iCs/>
        </w:rPr>
        <w:t>via</w:t>
      </w:r>
      <w:r>
        <w:t xml:space="preserve"> subsidies. </w:t>
      </w:r>
      <w:bookmarkStart w:id="10" w:name="_Ref138680263"/>
      <w:r>
        <w:t>To do so, we estimate the associated cost of MOP and current harvested rice and maize area.</w:t>
      </w:r>
    </w:p>
    <w:p w14:paraId="39A1637D" w14:textId="77777777" w:rsidR="000C369F" w:rsidRPr="00295ADA" w:rsidRDefault="000C369F" w:rsidP="000C369F">
      <w:pPr>
        <w:spacing w:line="240" w:lineRule="auto"/>
        <w:rPr>
          <w:i/>
          <w:iCs/>
        </w:rPr>
      </w:pPr>
      <w:r w:rsidRPr="00295ADA">
        <w:rPr>
          <w:b/>
          <w:bCs/>
          <w:i/>
          <w:iCs/>
        </w:rPr>
        <w:lastRenderedPageBreak/>
        <w:t>Supplementary Table S</w:t>
      </w:r>
      <w:r w:rsidRPr="00295ADA">
        <w:rPr>
          <w:b/>
          <w:bCs/>
        </w:rPr>
        <w:fldChar w:fldCharType="begin"/>
      </w:r>
      <w:r w:rsidRPr="00295ADA">
        <w:rPr>
          <w:b/>
          <w:bCs/>
          <w:i/>
          <w:iCs/>
        </w:rPr>
        <w:instrText xml:space="preserve"> SEQ Supplementary_Table_S \* ARABIC </w:instrText>
      </w:r>
      <w:r w:rsidRPr="00295ADA">
        <w:rPr>
          <w:b/>
          <w:bCs/>
        </w:rPr>
        <w:fldChar w:fldCharType="separate"/>
      </w:r>
      <w:r w:rsidRPr="00295ADA">
        <w:rPr>
          <w:b/>
          <w:bCs/>
          <w:i/>
          <w:iCs/>
          <w:noProof/>
        </w:rPr>
        <w:t>1</w:t>
      </w:r>
      <w:r w:rsidRPr="00295ADA">
        <w:rPr>
          <w:b/>
          <w:bCs/>
        </w:rPr>
        <w:fldChar w:fldCharType="end"/>
      </w:r>
      <w:bookmarkEnd w:id="8"/>
      <w:bookmarkEnd w:id="10"/>
      <w:r w:rsidRPr="00295ADA">
        <w:rPr>
          <w:b/>
          <w:bCs/>
          <w:i/>
          <w:iCs/>
        </w:rPr>
        <w:t>.</w:t>
      </w:r>
      <w:r w:rsidRPr="00295ADA">
        <w:rPr>
          <w:i/>
          <w:iCs/>
        </w:rPr>
        <w:t xml:space="preserve"> Average nutrients inputs and nutrient removal per crop for each of the 13 cropping systems included in our study. Parenthetic</w:t>
      </w:r>
      <w:r>
        <w:rPr>
          <w:i/>
          <w:iCs/>
        </w:rPr>
        <w:t>al</w:t>
      </w:r>
      <w:r w:rsidRPr="00295ADA">
        <w:rPr>
          <w:i/>
          <w:iCs/>
        </w:rPr>
        <w:t xml:space="preserve"> values show the associated interquartile ranges. Nutrient input includes synthetic fertilizer and organic amendments. </w:t>
      </w:r>
      <w:r>
        <w:rPr>
          <w:i/>
          <w:iCs/>
        </w:rPr>
        <w:t>Overall a</w:t>
      </w:r>
      <w:r w:rsidRPr="00295ADA">
        <w:rPr>
          <w:i/>
          <w:iCs/>
        </w:rPr>
        <w:t>verage</w:t>
      </w:r>
      <w:r>
        <w:rPr>
          <w:i/>
          <w:iCs/>
        </w:rPr>
        <w:t>s across provinces</w:t>
      </w:r>
      <w:r w:rsidRPr="00295ADA">
        <w:rPr>
          <w:i/>
          <w:iCs/>
        </w:rPr>
        <w:t xml:space="preserve"> </w:t>
      </w:r>
      <w:r>
        <w:rPr>
          <w:i/>
          <w:iCs/>
        </w:rPr>
        <w:t>are</w:t>
      </w:r>
      <w:r w:rsidRPr="00295ADA">
        <w:rPr>
          <w:i/>
          <w:iCs/>
        </w:rPr>
        <w:t xml:space="preserve"> weighted </w:t>
      </w:r>
      <w:r>
        <w:rPr>
          <w:i/>
          <w:iCs/>
        </w:rPr>
        <w:t>based on</w:t>
      </w:r>
      <w:r w:rsidRPr="00295ADA">
        <w:rPr>
          <w:i/>
          <w:iCs/>
        </w:rPr>
        <w:t xml:space="preserve"> their relative contribution </w:t>
      </w:r>
      <w:r>
        <w:rPr>
          <w:i/>
          <w:iCs/>
        </w:rPr>
        <w:t xml:space="preserve">of each province </w:t>
      </w:r>
      <w:r w:rsidRPr="00295ADA">
        <w:rPr>
          <w:i/>
          <w:iCs/>
        </w:rPr>
        <w:t>to the national harvested area</w:t>
      </w:r>
      <w:r>
        <w:rPr>
          <w:i/>
          <w:iCs/>
        </w:rPr>
        <w:t xml:space="preserve"> of each crop</w:t>
      </w:r>
      <w:r w:rsidRPr="00295ADA">
        <w:rPr>
          <w:i/>
          <w:iCs/>
        </w:rPr>
        <w:t xml:space="preserve">. See </w:t>
      </w:r>
      <w:bookmarkEnd w:id="9"/>
      <w:r w:rsidRPr="00295ADA">
        <w:rPr>
          <w:b/>
          <w:bCs/>
          <w:i/>
          <w:iCs/>
        </w:rPr>
        <w:t xml:space="preserve">Extended Data Figure </w:t>
      </w:r>
      <w:r w:rsidRPr="00295ADA">
        <w:rPr>
          <w:b/>
          <w:bCs/>
          <w:i/>
          <w:iCs/>
          <w:noProof/>
        </w:rPr>
        <w:t>1</w:t>
      </w:r>
      <w:r w:rsidRPr="00295ADA">
        <w:rPr>
          <w:i/>
          <w:iCs/>
        </w:rPr>
        <w:t xml:space="preserve"> for province location and names, and </w:t>
      </w:r>
      <w:r w:rsidRPr="00295ADA">
        <w:rPr>
          <w:b/>
          <w:bCs/>
          <w:i/>
          <w:iCs/>
        </w:rPr>
        <w:t xml:space="preserve">Extended Data Figure </w:t>
      </w:r>
      <w:r w:rsidRPr="00295ADA">
        <w:rPr>
          <w:b/>
          <w:bCs/>
          <w:i/>
          <w:iCs/>
          <w:noProof/>
        </w:rPr>
        <w:t>2</w:t>
      </w:r>
      <w:r w:rsidRPr="00295ADA">
        <w:rPr>
          <w:i/>
          <w:iCs/>
        </w:rPr>
        <w:t xml:space="preserve"> for description of the dominant cropping system in each province.</w:t>
      </w:r>
    </w:p>
    <w:p w14:paraId="7F728DBF" w14:textId="77777777" w:rsidR="000C369F" w:rsidRPr="00295ADA" w:rsidRDefault="000C369F" w:rsidP="000C369F"/>
    <w:tbl>
      <w:tblPr>
        <w:tblW w:w="9000" w:type="dxa"/>
        <w:jc w:val="center"/>
        <w:tblLayout w:type="fixed"/>
        <w:tblLook w:val="04A0" w:firstRow="1" w:lastRow="0" w:firstColumn="1" w:lastColumn="0" w:noHBand="0" w:noVBand="1"/>
      </w:tblPr>
      <w:tblGrid>
        <w:gridCol w:w="1170"/>
        <w:gridCol w:w="1260"/>
        <w:gridCol w:w="810"/>
        <w:gridCol w:w="1530"/>
        <w:gridCol w:w="810"/>
        <w:gridCol w:w="630"/>
        <w:gridCol w:w="720"/>
        <w:gridCol w:w="630"/>
        <w:gridCol w:w="630"/>
        <w:gridCol w:w="810"/>
      </w:tblGrid>
      <w:tr w:rsidR="000C369F" w:rsidRPr="00A0665F" w14:paraId="1AA8B0FD" w14:textId="77777777" w:rsidTr="00CD4734">
        <w:trPr>
          <w:trHeight w:val="315"/>
          <w:jc w:val="center"/>
        </w:trPr>
        <w:tc>
          <w:tcPr>
            <w:tcW w:w="1170" w:type="dxa"/>
            <w:tcBorders>
              <w:top w:val="single" w:sz="4" w:space="0" w:color="auto"/>
              <w:left w:val="nil"/>
              <w:bottom w:val="nil"/>
              <w:right w:val="nil"/>
            </w:tcBorders>
            <w:shd w:val="clear" w:color="auto" w:fill="auto"/>
            <w:noWrap/>
            <w:hideMark/>
          </w:tcPr>
          <w:p w14:paraId="68B4C25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Province</w:t>
            </w:r>
          </w:p>
        </w:tc>
        <w:tc>
          <w:tcPr>
            <w:tcW w:w="1260" w:type="dxa"/>
            <w:tcBorders>
              <w:top w:val="single" w:sz="4" w:space="0" w:color="auto"/>
              <w:left w:val="nil"/>
              <w:bottom w:val="nil"/>
              <w:right w:val="nil"/>
            </w:tcBorders>
            <w:shd w:val="clear" w:color="auto" w:fill="auto"/>
            <w:noWrap/>
            <w:hideMark/>
          </w:tcPr>
          <w:p w14:paraId="7990311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Ecosystem</w:t>
            </w:r>
          </w:p>
        </w:tc>
        <w:tc>
          <w:tcPr>
            <w:tcW w:w="810" w:type="dxa"/>
            <w:tcBorders>
              <w:top w:val="single" w:sz="4" w:space="0" w:color="auto"/>
              <w:left w:val="nil"/>
              <w:bottom w:val="nil"/>
              <w:right w:val="nil"/>
            </w:tcBorders>
            <w:shd w:val="clear" w:color="auto" w:fill="auto"/>
            <w:noWrap/>
            <w:hideMark/>
          </w:tcPr>
          <w:p w14:paraId="2BB7FCA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Crop</w:t>
            </w:r>
          </w:p>
        </w:tc>
        <w:tc>
          <w:tcPr>
            <w:tcW w:w="1530" w:type="dxa"/>
            <w:tcBorders>
              <w:top w:val="single" w:sz="4" w:space="0" w:color="auto"/>
              <w:left w:val="nil"/>
              <w:bottom w:val="nil"/>
              <w:right w:val="nil"/>
            </w:tcBorders>
            <w:shd w:val="clear" w:color="auto" w:fill="auto"/>
            <w:noWrap/>
            <w:hideMark/>
          </w:tcPr>
          <w:p w14:paraId="4C643642" w14:textId="77777777" w:rsidR="000C369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Yield</w:t>
            </w:r>
            <w:r>
              <w:rPr>
                <w:rFonts w:eastAsia="Times New Roman"/>
                <w:color w:val="000000"/>
                <w:lang w:eastAsia="en-US"/>
              </w:rPr>
              <w:t xml:space="preserve"> </w:t>
            </w:r>
          </w:p>
          <w:p w14:paraId="3B82668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(t ha</w:t>
            </w:r>
            <w:r w:rsidRPr="00A0665F">
              <w:rPr>
                <w:rFonts w:eastAsia="Times New Roman"/>
                <w:color w:val="000000"/>
                <w:vertAlign w:val="superscript"/>
                <w:lang w:eastAsia="en-US"/>
              </w:rPr>
              <w:t>-1</w:t>
            </w:r>
            <w:r w:rsidRPr="00A0665F">
              <w:rPr>
                <w:rFonts w:eastAsia="Times New Roman"/>
                <w:color w:val="000000"/>
                <w:lang w:eastAsia="en-US"/>
              </w:rPr>
              <w:t xml:space="preserve"> crop</w:t>
            </w:r>
            <w:r w:rsidRPr="00A0665F">
              <w:rPr>
                <w:rFonts w:eastAsia="Times New Roman"/>
                <w:color w:val="000000"/>
                <w:vertAlign w:val="superscript"/>
                <w:lang w:eastAsia="en-US"/>
              </w:rPr>
              <w:t>-1</w:t>
            </w:r>
            <w:r w:rsidRPr="00A0665F">
              <w:rPr>
                <w:rFonts w:eastAsia="Times New Roman"/>
                <w:color w:val="000000"/>
                <w:lang w:eastAsia="en-US"/>
              </w:rPr>
              <w:t>)</w:t>
            </w:r>
          </w:p>
        </w:tc>
        <w:tc>
          <w:tcPr>
            <w:tcW w:w="2160" w:type="dxa"/>
            <w:gridSpan w:val="3"/>
            <w:tcBorders>
              <w:top w:val="single" w:sz="4" w:space="0" w:color="auto"/>
              <w:left w:val="nil"/>
              <w:bottom w:val="nil"/>
              <w:right w:val="nil"/>
            </w:tcBorders>
            <w:shd w:val="clear" w:color="auto" w:fill="auto"/>
            <w:noWrap/>
            <w:hideMark/>
          </w:tcPr>
          <w:p w14:paraId="14A4401B" w14:textId="77777777" w:rsidR="000C369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Input </w:t>
            </w:r>
          </w:p>
          <w:p w14:paraId="7C3C175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(kg ha</w:t>
            </w:r>
            <w:r w:rsidRPr="00A0665F">
              <w:rPr>
                <w:rFonts w:eastAsia="Times New Roman"/>
                <w:color w:val="000000"/>
                <w:vertAlign w:val="superscript"/>
                <w:lang w:eastAsia="en-US"/>
              </w:rPr>
              <w:t>-1</w:t>
            </w:r>
            <w:r w:rsidRPr="00A0665F">
              <w:rPr>
                <w:rFonts w:eastAsia="Times New Roman"/>
                <w:color w:val="000000"/>
                <w:lang w:eastAsia="en-US"/>
              </w:rPr>
              <w:t xml:space="preserve"> crop</w:t>
            </w:r>
            <w:r w:rsidRPr="00A0665F">
              <w:rPr>
                <w:rFonts w:eastAsia="Times New Roman"/>
                <w:color w:val="000000"/>
                <w:vertAlign w:val="superscript"/>
                <w:lang w:eastAsia="en-US"/>
              </w:rPr>
              <w:t>-1</w:t>
            </w:r>
            <w:r w:rsidRPr="00A0665F">
              <w:rPr>
                <w:rFonts w:eastAsia="Times New Roman"/>
                <w:color w:val="000000"/>
                <w:lang w:eastAsia="en-US"/>
              </w:rPr>
              <w:t>)</w:t>
            </w:r>
          </w:p>
        </w:tc>
        <w:tc>
          <w:tcPr>
            <w:tcW w:w="2070" w:type="dxa"/>
            <w:gridSpan w:val="3"/>
            <w:tcBorders>
              <w:top w:val="single" w:sz="4" w:space="0" w:color="auto"/>
              <w:left w:val="nil"/>
              <w:bottom w:val="nil"/>
              <w:right w:val="nil"/>
            </w:tcBorders>
            <w:shd w:val="clear" w:color="auto" w:fill="auto"/>
            <w:noWrap/>
            <w:hideMark/>
          </w:tcPr>
          <w:p w14:paraId="28581BAE" w14:textId="77777777" w:rsidR="000C369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Removal </w:t>
            </w:r>
          </w:p>
          <w:p w14:paraId="572AA92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(kg ha</w:t>
            </w:r>
            <w:r w:rsidRPr="00A0665F">
              <w:rPr>
                <w:rFonts w:eastAsia="Times New Roman"/>
                <w:color w:val="000000"/>
                <w:vertAlign w:val="superscript"/>
                <w:lang w:eastAsia="en-US"/>
              </w:rPr>
              <w:t>-1</w:t>
            </w:r>
            <w:r w:rsidRPr="00A0665F">
              <w:rPr>
                <w:rFonts w:eastAsia="Times New Roman"/>
                <w:color w:val="000000"/>
                <w:lang w:eastAsia="en-US"/>
              </w:rPr>
              <w:t xml:space="preserve"> crop</w:t>
            </w:r>
            <w:r w:rsidRPr="00A0665F">
              <w:rPr>
                <w:rFonts w:eastAsia="Times New Roman"/>
                <w:color w:val="000000"/>
                <w:vertAlign w:val="superscript"/>
                <w:lang w:eastAsia="en-US"/>
              </w:rPr>
              <w:t>-1</w:t>
            </w:r>
            <w:r w:rsidRPr="00A0665F">
              <w:rPr>
                <w:rFonts w:eastAsia="Times New Roman"/>
                <w:color w:val="000000"/>
                <w:lang w:eastAsia="en-US"/>
              </w:rPr>
              <w:t>)</w:t>
            </w:r>
          </w:p>
        </w:tc>
      </w:tr>
      <w:tr w:rsidR="000C369F" w:rsidRPr="00A0665F" w14:paraId="1408AFA1" w14:textId="77777777" w:rsidTr="00CD4734">
        <w:trPr>
          <w:trHeight w:val="315"/>
          <w:jc w:val="center"/>
        </w:trPr>
        <w:tc>
          <w:tcPr>
            <w:tcW w:w="1170" w:type="dxa"/>
            <w:tcBorders>
              <w:top w:val="nil"/>
              <w:left w:val="nil"/>
              <w:bottom w:val="single" w:sz="4" w:space="0" w:color="auto"/>
              <w:right w:val="nil"/>
            </w:tcBorders>
            <w:shd w:val="clear" w:color="auto" w:fill="auto"/>
            <w:noWrap/>
            <w:hideMark/>
          </w:tcPr>
          <w:p w14:paraId="549A8FA2"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single" w:sz="4" w:space="0" w:color="auto"/>
              <w:right w:val="nil"/>
            </w:tcBorders>
            <w:shd w:val="clear" w:color="auto" w:fill="auto"/>
            <w:noWrap/>
            <w:hideMark/>
          </w:tcPr>
          <w:p w14:paraId="48851CC2" w14:textId="77777777" w:rsidR="000C369F" w:rsidRPr="00A0665F" w:rsidRDefault="000C369F" w:rsidP="00CD4734">
            <w:pPr>
              <w:spacing w:line="240" w:lineRule="auto"/>
              <w:jc w:val="center"/>
              <w:rPr>
                <w:rFonts w:eastAsia="Times New Roman"/>
                <w:color w:val="000000"/>
                <w:lang w:eastAsia="en-US"/>
              </w:rPr>
            </w:pPr>
          </w:p>
        </w:tc>
        <w:tc>
          <w:tcPr>
            <w:tcW w:w="810" w:type="dxa"/>
            <w:tcBorders>
              <w:top w:val="nil"/>
              <w:left w:val="nil"/>
              <w:bottom w:val="single" w:sz="4" w:space="0" w:color="auto"/>
              <w:right w:val="nil"/>
            </w:tcBorders>
            <w:shd w:val="clear" w:color="auto" w:fill="auto"/>
            <w:noWrap/>
            <w:hideMark/>
          </w:tcPr>
          <w:p w14:paraId="35AD0F53" w14:textId="77777777" w:rsidR="000C369F" w:rsidRPr="00A0665F" w:rsidRDefault="000C369F" w:rsidP="00CD4734">
            <w:pPr>
              <w:spacing w:line="240" w:lineRule="auto"/>
              <w:jc w:val="center"/>
              <w:rPr>
                <w:rFonts w:eastAsia="Times New Roman"/>
                <w:color w:val="000000"/>
                <w:lang w:eastAsia="en-US"/>
              </w:rPr>
            </w:pPr>
          </w:p>
        </w:tc>
        <w:tc>
          <w:tcPr>
            <w:tcW w:w="1530" w:type="dxa"/>
            <w:tcBorders>
              <w:top w:val="nil"/>
              <w:left w:val="nil"/>
              <w:bottom w:val="single" w:sz="4" w:space="0" w:color="auto"/>
              <w:right w:val="nil"/>
            </w:tcBorders>
            <w:shd w:val="clear" w:color="auto" w:fill="auto"/>
            <w:noWrap/>
            <w:hideMark/>
          </w:tcPr>
          <w:p w14:paraId="4B31BC9E" w14:textId="77777777" w:rsidR="000C369F" w:rsidRPr="00A0665F" w:rsidRDefault="000C369F" w:rsidP="00CD4734">
            <w:pPr>
              <w:spacing w:line="240" w:lineRule="auto"/>
              <w:jc w:val="center"/>
              <w:rPr>
                <w:rFonts w:eastAsia="Times New Roman"/>
                <w:color w:val="000000"/>
                <w:lang w:eastAsia="en-US"/>
              </w:rPr>
            </w:pPr>
          </w:p>
        </w:tc>
        <w:tc>
          <w:tcPr>
            <w:tcW w:w="810" w:type="dxa"/>
            <w:tcBorders>
              <w:top w:val="nil"/>
              <w:left w:val="nil"/>
              <w:bottom w:val="single" w:sz="4" w:space="0" w:color="auto"/>
              <w:right w:val="nil"/>
            </w:tcBorders>
            <w:shd w:val="clear" w:color="auto" w:fill="auto"/>
            <w:noWrap/>
            <w:hideMark/>
          </w:tcPr>
          <w:p w14:paraId="4E1DCE9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N</w:t>
            </w:r>
          </w:p>
        </w:tc>
        <w:tc>
          <w:tcPr>
            <w:tcW w:w="630" w:type="dxa"/>
            <w:tcBorders>
              <w:top w:val="nil"/>
              <w:left w:val="nil"/>
              <w:bottom w:val="single" w:sz="4" w:space="0" w:color="auto"/>
              <w:right w:val="nil"/>
            </w:tcBorders>
            <w:shd w:val="clear" w:color="auto" w:fill="auto"/>
            <w:noWrap/>
            <w:hideMark/>
          </w:tcPr>
          <w:p w14:paraId="688B64D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P</w:t>
            </w:r>
          </w:p>
        </w:tc>
        <w:tc>
          <w:tcPr>
            <w:tcW w:w="720" w:type="dxa"/>
            <w:tcBorders>
              <w:top w:val="nil"/>
              <w:left w:val="nil"/>
              <w:bottom w:val="single" w:sz="4" w:space="0" w:color="auto"/>
              <w:right w:val="nil"/>
            </w:tcBorders>
            <w:shd w:val="clear" w:color="auto" w:fill="auto"/>
            <w:noWrap/>
            <w:hideMark/>
          </w:tcPr>
          <w:p w14:paraId="46A8CB8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K</w:t>
            </w:r>
          </w:p>
        </w:tc>
        <w:tc>
          <w:tcPr>
            <w:tcW w:w="630" w:type="dxa"/>
            <w:tcBorders>
              <w:top w:val="nil"/>
              <w:left w:val="nil"/>
              <w:bottom w:val="single" w:sz="4" w:space="0" w:color="auto"/>
              <w:right w:val="nil"/>
            </w:tcBorders>
            <w:shd w:val="clear" w:color="auto" w:fill="auto"/>
            <w:noWrap/>
            <w:hideMark/>
          </w:tcPr>
          <w:p w14:paraId="5495973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N</w:t>
            </w:r>
          </w:p>
        </w:tc>
        <w:tc>
          <w:tcPr>
            <w:tcW w:w="630" w:type="dxa"/>
            <w:tcBorders>
              <w:top w:val="nil"/>
              <w:left w:val="nil"/>
              <w:bottom w:val="single" w:sz="4" w:space="0" w:color="auto"/>
              <w:right w:val="nil"/>
            </w:tcBorders>
            <w:shd w:val="clear" w:color="auto" w:fill="auto"/>
            <w:noWrap/>
            <w:hideMark/>
          </w:tcPr>
          <w:p w14:paraId="09D725A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P</w:t>
            </w:r>
          </w:p>
        </w:tc>
        <w:tc>
          <w:tcPr>
            <w:tcW w:w="810" w:type="dxa"/>
            <w:tcBorders>
              <w:top w:val="nil"/>
              <w:left w:val="nil"/>
              <w:bottom w:val="single" w:sz="4" w:space="0" w:color="auto"/>
              <w:right w:val="nil"/>
            </w:tcBorders>
            <w:shd w:val="clear" w:color="auto" w:fill="auto"/>
            <w:noWrap/>
            <w:hideMark/>
          </w:tcPr>
          <w:p w14:paraId="1DCB1C4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K</w:t>
            </w:r>
          </w:p>
        </w:tc>
      </w:tr>
      <w:tr w:rsidR="000C369F" w:rsidRPr="00A0665F" w14:paraId="4F29D7E6" w14:textId="77777777" w:rsidTr="00CD4734">
        <w:trPr>
          <w:trHeight w:val="315"/>
          <w:jc w:val="center"/>
        </w:trPr>
        <w:tc>
          <w:tcPr>
            <w:tcW w:w="1170" w:type="dxa"/>
            <w:tcBorders>
              <w:top w:val="nil"/>
              <w:left w:val="nil"/>
              <w:bottom w:val="nil"/>
              <w:right w:val="nil"/>
            </w:tcBorders>
            <w:shd w:val="clear" w:color="auto" w:fill="auto"/>
            <w:noWrap/>
            <w:hideMark/>
          </w:tcPr>
          <w:p w14:paraId="2C46732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WJA</w:t>
            </w:r>
          </w:p>
        </w:tc>
        <w:tc>
          <w:tcPr>
            <w:tcW w:w="1260" w:type="dxa"/>
            <w:tcBorders>
              <w:top w:val="nil"/>
              <w:left w:val="nil"/>
              <w:bottom w:val="nil"/>
              <w:right w:val="nil"/>
            </w:tcBorders>
            <w:shd w:val="clear" w:color="auto" w:fill="auto"/>
            <w:noWrap/>
            <w:hideMark/>
          </w:tcPr>
          <w:p w14:paraId="25BD6E5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6F3E2BF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3F2A477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6.7 </w:t>
            </w:r>
          </w:p>
          <w:p w14:paraId="5404E09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(2.6)</w:t>
            </w:r>
          </w:p>
        </w:tc>
        <w:tc>
          <w:tcPr>
            <w:tcW w:w="810" w:type="dxa"/>
            <w:tcBorders>
              <w:top w:val="nil"/>
              <w:left w:val="nil"/>
              <w:bottom w:val="nil"/>
              <w:right w:val="nil"/>
            </w:tcBorders>
            <w:shd w:val="clear" w:color="auto" w:fill="auto"/>
            <w:noWrap/>
            <w:hideMark/>
          </w:tcPr>
          <w:p w14:paraId="5A28254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142 </w:t>
            </w:r>
          </w:p>
          <w:p w14:paraId="512B896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(53)</w:t>
            </w:r>
          </w:p>
        </w:tc>
        <w:tc>
          <w:tcPr>
            <w:tcW w:w="630" w:type="dxa"/>
            <w:tcBorders>
              <w:top w:val="nil"/>
              <w:left w:val="nil"/>
              <w:bottom w:val="nil"/>
              <w:right w:val="nil"/>
            </w:tcBorders>
            <w:shd w:val="clear" w:color="auto" w:fill="auto"/>
            <w:noWrap/>
            <w:hideMark/>
          </w:tcPr>
          <w:p w14:paraId="0E44435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23 </w:t>
            </w:r>
          </w:p>
          <w:p w14:paraId="6BD8162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(15)</w:t>
            </w:r>
          </w:p>
        </w:tc>
        <w:tc>
          <w:tcPr>
            <w:tcW w:w="720" w:type="dxa"/>
            <w:tcBorders>
              <w:top w:val="nil"/>
              <w:left w:val="nil"/>
              <w:bottom w:val="nil"/>
              <w:right w:val="nil"/>
            </w:tcBorders>
            <w:shd w:val="clear" w:color="auto" w:fill="auto"/>
            <w:noWrap/>
            <w:hideMark/>
          </w:tcPr>
          <w:p w14:paraId="5BD7B7A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26 </w:t>
            </w:r>
          </w:p>
          <w:p w14:paraId="7DAE677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(18)</w:t>
            </w:r>
          </w:p>
        </w:tc>
        <w:tc>
          <w:tcPr>
            <w:tcW w:w="630" w:type="dxa"/>
            <w:tcBorders>
              <w:top w:val="nil"/>
              <w:left w:val="nil"/>
              <w:bottom w:val="nil"/>
              <w:right w:val="nil"/>
            </w:tcBorders>
            <w:shd w:val="clear" w:color="auto" w:fill="auto"/>
            <w:noWrap/>
            <w:hideMark/>
          </w:tcPr>
          <w:p w14:paraId="26C38D6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95 </w:t>
            </w:r>
          </w:p>
          <w:p w14:paraId="3715891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(39)</w:t>
            </w:r>
          </w:p>
        </w:tc>
        <w:tc>
          <w:tcPr>
            <w:tcW w:w="630" w:type="dxa"/>
            <w:tcBorders>
              <w:top w:val="nil"/>
              <w:left w:val="nil"/>
              <w:bottom w:val="nil"/>
              <w:right w:val="nil"/>
            </w:tcBorders>
            <w:shd w:val="clear" w:color="auto" w:fill="auto"/>
            <w:noWrap/>
            <w:hideMark/>
          </w:tcPr>
          <w:p w14:paraId="5039A9F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16 </w:t>
            </w:r>
          </w:p>
          <w:p w14:paraId="4F3A952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(6)</w:t>
            </w:r>
          </w:p>
        </w:tc>
        <w:tc>
          <w:tcPr>
            <w:tcW w:w="810" w:type="dxa"/>
            <w:tcBorders>
              <w:top w:val="nil"/>
              <w:left w:val="nil"/>
              <w:bottom w:val="nil"/>
              <w:right w:val="nil"/>
            </w:tcBorders>
            <w:shd w:val="clear" w:color="auto" w:fill="auto"/>
            <w:noWrap/>
            <w:hideMark/>
          </w:tcPr>
          <w:p w14:paraId="15785E3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60 </w:t>
            </w:r>
          </w:p>
          <w:p w14:paraId="45C26F0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(26)</w:t>
            </w:r>
          </w:p>
        </w:tc>
      </w:tr>
      <w:tr w:rsidR="000C369F" w:rsidRPr="00A0665F" w14:paraId="49B999C7" w14:textId="77777777" w:rsidTr="00CD4734">
        <w:trPr>
          <w:trHeight w:val="315"/>
          <w:jc w:val="center"/>
        </w:trPr>
        <w:tc>
          <w:tcPr>
            <w:tcW w:w="1170" w:type="dxa"/>
            <w:vMerge w:val="restart"/>
            <w:tcBorders>
              <w:top w:val="nil"/>
              <w:left w:val="nil"/>
              <w:bottom w:val="nil"/>
              <w:right w:val="nil"/>
            </w:tcBorders>
            <w:shd w:val="clear" w:color="auto" w:fill="auto"/>
            <w:noWrap/>
            <w:hideMark/>
          </w:tcPr>
          <w:p w14:paraId="134C7E8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CJA</w:t>
            </w:r>
          </w:p>
        </w:tc>
        <w:tc>
          <w:tcPr>
            <w:tcW w:w="1260" w:type="dxa"/>
            <w:tcBorders>
              <w:top w:val="nil"/>
              <w:left w:val="nil"/>
              <w:bottom w:val="nil"/>
              <w:right w:val="nil"/>
            </w:tcBorders>
            <w:shd w:val="clear" w:color="auto" w:fill="auto"/>
            <w:noWrap/>
            <w:hideMark/>
          </w:tcPr>
          <w:p w14:paraId="789ED11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7FC752B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1CBD12B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5.9 </w:t>
            </w:r>
          </w:p>
          <w:p w14:paraId="1C83E76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(2.1)</w:t>
            </w:r>
          </w:p>
        </w:tc>
        <w:tc>
          <w:tcPr>
            <w:tcW w:w="810" w:type="dxa"/>
            <w:tcBorders>
              <w:top w:val="nil"/>
              <w:left w:val="nil"/>
              <w:bottom w:val="nil"/>
              <w:right w:val="nil"/>
            </w:tcBorders>
            <w:shd w:val="clear" w:color="auto" w:fill="auto"/>
            <w:noWrap/>
            <w:hideMark/>
          </w:tcPr>
          <w:p w14:paraId="0B5103A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180 </w:t>
            </w:r>
          </w:p>
          <w:p w14:paraId="3E050D9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(88)</w:t>
            </w:r>
          </w:p>
        </w:tc>
        <w:tc>
          <w:tcPr>
            <w:tcW w:w="630" w:type="dxa"/>
            <w:tcBorders>
              <w:top w:val="nil"/>
              <w:left w:val="nil"/>
              <w:bottom w:val="nil"/>
              <w:right w:val="nil"/>
            </w:tcBorders>
            <w:shd w:val="clear" w:color="auto" w:fill="auto"/>
            <w:noWrap/>
            <w:hideMark/>
          </w:tcPr>
          <w:p w14:paraId="62E6DBA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41 </w:t>
            </w:r>
          </w:p>
          <w:p w14:paraId="4D857D4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(29)</w:t>
            </w:r>
          </w:p>
        </w:tc>
        <w:tc>
          <w:tcPr>
            <w:tcW w:w="720" w:type="dxa"/>
            <w:tcBorders>
              <w:top w:val="nil"/>
              <w:left w:val="nil"/>
              <w:bottom w:val="nil"/>
              <w:right w:val="nil"/>
            </w:tcBorders>
            <w:shd w:val="clear" w:color="auto" w:fill="auto"/>
            <w:noWrap/>
            <w:hideMark/>
          </w:tcPr>
          <w:p w14:paraId="1524881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36 </w:t>
            </w:r>
          </w:p>
          <w:p w14:paraId="35862FD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(17)</w:t>
            </w:r>
          </w:p>
        </w:tc>
        <w:tc>
          <w:tcPr>
            <w:tcW w:w="630" w:type="dxa"/>
            <w:tcBorders>
              <w:top w:val="nil"/>
              <w:left w:val="nil"/>
              <w:bottom w:val="nil"/>
              <w:right w:val="nil"/>
            </w:tcBorders>
            <w:shd w:val="clear" w:color="auto" w:fill="auto"/>
            <w:noWrap/>
            <w:hideMark/>
          </w:tcPr>
          <w:p w14:paraId="77E59E7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80 </w:t>
            </w:r>
          </w:p>
          <w:p w14:paraId="3EFC71B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(27)</w:t>
            </w:r>
          </w:p>
        </w:tc>
        <w:tc>
          <w:tcPr>
            <w:tcW w:w="630" w:type="dxa"/>
            <w:tcBorders>
              <w:top w:val="nil"/>
              <w:left w:val="nil"/>
              <w:bottom w:val="nil"/>
              <w:right w:val="nil"/>
            </w:tcBorders>
            <w:shd w:val="clear" w:color="auto" w:fill="auto"/>
            <w:noWrap/>
            <w:hideMark/>
          </w:tcPr>
          <w:p w14:paraId="75A3BF3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 </w:t>
            </w:r>
          </w:p>
          <w:p w14:paraId="25EB883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w:t>
            </w:r>
          </w:p>
        </w:tc>
        <w:tc>
          <w:tcPr>
            <w:tcW w:w="810" w:type="dxa"/>
            <w:tcBorders>
              <w:top w:val="nil"/>
              <w:left w:val="nil"/>
              <w:bottom w:val="nil"/>
              <w:right w:val="nil"/>
            </w:tcBorders>
            <w:shd w:val="clear" w:color="auto" w:fill="auto"/>
            <w:noWrap/>
            <w:hideMark/>
          </w:tcPr>
          <w:p w14:paraId="57D624F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63 </w:t>
            </w:r>
          </w:p>
          <w:p w14:paraId="4D54CFE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(24)</w:t>
            </w:r>
          </w:p>
        </w:tc>
      </w:tr>
      <w:tr w:rsidR="000C369F" w:rsidRPr="00A0665F" w14:paraId="3DE04C9E" w14:textId="77777777" w:rsidTr="00CD4734">
        <w:trPr>
          <w:trHeight w:val="315"/>
          <w:jc w:val="center"/>
        </w:trPr>
        <w:tc>
          <w:tcPr>
            <w:tcW w:w="1170" w:type="dxa"/>
            <w:vMerge/>
            <w:tcBorders>
              <w:top w:val="nil"/>
              <w:left w:val="nil"/>
              <w:bottom w:val="nil"/>
              <w:right w:val="nil"/>
            </w:tcBorders>
            <w:hideMark/>
          </w:tcPr>
          <w:p w14:paraId="704D4999"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nil"/>
              <w:right w:val="nil"/>
            </w:tcBorders>
            <w:shd w:val="clear" w:color="auto" w:fill="auto"/>
            <w:noWrap/>
            <w:hideMark/>
          </w:tcPr>
          <w:p w14:paraId="600D586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7B05884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nil"/>
              <w:right w:val="nil"/>
            </w:tcBorders>
            <w:shd w:val="clear" w:color="auto" w:fill="auto"/>
            <w:noWrap/>
            <w:hideMark/>
          </w:tcPr>
          <w:p w14:paraId="1E4A580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5.6 </w:t>
            </w:r>
          </w:p>
          <w:p w14:paraId="2520A43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w:t>
            </w:r>
          </w:p>
        </w:tc>
        <w:tc>
          <w:tcPr>
            <w:tcW w:w="810" w:type="dxa"/>
            <w:tcBorders>
              <w:top w:val="nil"/>
              <w:left w:val="nil"/>
              <w:bottom w:val="nil"/>
              <w:right w:val="nil"/>
            </w:tcBorders>
            <w:shd w:val="clear" w:color="auto" w:fill="auto"/>
            <w:noWrap/>
            <w:hideMark/>
          </w:tcPr>
          <w:p w14:paraId="7047D1D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187 </w:t>
            </w:r>
          </w:p>
          <w:p w14:paraId="0E4A812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(99)</w:t>
            </w:r>
          </w:p>
        </w:tc>
        <w:tc>
          <w:tcPr>
            <w:tcW w:w="630" w:type="dxa"/>
            <w:tcBorders>
              <w:top w:val="nil"/>
              <w:left w:val="nil"/>
              <w:bottom w:val="nil"/>
              <w:right w:val="nil"/>
            </w:tcBorders>
            <w:shd w:val="clear" w:color="auto" w:fill="auto"/>
            <w:noWrap/>
            <w:hideMark/>
          </w:tcPr>
          <w:p w14:paraId="5B4A3AE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31 </w:t>
            </w:r>
          </w:p>
          <w:p w14:paraId="49C228B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(22)</w:t>
            </w:r>
          </w:p>
        </w:tc>
        <w:tc>
          <w:tcPr>
            <w:tcW w:w="720" w:type="dxa"/>
            <w:tcBorders>
              <w:top w:val="nil"/>
              <w:left w:val="nil"/>
              <w:bottom w:val="nil"/>
              <w:right w:val="nil"/>
            </w:tcBorders>
            <w:shd w:val="clear" w:color="auto" w:fill="auto"/>
            <w:noWrap/>
            <w:hideMark/>
          </w:tcPr>
          <w:p w14:paraId="38A130A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36 </w:t>
            </w:r>
          </w:p>
          <w:p w14:paraId="1AD347C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(13)</w:t>
            </w:r>
          </w:p>
        </w:tc>
        <w:tc>
          <w:tcPr>
            <w:tcW w:w="630" w:type="dxa"/>
            <w:tcBorders>
              <w:top w:val="nil"/>
              <w:left w:val="nil"/>
              <w:bottom w:val="nil"/>
              <w:right w:val="nil"/>
            </w:tcBorders>
            <w:shd w:val="clear" w:color="auto" w:fill="auto"/>
            <w:noWrap/>
            <w:hideMark/>
          </w:tcPr>
          <w:p w14:paraId="3675C5C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82 </w:t>
            </w:r>
          </w:p>
          <w:p w14:paraId="5F325D3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(29)</w:t>
            </w:r>
          </w:p>
        </w:tc>
        <w:tc>
          <w:tcPr>
            <w:tcW w:w="630" w:type="dxa"/>
            <w:tcBorders>
              <w:top w:val="nil"/>
              <w:left w:val="nil"/>
              <w:bottom w:val="nil"/>
              <w:right w:val="nil"/>
            </w:tcBorders>
            <w:shd w:val="clear" w:color="auto" w:fill="auto"/>
            <w:noWrap/>
            <w:hideMark/>
          </w:tcPr>
          <w:p w14:paraId="2A2F81C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13 </w:t>
            </w:r>
          </w:p>
          <w:p w14:paraId="7B92142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w:t>
            </w:r>
          </w:p>
        </w:tc>
        <w:tc>
          <w:tcPr>
            <w:tcW w:w="810" w:type="dxa"/>
            <w:tcBorders>
              <w:top w:val="nil"/>
              <w:left w:val="nil"/>
              <w:bottom w:val="nil"/>
              <w:right w:val="nil"/>
            </w:tcBorders>
            <w:shd w:val="clear" w:color="auto" w:fill="auto"/>
            <w:noWrap/>
            <w:hideMark/>
          </w:tcPr>
          <w:p w14:paraId="2E1C98E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90 </w:t>
            </w:r>
          </w:p>
          <w:p w14:paraId="1A22A35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(42)</w:t>
            </w:r>
          </w:p>
        </w:tc>
      </w:tr>
      <w:tr w:rsidR="000C369F" w:rsidRPr="00A0665F" w14:paraId="05C885AC" w14:textId="77777777" w:rsidTr="00CD4734">
        <w:trPr>
          <w:trHeight w:val="315"/>
          <w:jc w:val="center"/>
        </w:trPr>
        <w:tc>
          <w:tcPr>
            <w:tcW w:w="1170" w:type="dxa"/>
            <w:vMerge w:val="restart"/>
            <w:tcBorders>
              <w:top w:val="nil"/>
              <w:left w:val="nil"/>
              <w:bottom w:val="nil"/>
              <w:right w:val="nil"/>
            </w:tcBorders>
            <w:shd w:val="clear" w:color="auto" w:fill="auto"/>
            <w:noWrap/>
            <w:hideMark/>
          </w:tcPr>
          <w:p w14:paraId="60E81C5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EJA</w:t>
            </w:r>
          </w:p>
        </w:tc>
        <w:tc>
          <w:tcPr>
            <w:tcW w:w="1260" w:type="dxa"/>
            <w:tcBorders>
              <w:top w:val="nil"/>
              <w:left w:val="nil"/>
              <w:bottom w:val="nil"/>
              <w:right w:val="nil"/>
            </w:tcBorders>
            <w:shd w:val="clear" w:color="auto" w:fill="auto"/>
            <w:noWrap/>
            <w:hideMark/>
          </w:tcPr>
          <w:p w14:paraId="439438B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285132D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4E17C12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5.6 </w:t>
            </w:r>
          </w:p>
          <w:p w14:paraId="0059388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(2.5)</w:t>
            </w:r>
          </w:p>
        </w:tc>
        <w:tc>
          <w:tcPr>
            <w:tcW w:w="810" w:type="dxa"/>
            <w:tcBorders>
              <w:top w:val="nil"/>
              <w:left w:val="nil"/>
              <w:bottom w:val="nil"/>
              <w:right w:val="nil"/>
            </w:tcBorders>
            <w:shd w:val="clear" w:color="auto" w:fill="auto"/>
            <w:noWrap/>
            <w:hideMark/>
          </w:tcPr>
          <w:p w14:paraId="79DB551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188 </w:t>
            </w:r>
          </w:p>
          <w:p w14:paraId="6E5BFAF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(94)</w:t>
            </w:r>
          </w:p>
        </w:tc>
        <w:tc>
          <w:tcPr>
            <w:tcW w:w="630" w:type="dxa"/>
            <w:tcBorders>
              <w:top w:val="nil"/>
              <w:left w:val="nil"/>
              <w:bottom w:val="nil"/>
              <w:right w:val="nil"/>
            </w:tcBorders>
            <w:shd w:val="clear" w:color="auto" w:fill="auto"/>
            <w:noWrap/>
            <w:hideMark/>
          </w:tcPr>
          <w:p w14:paraId="59B8CDF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36 </w:t>
            </w:r>
          </w:p>
          <w:p w14:paraId="21C1978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(24)</w:t>
            </w:r>
          </w:p>
        </w:tc>
        <w:tc>
          <w:tcPr>
            <w:tcW w:w="720" w:type="dxa"/>
            <w:tcBorders>
              <w:top w:val="nil"/>
              <w:left w:val="nil"/>
              <w:bottom w:val="nil"/>
              <w:right w:val="nil"/>
            </w:tcBorders>
            <w:shd w:val="clear" w:color="auto" w:fill="auto"/>
            <w:noWrap/>
            <w:hideMark/>
          </w:tcPr>
          <w:p w14:paraId="1ADDFA7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56 </w:t>
            </w:r>
          </w:p>
          <w:p w14:paraId="50DF8A5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(39)</w:t>
            </w:r>
          </w:p>
        </w:tc>
        <w:tc>
          <w:tcPr>
            <w:tcW w:w="630" w:type="dxa"/>
            <w:tcBorders>
              <w:top w:val="nil"/>
              <w:left w:val="nil"/>
              <w:bottom w:val="nil"/>
              <w:right w:val="nil"/>
            </w:tcBorders>
            <w:shd w:val="clear" w:color="auto" w:fill="auto"/>
            <w:noWrap/>
            <w:hideMark/>
          </w:tcPr>
          <w:p w14:paraId="2ACA176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74 </w:t>
            </w:r>
          </w:p>
          <w:p w14:paraId="25F072F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(29)</w:t>
            </w:r>
          </w:p>
        </w:tc>
        <w:tc>
          <w:tcPr>
            <w:tcW w:w="630" w:type="dxa"/>
            <w:tcBorders>
              <w:top w:val="nil"/>
              <w:left w:val="nil"/>
              <w:bottom w:val="nil"/>
              <w:right w:val="nil"/>
            </w:tcBorders>
            <w:shd w:val="clear" w:color="auto" w:fill="auto"/>
            <w:noWrap/>
            <w:hideMark/>
          </w:tcPr>
          <w:p w14:paraId="1476DEB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 </w:t>
            </w:r>
          </w:p>
          <w:p w14:paraId="2F4C12A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w:t>
            </w:r>
          </w:p>
        </w:tc>
        <w:tc>
          <w:tcPr>
            <w:tcW w:w="810" w:type="dxa"/>
            <w:tcBorders>
              <w:top w:val="nil"/>
              <w:left w:val="nil"/>
              <w:bottom w:val="nil"/>
              <w:right w:val="nil"/>
            </w:tcBorders>
            <w:shd w:val="clear" w:color="auto" w:fill="auto"/>
            <w:noWrap/>
            <w:hideMark/>
          </w:tcPr>
          <w:p w14:paraId="1473DB7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60 </w:t>
            </w:r>
          </w:p>
          <w:p w14:paraId="3BB765C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(27)</w:t>
            </w:r>
          </w:p>
        </w:tc>
      </w:tr>
      <w:tr w:rsidR="000C369F" w:rsidRPr="00A0665F" w14:paraId="7738E854" w14:textId="77777777" w:rsidTr="00CD4734">
        <w:trPr>
          <w:trHeight w:val="315"/>
          <w:jc w:val="center"/>
        </w:trPr>
        <w:tc>
          <w:tcPr>
            <w:tcW w:w="1170" w:type="dxa"/>
            <w:vMerge/>
            <w:tcBorders>
              <w:top w:val="nil"/>
              <w:left w:val="nil"/>
              <w:bottom w:val="nil"/>
              <w:right w:val="nil"/>
            </w:tcBorders>
            <w:hideMark/>
          </w:tcPr>
          <w:p w14:paraId="78BCCD0E"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nil"/>
              <w:right w:val="nil"/>
            </w:tcBorders>
            <w:shd w:val="clear" w:color="auto" w:fill="auto"/>
            <w:noWrap/>
            <w:hideMark/>
          </w:tcPr>
          <w:p w14:paraId="7E138D6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4F251B1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nil"/>
              <w:right w:val="nil"/>
            </w:tcBorders>
            <w:shd w:val="clear" w:color="auto" w:fill="auto"/>
            <w:noWrap/>
            <w:hideMark/>
          </w:tcPr>
          <w:p w14:paraId="5D8DE7E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7.3 </w:t>
            </w:r>
          </w:p>
          <w:p w14:paraId="28063D8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(2.5)</w:t>
            </w:r>
          </w:p>
        </w:tc>
        <w:tc>
          <w:tcPr>
            <w:tcW w:w="810" w:type="dxa"/>
            <w:tcBorders>
              <w:top w:val="nil"/>
              <w:left w:val="nil"/>
              <w:bottom w:val="nil"/>
              <w:right w:val="nil"/>
            </w:tcBorders>
            <w:shd w:val="clear" w:color="auto" w:fill="auto"/>
            <w:noWrap/>
            <w:hideMark/>
          </w:tcPr>
          <w:p w14:paraId="1272DE6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220 </w:t>
            </w:r>
          </w:p>
          <w:p w14:paraId="5BCBBD8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(156)</w:t>
            </w:r>
          </w:p>
        </w:tc>
        <w:tc>
          <w:tcPr>
            <w:tcW w:w="630" w:type="dxa"/>
            <w:tcBorders>
              <w:top w:val="nil"/>
              <w:left w:val="nil"/>
              <w:bottom w:val="nil"/>
              <w:right w:val="nil"/>
            </w:tcBorders>
            <w:shd w:val="clear" w:color="auto" w:fill="auto"/>
            <w:noWrap/>
            <w:hideMark/>
          </w:tcPr>
          <w:p w14:paraId="3233049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37 </w:t>
            </w:r>
          </w:p>
          <w:p w14:paraId="6A44DEB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(25)</w:t>
            </w:r>
          </w:p>
        </w:tc>
        <w:tc>
          <w:tcPr>
            <w:tcW w:w="720" w:type="dxa"/>
            <w:tcBorders>
              <w:top w:val="nil"/>
              <w:left w:val="nil"/>
              <w:bottom w:val="nil"/>
              <w:right w:val="nil"/>
            </w:tcBorders>
            <w:shd w:val="clear" w:color="auto" w:fill="auto"/>
            <w:noWrap/>
            <w:hideMark/>
          </w:tcPr>
          <w:p w14:paraId="6F1FF61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57 </w:t>
            </w:r>
          </w:p>
          <w:p w14:paraId="3831406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(35)</w:t>
            </w:r>
          </w:p>
        </w:tc>
        <w:tc>
          <w:tcPr>
            <w:tcW w:w="630" w:type="dxa"/>
            <w:tcBorders>
              <w:top w:val="nil"/>
              <w:left w:val="nil"/>
              <w:bottom w:val="nil"/>
              <w:right w:val="nil"/>
            </w:tcBorders>
            <w:shd w:val="clear" w:color="auto" w:fill="auto"/>
            <w:noWrap/>
            <w:hideMark/>
          </w:tcPr>
          <w:p w14:paraId="54816E8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99 </w:t>
            </w:r>
          </w:p>
          <w:p w14:paraId="047A6EE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(38)</w:t>
            </w:r>
          </w:p>
        </w:tc>
        <w:tc>
          <w:tcPr>
            <w:tcW w:w="630" w:type="dxa"/>
            <w:tcBorders>
              <w:top w:val="nil"/>
              <w:left w:val="nil"/>
              <w:bottom w:val="nil"/>
              <w:right w:val="nil"/>
            </w:tcBorders>
            <w:shd w:val="clear" w:color="auto" w:fill="auto"/>
            <w:noWrap/>
            <w:hideMark/>
          </w:tcPr>
          <w:p w14:paraId="67FDC51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16 </w:t>
            </w:r>
          </w:p>
          <w:p w14:paraId="0D80265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(6)</w:t>
            </w:r>
          </w:p>
        </w:tc>
        <w:tc>
          <w:tcPr>
            <w:tcW w:w="810" w:type="dxa"/>
            <w:tcBorders>
              <w:top w:val="nil"/>
              <w:left w:val="nil"/>
              <w:bottom w:val="nil"/>
              <w:right w:val="nil"/>
            </w:tcBorders>
            <w:shd w:val="clear" w:color="auto" w:fill="auto"/>
            <w:noWrap/>
            <w:hideMark/>
          </w:tcPr>
          <w:p w14:paraId="084C40B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102 </w:t>
            </w:r>
          </w:p>
          <w:p w14:paraId="705B3CD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(42)</w:t>
            </w:r>
          </w:p>
        </w:tc>
      </w:tr>
      <w:tr w:rsidR="000C369F" w:rsidRPr="00A0665F" w14:paraId="2CE77466" w14:textId="77777777" w:rsidTr="00CD4734">
        <w:trPr>
          <w:trHeight w:val="315"/>
          <w:jc w:val="center"/>
        </w:trPr>
        <w:tc>
          <w:tcPr>
            <w:tcW w:w="1170" w:type="dxa"/>
            <w:vMerge w:val="restart"/>
            <w:tcBorders>
              <w:top w:val="nil"/>
              <w:left w:val="nil"/>
              <w:bottom w:val="nil"/>
              <w:right w:val="nil"/>
            </w:tcBorders>
            <w:shd w:val="clear" w:color="auto" w:fill="auto"/>
            <w:noWrap/>
            <w:hideMark/>
          </w:tcPr>
          <w:p w14:paraId="5D35C69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NSU</w:t>
            </w:r>
          </w:p>
        </w:tc>
        <w:tc>
          <w:tcPr>
            <w:tcW w:w="1260" w:type="dxa"/>
            <w:tcBorders>
              <w:top w:val="nil"/>
              <w:left w:val="nil"/>
              <w:bottom w:val="nil"/>
              <w:right w:val="nil"/>
            </w:tcBorders>
            <w:shd w:val="clear" w:color="auto" w:fill="auto"/>
            <w:noWrap/>
            <w:hideMark/>
          </w:tcPr>
          <w:p w14:paraId="7310743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upland</w:t>
            </w:r>
          </w:p>
        </w:tc>
        <w:tc>
          <w:tcPr>
            <w:tcW w:w="810" w:type="dxa"/>
            <w:tcBorders>
              <w:top w:val="nil"/>
              <w:left w:val="nil"/>
              <w:bottom w:val="nil"/>
              <w:right w:val="nil"/>
            </w:tcBorders>
            <w:shd w:val="clear" w:color="auto" w:fill="auto"/>
            <w:noWrap/>
            <w:hideMark/>
          </w:tcPr>
          <w:p w14:paraId="5947F26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nil"/>
              <w:right w:val="nil"/>
            </w:tcBorders>
            <w:shd w:val="clear" w:color="auto" w:fill="auto"/>
            <w:noWrap/>
            <w:hideMark/>
          </w:tcPr>
          <w:p w14:paraId="382BDDC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 </w:t>
            </w:r>
          </w:p>
          <w:p w14:paraId="05E8964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(1.9)</w:t>
            </w:r>
          </w:p>
        </w:tc>
        <w:tc>
          <w:tcPr>
            <w:tcW w:w="810" w:type="dxa"/>
            <w:tcBorders>
              <w:top w:val="nil"/>
              <w:left w:val="nil"/>
              <w:bottom w:val="nil"/>
              <w:right w:val="nil"/>
            </w:tcBorders>
            <w:shd w:val="clear" w:color="auto" w:fill="auto"/>
            <w:noWrap/>
            <w:hideMark/>
          </w:tcPr>
          <w:p w14:paraId="46DAF4D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148 </w:t>
            </w:r>
          </w:p>
          <w:p w14:paraId="58EFD96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(81)</w:t>
            </w:r>
          </w:p>
        </w:tc>
        <w:tc>
          <w:tcPr>
            <w:tcW w:w="630" w:type="dxa"/>
            <w:tcBorders>
              <w:top w:val="nil"/>
              <w:left w:val="nil"/>
              <w:bottom w:val="nil"/>
              <w:right w:val="nil"/>
            </w:tcBorders>
            <w:shd w:val="clear" w:color="auto" w:fill="auto"/>
            <w:noWrap/>
            <w:hideMark/>
          </w:tcPr>
          <w:p w14:paraId="0473796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24 </w:t>
            </w:r>
          </w:p>
          <w:p w14:paraId="5D05B82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(22)</w:t>
            </w:r>
          </w:p>
        </w:tc>
        <w:tc>
          <w:tcPr>
            <w:tcW w:w="720" w:type="dxa"/>
            <w:tcBorders>
              <w:top w:val="nil"/>
              <w:left w:val="nil"/>
              <w:bottom w:val="nil"/>
              <w:right w:val="nil"/>
            </w:tcBorders>
            <w:shd w:val="clear" w:color="auto" w:fill="auto"/>
            <w:noWrap/>
            <w:hideMark/>
          </w:tcPr>
          <w:p w14:paraId="3F77093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33 </w:t>
            </w:r>
          </w:p>
          <w:p w14:paraId="54AA24C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(24)</w:t>
            </w:r>
          </w:p>
        </w:tc>
        <w:tc>
          <w:tcPr>
            <w:tcW w:w="630" w:type="dxa"/>
            <w:tcBorders>
              <w:top w:val="nil"/>
              <w:left w:val="nil"/>
              <w:bottom w:val="nil"/>
              <w:right w:val="nil"/>
            </w:tcBorders>
            <w:shd w:val="clear" w:color="auto" w:fill="auto"/>
            <w:noWrap/>
            <w:hideMark/>
          </w:tcPr>
          <w:p w14:paraId="1E52BCC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72 </w:t>
            </w:r>
          </w:p>
          <w:p w14:paraId="672175E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(26)</w:t>
            </w:r>
          </w:p>
        </w:tc>
        <w:tc>
          <w:tcPr>
            <w:tcW w:w="630" w:type="dxa"/>
            <w:tcBorders>
              <w:top w:val="nil"/>
              <w:left w:val="nil"/>
              <w:bottom w:val="nil"/>
              <w:right w:val="nil"/>
            </w:tcBorders>
            <w:shd w:val="clear" w:color="auto" w:fill="auto"/>
            <w:noWrap/>
            <w:hideMark/>
          </w:tcPr>
          <w:p w14:paraId="09B648E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11 </w:t>
            </w:r>
          </w:p>
          <w:p w14:paraId="3116F7F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w:t>
            </w:r>
          </w:p>
        </w:tc>
        <w:tc>
          <w:tcPr>
            <w:tcW w:w="810" w:type="dxa"/>
            <w:tcBorders>
              <w:top w:val="nil"/>
              <w:left w:val="nil"/>
              <w:bottom w:val="nil"/>
              <w:right w:val="nil"/>
            </w:tcBorders>
            <w:shd w:val="clear" w:color="auto" w:fill="auto"/>
            <w:noWrap/>
            <w:hideMark/>
          </w:tcPr>
          <w:p w14:paraId="5934A8B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64 </w:t>
            </w:r>
          </w:p>
          <w:p w14:paraId="5439150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(24)</w:t>
            </w:r>
          </w:p>
        </w:tc>
      </w:tr>
      <w:tr w:rsidR="000C369F" w:rsidRPr="00A0665F" w14:paraId="73F926FB" w14:textId="77777777" w:rsidTr="00CD4734">
        <w:trPr>
          <w:trHeight w:val="315"/>
          <w:jc w:val="center"/>
        </w:trPr>
        <w:tc>
          <w:tcPr>
            <w:tcW w:w="1170" w:type="dxa"/>
            <w:vMerge/>
            <w:tcBorders>
              <w:top w:val="nil"/>
              <w:left w:val="nil"/>
              <w:bottom w:val="nil"/>
              <w:right w:val="nil"/>
            </w:tcBorders>
            <w:hideMark/>
          </w:tcPr>
          <w:p w14:paraId="466926E6"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nil"/>
              <w:right w:val="nil"/>
            </w:tcBorders>
            <w:shd w:val="clear" w:color="auto" w:fill="auto"/>
            <w:noWrap/>
            <w:hideMark/>
          </w:tcPr>
          <w:p w14:paraId="4B06281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463CA85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2013BF7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5.6 </w:t>
            </w:r>
          </w:p>
          <w:p w14:paraId="30A6181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(2.5)</w:t>
            </w:r>
          </w:p>
        </w:tc>
        <w:tc>
          <w:tcPr>
            <w:tcW w:w="810" w:type="dxa"/>
            <w:tcBorders>
              <w:top w:val="nil"/>
              <w:left w:val="nil"/>
              <w:bottom w:val="nil"/>
              <w:right w:val="nil"/>
            </w:tcBorders>
            <w:shd w:val="clear" w:color="auto" w:fill="auto"/>
            <w:noWrap/>
            <w:hideMark/>
          </w:tcPr>
          <w:p w14:paraId="6EF729F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134 </w:t>
            </w:r>
          </w:p>
          <w:p w14:paraId="1B1182A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(101)</w:t>
            </w:r>
          </w:p>
        </w:tc>
        <w:tc>
          <w:tcPr>
            <w:tcW w:w="630" w:type="dxa"/>
            <w:tcBorders>
              <w:top w:val="nil"/>
              <w:left w:val="nil"/>
              <w:bottom w:val="nil"/>
              <w:right w:val="nil"/>
            </w:tcBorders>
            <w:shd w:val="clear" w:color="auto" w:fill="auto"/>
            <w:noWrap/>
            <w:hideMark/>
          </w:tcPr>
          <w:p w14:paraId="09CE3B2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22 </w:t>
            </w:r>
          </w:p>
          <w:p w14:paraId="47C1068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(16)</w:t>
            </w:r>
          </w:p>
        </w:tc>
        <w:tc>
          <w:tcPr>
            <w:tcW w:w="720" w:type="dxa"/>
            <w:tcBorders>
              <w:top w:val="nil"/>
              <w:left w:val="nil"/>
              <w:bottom w:val="nil"/>
              <w:right w:val="nil"/>
            </w:tcBorders>
            <w:shd w:val="clear" w:color="auto" w:fill="auto"/>
            <w:noWrap/>
            <w:hideMark/>
          </w:tcPr>
          <w:p w14:paraId="5323AF4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41 </w:t>
            </w:r>
          </w:p>
          <w:p w14:paraId="1B07E88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(30)</w:t>
            </w:r>
          </w:p>
        </w:tc>
        <w:tc>
          <w:tcPr>
            <w:tcW w:w="630" w:type="dxa"/>
            <w:tcBorders>
              <w:top w:val="nil"/>
              <w:left w:val="nil"/>
              <w:bottom w:val="nil"/>
              <w:right w:val="nil"/>
            </w:tcBorders>
            <w:shd w:val="clear" w:color="auto" w:fill="auto"/>
            <w:noWrap/>
            <w:hideMark/>
          </w:tcPr>
          <w:p w14:paraId="19710DB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77 </w:t>
            </w:r>
          </w:p>
          <w:p w14:paraId="2127EA9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(34)</w:t>
            </w:r>
          </w:p>
        </w:tc>
        <w:tc>
          <w:tcPr>
            <w:tcW w:w="630" w:type="dxa"/>
            <w:tcBorders>
              <w:top w:val="nil"/>
              <w:left w:val="nil"/>
              <w:bottom w:val="nil"/>
              <w:right w:val="nil"/>
            </w:tcBorders>
            <w:shd w:val="clear" w:color="auto" w:fill="auto"/>
            <w:noWrap/>
            <w:hideMark/>
          </w:tcPr>
          <w:p w14:paraId="135E824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13 </w:t>
            </w:r>
          </w:p>
          <w:p w14:paraId="2BB8FA8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(6)</w:t>
            </w:r>
          </w:p>
        </w:tc>
        <w:tc>
          <w:tcPr>
            <w:tcW w:w="810" w:type="dxa"/>
            <w:tcBorders>
              <w:top w:val="nil"/>
              <w:left w:val="nil"/>
              <w:bottom w:val="nil"/>
              <w:right w:val="nil"/>
            </w:tcBorders>
            <w:shd w:val="clear" w:color="auto" w:fill="auto"/>
            <w:noWrap/>
            <w:hideMark/>
          </w:tcPr>
          <w:p w14:paraId="7270800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57 </w:t>
            </w:r>
          </w:p>
          <w:p w14:paraId="60ECB56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(28)</w:t>
            </w:r>
          </w:p>
        </w:tc>
      </w:tr>
      <w:tr w:rsidR="000C369F" w:rsidRPr="00A0665F" w14:paraId="2004EF82" w14:textId="77777777" w:rsidTr="00CD4734">
        <w:trPr>
          <w:trHeight w:val="315"/>
          <w:jc w:val="center"/>
        </w:trPr>
        <w:tc>
          <w:tcPr>
            <w:tcW w:w="1170" w:type="dxa"/>
            <w:tcBorders>
              <w:top w:val="nil"/>
              <w:left w:val="nil"/>
              <w:bottom w:val="nil"/>
              <w:right w:val="nil"/>
            </w:tcBorders>
            <w:shd w:val="clear" w:color="auto" w:fill="auto"/>
            <w:noWrap/>
            <w:hideMark/>
          </w:tcPr>
          <w:p w14:paraId="38596C3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SSU</w:t>
            </w:r>
          </w:p>
        </w:tc>
        <w:tc>
          <w:tcPr>
            <w:tcW w:w="1260" w:type="dxa"/>
            <w:tcBorders>
              <w:top w:val="nil"/>
              <w:left w:val="nil"/>
              <w:bottom w:val="nil"/>
              <w:right w:val="nil"/>
            </w:tcBorders>
            <w:shd w:val="clear" w:color="auto" w:fill="auto"/>
            <w:noWrap/>
            <w:hideMark/>
          </w:tcPr>
          <w:p w14:paraId="5999255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tidal</w:t>
            </w:r>
          </w:p>
        </w:tc>
        <w:tc>
          <w:tcPr>
            <w:tcW w:w="810" w:type="dxa"/>
            <w:tcBorders>
              <w:top w:val="nil"/>
              <w:left w:val="nil"/>
              <w:bottom w:val="nil"/>
              <w:right w:val="nil"/>
            </w:tcBorders>
            <w:shd w:val="clear" w:color="auto" w:fill="auto"/>
            <w:noWrap/>
            <w:hideMark/>
          </w:tcPr>
          <w:p w14:paraId="633B412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733EF28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3.3 </w:t>
            </w:r>
          </w:p>
          <w:p w14:paraId="50EBB0F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(2.6)</w:t>
            </w:r>
          </w:p>
        </w:tc>
        <w:tc>
          <w:tcPr>
            <w:tcW w:w="810" w:type="dxa"/>
            <w:tcBorders>
              <w:top w:val="nil"/>
              <w:left w:val="nil"/>
              <w:bottom w:val="nil"/>
              <w:right w:val="nil"/>
            </w:tcBorders>
            <w:shd w:val="clear" w:color="auto" w:fill="auto"/>
            <w:noWrap/>
            <w:hideMark/>
          </w:tcPr>
          <w:p w14:paraId="7CF1A25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103 </w:t>
            </w:r>
          </w:p>
          <w:p w14:paraId="5CEEBC6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(52)</w:t>
            </w:r>
          </w:p>
        </w:tc>
        <w:tc>
          <w:tcPr>
            <w:tcW w:w="630" w:type="dxa"/>
            <w:tcBorders>
              <w:top w:val="nil"/>
              <w:left w:val="nil"/>
              <w:bottom w:val="nil"/>
              <w:right w:val="nil"/>
            </w:tcBorders>
            <w:shd w:val="clear" w:color="auto" w:fill="auto"/>
            <w:noWrap/>
            <w:hideMark/>
          </w:tcPr>
          <w:p w14:paraId="4DBF782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21 </w:t>
            </w:r>
          </w:p>
          <w:p w14:paraId="4570CF0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(13)</w:t>
            </w:r>
          </w:p>
        </w:tc>
        <w:tc>
          <w:tcPr>
            <w:tcW w:w="720" w:type="dxa"/>
            <w:tcBorders>
              <w:top w:val="nil"/>
              <w:left w:val="nil"/>
              <w:bottom w:val="nil"/>
              <w:right w:val="nil"/>
            </w:tcBorders>
            <w:shd w:val="clear" w:color="auto" w:fill="auto"/>
            <w:noWrap/>
            <w:hideMark/>
          </w:tcPr>
          <w:p w14:paraId="13C3F4A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20 </w:t>
            </w:r>
          </w:p>
          <w:p w14:paraId="5F8C5BD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(13)</w:t>
            </w:r>
          </w:p>
        </w:tc>
        <w:tc>
          <w:tcPr>
            <w:tcW w:w="630" w:type="dxa"/>
            <w:tcBorders>
              <w:top w:val="nil"/>
              <w:left w:val="nil"/>
              <w:bottom w:val="nil"/>
              <w:right w:val="nil"/>
            </w:tcBorders>
            <w:shd w:val="clear" w:color="auto" w:fill="auto"/>
            <w:noWrap/>
            <w:hideMark/>
          </w:tcPr>
          <w:p w14:paraId="26AD20E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42 </w:t>
            </w:r>
          </w:p>
          <w:p w14:paraId="5AD3FBC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(31)</w:t>
            </w:r>
          </w:p>
        </w:tc>
        <w:tc>
          <w:tcPr>
            <w:tcW w:w="630" w:type="dxa"/>
            <w:tcBorders>
              <w:top w:val="nil"/>
              <w:left w:val="nil"/>
              <w:bottom w:val="nil"/>
              <w:right w:val="nil"/>
            </w:tcBorders>
            <w:shd w:val="clear" w:color="auto" w:fill="auto"/>
            <w:noWrap/>
            <w:hideMark/>
          </w:tcPr>
          <w:p w14:paraId="11700F6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 </w:t>
            </w:r>
          </w:p>
          <w:p w14:paraId="130B24F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(6)</w:t>
            </w:r>
          </w:p>
        </w:tc>
        <w:tc>
          <w:tcPr>
            <w:tcW w:w="810" w:type="dxa"/>
            <w:tcBorders>
              <w:top w:val="nil"/>
              <w:left w:val="nil"/>
              <w:bottom w:val="nil"/>
              <w:right w:val="nil"/>
            </w:tcBorders>
            <w:shd w:val="clear" w:color="auto" w:fill="auto"/>
            <w:noWrap/>
            <w:hideMark/>
          </w:tcPr>
          <w:p w14:paraId="2D9666C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28 </w:t>
            </w:r>
          </w:p>
          <w:p w14:paraId="7DF0F57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(22)</w:t>
            </w:r>
          </w:p>
        </w:tc>
      </w:tr>
      <w:tr w:rsidR="000C369F" w:rsidRPr="00A0665F" w14:paraId="4A9C94F6" w14:textId="77777777" w:rsidTr="00CD4734">
        <w:trPr>
          <w:trHeight w:val="315"/>
          <w:jc w:val="center"/>
        </w:trPr>
        <w:tc>
          <w:tcPr>
            <w:tcW w:w="1170" w:type="dxa"/>
            <w:vMerge w:val="restart"/>
            <w:tcBorders>
              <w:top w:val="nil"/>
              <w:left w:val="nil"/>
              <w:bottom w:val="nil"/>
              <w:right w:val="nil"/>
            </w:tcBorders>
            <w:shd w:val="clear" w:color="auto" w:fill="auto"/>
            <w:noWrap/>
            <w:hideMark/>
          </w:tcPr>
          <w:p w14:paraId="786500A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LAM</w:t>
            </w:r>
          </w:p>
        </w:tc>
        <w:tc>
          <w:tcPr>
            <w:tcW w:w="1260" w:type="dxa"/>
            <w:tcBorders>
              <w:top w:val="nil"/>
              <w:left w:val="nil"/>
              <w:bottom w:val="nil"/>
              <w:right w:val="nil"/>
            </w:tcBorders>
            <w:shd w:val="clear" w:color="auto" w:fill="auto"/>
            <w:noWrap/>
            <w:hideMark/>
          </w:tcPr>
          <w:p w14:paraId="55D6E9D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upland</w:t>
            </w:r>
          </w:p>
        </w:tc>
        <w:tc>
          <w:tcPr>
            <w:tcW w:w="810" w:type="dxa"/>
            <w:tcBorders>
              <w:top w:val="nil"/>
              <w:left w:val="nil"/>
              <w:bottom w:val="nil"/>
              <w:right w:val="nil"/>
            </w:tcBorders>
            <w:shd w:val="clear" w:color="auto" w:fill="auto"/>
            <w:noWrap/>
            <w:hideMark/>
          </w:tcPr>
          <w:p w14:paraId="30D6FCB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nil"/>
              <w:right w:val="nil"/>
            </w:tcBorders>
            <w:shd w:val="clear" w:color="auto" w:fill="auto"/>
            <w:noWrap/>
            <w:hideMark/>
          </w:tcPr>
          <w:p w14:paraId="42AA814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6.6 </w:t>
            </w:r>
          </w:p>
          <w:p w14:paraId="222E577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(3.1)</w:t>
            </w:r>
          </w:p>
        </w:tc>
        <w:tc>
          <w:tcPr>
            <w:tcW w:w="810" w:type="dxa"/>
            <w:tcBorders>
              <w:top w:val="nil"/>
              <w:left w:val="nil"/>
              <w:bottom w:val="nil"/>
              <w:right w:val="nil"/>
            </w:tcBorders>
            <w:shd w:val="clear" w:color="auto" w:fill="auto"/>
            <w:noWrap/>
            <w:hideMark/>
          </w:tcPr>
          <w:p w14:paraId="66DF0FF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188 </w:t>
            </w:r>
          </w:p>
          <w:p w14:paraId="1673F0A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(105)</w:t>
            </w:r>
          </w:p>
        </w:tc>
        <w:tc>
          <w:tcPr>
            <w:tcW w:w="630" w:type="dxa"/>
            <w:tcBorders>
              <w:top w:val="nil"/>
              <w:left w:val="nil"/>
              <w:bottom w:val="nil"/>
              <w:right w:val="nil"/>
            </w:tcBorders>
            <w:shd w:val="clear" w:color="auto" w:fill="auto"/>
            <w:noWrap/>
            <w:hideMark/>
          </w:tcPr>
          <w:p w14:paraId="78E4683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21 </w:t>
            </w:r>
          </w:p>
          <w:p w14:paraId="6D80257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(14)</w:t>
            </w:r>
          </w:p>
        </w:tc>
        <w:tc>
          <w:tcPr>
            <w:tcW w:w="720" w:type="dxa"/>
            <w:tcBorders>
              <w:top w:val="nil"/>
              <w:left w:val="nil"/>
              <w:bottom w:val="nil"/>
              <w:right w:val="nil"/>
            </w:tcBorders>
            <w:shd w:val="clear" w:color="auto" w:fill="auto"/>
            <w:noWrap/>
            <w:hideMark/>
          </w:tcPr>
          <w:p w14:paraId="6829DAF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42 </w:t>
            </w:r>
          </w:p>
          <w:p w14:paraId="28C2DB8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(28)</w:t>
            </w:r>
          </w:p>
        </w:tc>
        <w:tc>
          <w:tcPr>
            <w:tcW w:w="630" w:type="dxa"/>
            <w:tcBorders>
              <w:top w:val="nil"/>
              <w:left w:val="nil"/>
              <w:bottom w:val="nil"/>
              <w:right w:val="nil"/>
            </w:tcBorders>
            <w:shd w:val="clear" w:color="auto" w:fill="auto"/>
            <w:noWrap/>
            <w:hideMark/>
          </w:tcPr>
          <w:p w14:paraId="566C85A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86 </w:t>
            </w:r>
          </w:p>
          <w:p w14:paraId="1C517AE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(40)</w:t>
            </w:r>
          </w:p>
        </w:tc>
        <w:tc>
          <w:tcPr>
            <w:tcW w:w="630" w:type="dxa"/>
            <w:tcBorders>
              <w:top w:val="nil"/>
              <w:left w:val="nil"/>
              <w:bottom w:val="nil"/>
              <w:right w:val="nil"/>
            </w:tcBorders>
            <w:shd w:val="clear" w:color="auto" w:fill="auto"/>
            <w:noWrap/>
            <w:hideMark/>
          </w:tcPr>
          <w:p w14:paraId="7CE4616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 </w:t>
            </w:r>
          </w:p>
          <w:p w14:paraId="6078BD4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(7)</w:t>
            </w:r>
          </w:p>
        </w:tc>
        <w:tc>
          <w:tcPr>
            <w:tcW w:w="810" w:type="dxa"/>
            <w:tcBorders>
              <w:top w:val="nil"/>
              <w:left w:val="nil"/>
              <w:bottom w:val="nil"/>
              <w:right w:val="nil"/>
            </w:tcBorders>
            <w:shd w:val="clear" w:color="auto" w:fill="auto"/>
            <w:noWrap/>
            <w:hideMark/>
          </w:tcPr>
          <w:p w14:paraId="1302FE9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71 </w:t>
            </w:r>
          </w:p>
          <w:p w14:paraId="74ED31C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(19)</w:t>
            </w:r>
          </w:p>
        </w:tc>
      </w:tr>
      <w:tr w:rsidR="000C369F" w:rsidRPr="00A0665F" w14:paraId="6EE95704" w14:textId="77777777" w:rsidTr="00CD4734">
        <w:trPr>
          <w:trHeight w:val="315"/>
          <w:jc w:val="center"/>
        </w:trPr>
        <w:tc>
          <w:tcPr>
            <w:tcW w:w="1170" w:type="dxa"/>
            <w:vMerge/>
            <w:tcBorders>
              <w:top w:val="nil"/>
              <w:left w:val="nil"/>
              <w:bottom w:val="nil"/>
              <w:right w:val="nil"/>
            </w:tcBorders>
            <w:hideMark/>
          </w:tcPr>
          <w:p w14:paraId="740B7536"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nil"/>
              <w:right w:val="nil"/>
            </w:tcBorders>
            <w:shd w:val="clear" w:color="auto" w:fill="auto"/>
            <w:noWrap/>
            <w:hideMark/>
          </w:tcPr>
          <w:p w14:paraId="769C7C4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6C58536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1383BB3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 </w:t>
            </w:r>
          </w:p>
          <w:p w14:paraId="3FB29E2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(2.1)</w:t>
            </w:r>
          </w:p>
        </w:tc>
        <w:tc>
          <w:tcPr>
            <w:tcW w:w="810" w:type="dxa"/>
            <w:tcBorders>
              <w:top w:val="nil"/>
              <w:left w:val="nil"/>
              <w:bottom w:val="nil"/>
              <w:right w:val="nil"/>
            </w:tcBorders>
            <w:shd w:val="clear" w:color="auto" w:fill="auto"/>
            <w:noWrap/>
            <w:hideMark/>
          </w:tcPr>
          <w:p w14:paraId="426AF2B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123 </w:t>
            </w:r>
          </w:p>
          <w:p w14:paraId="1BEE7CE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(39)</w:t>
            </w:r>
          </w:p>
        </w:tc>
        <w:tc>
          <w:tcPr>
            <w:tcW w:w="630" w:type="dxa"/>
            <w:tcBorders>
              <w:top w:val="nil"/>
              <w:left w:val="nil"/>
              <w:bottom w:val="nil"/>
              <w:right w:val="nil"/>
            </w:tcBorders>
            <w:shd w:val="clear" w:color="auto" w:fill="auto"/>
            <w:noWrap/>
            <w:hideMark/>
          </w:tcPr>
          <w:p w14:paraId="273A474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38 </w:t>
            </w:r>
          </w:p>
          <w:p w14:paraId="01CDC38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(12)</w:t>
            </w:r>
          </w:p>
        </w:tc>
        <w:tc>
          <w:tcPr>
            <w:tcW w:w="720" w:type="dxa"/>
            <w:tcBorders>
              <w:top w:val="nil"/>
              <w:left w:val="nil"/>
              <w:bottom w:val="nil"/>
              <w:right w:val="nil"/>
            </w:tcBorders>
            <w:shd w:val="clear" w:color="auto" w:fill="auto"/>
            <w:noWrap/>
            <w:hideMark/>
          </w:tcPr>
          <w:p w14:paraId="4DD26C6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37 </w:t>
            </w:r>
          </w:p>
          <w:p w14:paraId="1C968AC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(24)</w:t>
            </w:r>
          </w:p>
        </w:tc>
        <w:tc>
          <w:tcPr>
            <w:tcW w:w="630" w:type="dxa"/>
            <w:tcBorders>
              <w:top w:val="nil"/>
              <w:left w:val="nil"/>
              <w:bottom w:val="nil"/>
              <w:right w:val="nil"/>
            </w:tcBorders>
            <w:shd w:val="clear" w:color="auto" w:fill="auto"/>
            <w:noWrap/>
            <w:hideMark/>
          </w:tcPr>
          <w:p w14:paraId="56561A4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66 </w:t>
            </w:r>
          </w:p>
          <w:p w14:paraId="403BF66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(29)</w:t>
            </w:r>
          </w:p>
        </w:tc>
        <w:tc>
          <w:tcPr>
            <w:tcW w:w="630" w:type="dxa"/>
            <w:tcBorders>
              <w:top w:val="nil"/>
              <w:left w:val="nil"/>
              <w:bottom w:val="nil"/>
              <w:right w:val="nil"/>
            </w:tcBorders>
            <w:shd w:val="clear" w:color="auto" w:fill="auto"/>
            <w:noWrap/>
            <w:hideMark/>
          </w:tcPr>
          <w:p w14:paraId="5768C5F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12 </w:t>
            </w:r>
          </w:p>
          <w:p w14:paraId="697FEB9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w:t>
            </w:r>
          </w:p>
        </w:tc>
        <w:tc>
          <w:tcPr>
            <w:tcW w:w="810" w:type="dxa"/>
            <w:tcBorders>
              <w:top w:val="nil"/>
              <w:left w:val="nil"/>
              <w:bottom w:val="nil"/>
              <w:right w:val="nil"/>
            </w:tcBorders>
            <w:shd w:val="clear" w:color="auto" w:fill="auto"/>
            <w:noWrap/>
            <w:hideMark/>
          </w:tcPr>
          <w:p w14:paraId="6B7F30D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45 </w:t>
            </w:r>
          </w:p>
          <w:p w14:paraId="0982830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(20)</w:t>
            </w:r>
          </w:p>
        </w:tc>
      </w:tr>
      <w:tr w:rsidR="000C369F" w:rsidRPr="00A0665F" w14:paraId="50CFA241" w14:textId="77777777" w:rsidTr="00CD4734">
        <w:trPr>
          <w:trHeight w:val="315"/>
          <w:jc w:val="center"/>
        </w:trPr>
        <w:tc>
          <w:tcPr>
            <w:tcW w:w="1170" w:type="dxa"/>
            <w:vMerge w:val="restart"/>
            <w:tcBorders>
              <w:top w:val="nil"/>
              <w:left w:val="nil"/>
              <w:bottom w:val="nil"/>
              <w:right w:val="nil"/>
            </w:tcBorders>
            <w:shd w:val="clear" w:color="auto" w:fill="auto"/>
            <w:noWrap/>
            <w:hideMark/>
          </w:tcPr>
          <w:p w14:paraId="08BC2C7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SUL</w:t>
            </w:r>
          </w:p>
        </w:tc>
        <w:tc>
          <w:tcPr>
            <w:tcW w:w="1260" w:type="dxa"/>
            <w:tcBorders>
              <w:top w:val="nil"/>
              <w:left w:val="nil"/>
              <w:bottom w:val="nil"/>
              <w:right w:val="nil"/>
            </w:tcBorders>
            <w:shd w:val="clear" w:color="auto" w:fill="auto"/>
            <w:noWrap/>
            <w:hideMark/>
          </w:tcPr>
          <w:p w14:paraId="360390F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upland</w:t>
            </w:r>
          </w:p>
        </w:tc>
        <w:tc>
          <w:tcPr>
            <w:tcW w:w="810" w:type="dxa"/>
            <w:tcBorders>
              <w:top w:val="nil"/>
              <w:left w:val="nil"/>
              <w:bottom w:val="nil"/>
              <w:right w:val="nil"/>
            </w:tcBorders>
            <w:shd w:val="clear" w:color="auto" w:fill="auto"/>
            <w:noWrap/>
            <w:hideMark/>
          </w:tcPr>
          <w:p w14:paraId="41DC967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nil"/>
              <w:right w:val="nil"/>
            </w:tcBorders>
            <w:shd w:val="clear" w:color="auto" w:fill="auto"/>
            <w:noWrap/>
            <w:hideMark/>
          </w:tcPr>
          <w:p w14:paraId="4684309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3.6 </w:t>
            </w:r>
          </w:p>
          <w:p w14:paraId="5847D10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(2.3)</w:t>
            </w:r>
          </w:p>
        </w:tc>
        <w:tc>
          <w:tcPr>
            <w:tcW w:w="810" w:type="dxa"/>
            <w:tcBorders>
              <w:top w:val="nil"/>
              <w:left w:val="nil"/>
              <w:bottom w:val="nil"/>
              <w:right w:val="nil"/>
            </w:tcBorders>
            <w:shd w:val="clear" w:color="auto" w:fill="auto"/>
            <w:noWrap/>
            <w:hideMark/>
          </w:tcPr>
          <w:p w14:paraId="562B467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142 </w:t>
            </w:r>
          </w:p>
          <w:p w14:paraId="553B61A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(94)</w:t>
            </w:r>
          </w:p>
        </w:tc>
        <w:tc>
          <w:tcPr>
            <w:tcW w:w="630" w:type="dxa"/>
            <w:tcBorders>
              <w:top w:val="nil"/>
              <w:left w:val="nil"/>
              <w:bottom w:val="nil"/>
              <w:right w:val="nil"/>
            </w:tcBorders>
            <w:shd w:val="clear" w:color="auto" w:fill="auto"/>
            <w:noWrap/>
            <w:hideMark/>
          </w:tcPr>
          <w:p w14:paraId="621D36E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 </w:t>
            </w:r>
          </w:p>
          <w:p w14:paraId="15CF23F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(8)</w:t>
            </w:r>
          </w:p>
        </w:tc>
        <w:tc>
          <w:tcPr>
            <w:tcW w:w="720" w:type="dxa"/>
            <w:tcBorders>
              <w:top w:val="nil"/>
              <w:left w:val="nil"/>
              <w:bottom w:val="nil"/>
              <w:right w:val="nil"/>
            </w:tcBorders>
            <w:shd w:val="clear" w:color="auto" w:fill="auto"/>
            <w:noWrap/>
            <w:hideMark/>
          </w:tcPr>
          <w:p w14:paraId="46A3867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23 </w:t>
            </w:r>
          </w:p>
          <w:p w14:paraId="0A6B0F0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(13)</w:t>
            </w:r>
          </w:p>
        </w:tc>
        <w:tc>
          <w:tcPr>
            <w:tcW w:w="630" w:type="dxa"/>
            <w:tcBorders>
              <w:top w:val="nil"/>
              <w:left w:val="nil"/>
              <w:bottom w:val="nil"/>
              <w:right w:val="nil"/>
            </w:tcBorders>
            <w:shd w:val="clear" w:color="auto" w:fill="auto"/>
            <w:noWrap/>
            <w:hideMark/>
          </w:tcPr>
          <w:p w14:paraId="482C3A1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48 </w:t>
            </w:r>
          </w:p>
          <w:p w14:paraId="63BC4C5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(34)</w:t>
            </w:r>
          </w:p>
        </w:tc>
        <w:tc>
          <w:tcPr>
            <w:tcW w:w="630" w:type="dxa"/>
            <w:tcBorders>
              <w:top w:val="nil"/>
              <w:left w:val="nil"/>
              <w:bottom w:val="nil"/>
              <w:right w:val="nil"/>
            </w:tcBorders>
            <w:shd w:val="clear" w:color="auto" w:fill="auto"/>
            <w:noWrap/>
            <w:hideMark/>
          </w:tcPr>
          <w:p w14:paraId="49C92E8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8 </w:t>
            </w:r>
          </w:p>
          <w:p w14:paraId="460A95C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w:t>
            </w:r>
          </w:p>
        </w:tc>
        <w:tc>
          <w:tcPr>
            <w:tcW w:w="810" w:type="dxa"/>
            <w:tcBorders>
              <w:top w:val="nil"/>
              <w:left w:val="nil"/>
              <w:bottom w:val="nil"/>
              <w:right w:val="nil"/>
            </w:tcBorders>
            <w:shd w:val="clear" w:color="auto" w:fill="auto"/>
            <w:noWrap/>
            <w:hideMark/>
          </w:tcPr>
          <w:p w14:paraId="1F200D7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46 </w:t>
            </w:r>
          </w:p>
          <w:p w14:paraId="2BB16DD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(33)</w:t>
            </w:r>
          </w:p>
        </w:tc>
      </w:tr>
      <w:tr w:rsidR="000C369F" w:rsidRPr="00A0665F" w14:paraId="4061D674" w14:textId="77777777" w:rsidTr="00CD4734">
        <w:trPr>
          <w:trHeight w:val="315"/>
          <w:jc w:val="center"/>
        </w:trPr>
        <w:tc>
          <w:tcPr>
            <w:tcW w:w="1170" w:type="dxa"/>
            <w:vMerge/>
            <w:tcBorders>
              <w:top w:val="nil"/>
              <w:left w:val="nil"/>
              <w:bottom w:val="nil"/>
              <w:right w:val="nil"/>
            </w:tcBorders>
            <w:hideMark/>
          </w:tcPr>
          <w:p w14:paraId="48906696"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nil"/>
              <w:right w:val="nil"/>
            </w:tcBorders>
            <w:shd w:val="clear" w:color="auto" w:fill="auto"/>
            <w:noWrap/>
            <w:hideMark/>
          </w:tcPr>
          <w:p w14:paraId="66BC739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66AA4AC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2E04A57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4.9 </w:t>
            </w:r>
          </w:p>
          <w:p w14:paraId="034C9DE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(3.7)</w:t>
            </w:r>
          </w:p>
        </w:tc>
        <w:tc>
          <w:tcPr>
            <w:tcW w:w="810" w:type="dxa"/>
            <w:tcBorders>
              <w:top w:val="nil"/>
              <w:left w:val="nil"/>
              <w:bottom w:val="nil"/>
              <w:right w:val="nil"/>
            </w:tcBorders>
            <w:shd w:val="clear" w:color="auto" w:fill="auto"/>
            <w:noWrap/>
            <w:hideMark/>
          </w:tcPr>
          <w:p w14:paraId="2D5247F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136 </w:t>
            </w:r>
          </w:p>
          <w:p w14:paraId="489F862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(117)</w:t>
            </w:r>
          </w:p>
        </w:tc>
        <w:tc>
          <w:tcPr>
            <w:tcW w:w="630" w:type="dxa"/>
            <w:tcBorders>
              <w:top w:val="nil"/>
              <w:left w:val="nil"/>
              <w:bottom w:val="nil"/>
              <w:right w:val="nil"/>
            </w:tcBorders>
            <w:shd w:val="clear" w:color="auto" w:fill="auto"/>
            <w:noWrap/>
            <w:hideMark/>
          </w:tcPr>
          <w:p w14:paraId="2AEB6D1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27 </w:t>
            </w:r>
          </w:p>
          <w:p w14:paraId="24C44DF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(22)</w:t>
            </w:r>
          </w:p>
        </w:tc>
        <w:tc>
          <w:tcPr>
            <w:tcW w:w="720" w:type="dxa"/>
            <w:tcBorders>
              <w:top w:val="nil"/>
              <w:left w:val="nil"/>
              <w:bottom w:val="nil"/>
              <w:right w:val="nil"/>
            </w:tcBorders>
            <w:shd w:val="clear" w:color="auto" w:fill="auto"/>
            <w:noWrap/>
            <w:hideMark/>
          </w:tcPr>
          <w:p w14:paraId="19F0C5D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21 </w:t>
            </w:r>
          </w:p>
          <w:p w14:paraId="44E1B3C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(16)</w:t>
            </w:r>
          </w:p>
        </w:tc>
        <w:tc>
          <w:tcPr>
            <w:tcW w:w="630" w:type="dxa"/>
            <w:tcBorders>
              <w:top w:val="nil"/>
              <w:left w:val="nil"/>
              <w:bottom w:val="nil"/>
              <w:right w:val="nil"/>
            </w:tcBorders>
            <w:shd w:val="clear" w:color="auto" w:fill="auto"/>
            <w:noWrap/>
            <w:hideMark/>
          </w:tcPr>
          <w:p w14:paraId="21BA8C6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62 </w:t>
            </w:r>
          </w:p>
          <w:p w14:paraId="0CA8D3E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(50)</w:t>
            </w:r>
          </w:p>
        </w:tc>
        <w:tc>
          <w:tcPr>
            <w:tcW w:w="630" w:type="dxa"/>
            <w:tcBorders>
              <w:top w:val="nil"/>
              <w:left w:val="nil"/>
              <w:bottom w:val="nil"/>
              <w:right w:val="nil"/>
            </w:tcBorders>
            <w:shd w:val="clear" w:color="auto" w:fill="auto"/>
            <w:noWrap/>
            <w:hideMark/>
          </w:tcPr>
          <w:p w14:paraId="43D5731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11 </w:t>
            </w:r>
          </w:p>
          <w:p w14:paraId="6EAD526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(9)</w:t>
            </w:r>
          </w:p>
        </w:tc>
        <w:tc>
          <w:tcPr>
            <w:tcW w:w="810" w:type="dxa"/>
            <w:tcBorders>
              <w:top w:val="nil"/>
              <w:left w:val="nil"/>
              <w:bottom w:val="nil"/>
              <w:right w:val="nil"/>
            </w:tcBorders>
            <w:shd w:val="clear" w:color="auto" w:fill="auto"/>
            <w:noWrap/>
            <w:hideMark/>
          </w:tcPr>
          <w:p w14:paraId="0A4049B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42 </w:t>
            </w:r>
          </w:p>
          <w:p w14:paraId="5F57A50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(33)</w:t>
            </w:r>
          </w:p>
        </w:tc>
      </w:tr>
      <w:tr w:rsidR="000C369F" w:rsidRPr="00A0665F" w14:paraId="238D3161" w14:textId="77777777" w:rsidTr="00CD4734">
        <w:trPr>
          <w:trHeight w:val="315"/>
          <w:jc w:val="center"/>
        </w:trPr>
        <w:tc>
          <w:tcPr>
            <w:tcW w:w="1170" w:type="dxa"/>
            <w:tcBorders>
              <w:top w:val="nil"/>
              <w:left w:val="nil"/>
              <w:bottom w:val="nil"/>
              <w:right w:val="nil"/>
            </w:tcBorders>
            <w:shd w:val="clear" w:color="auto" w:fill="auto"/>
            <w:noWrap/>
            <w:hideMark/>
          </w:tcPr>
          <w:p w14:paraId="046CF7B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GOR</w:t>
            </w:r>
          </w:p>
        </w:tc>
        <w:tc>
          <w:tcPr>
            <w:tcW w:w="1260" w:type="dxa"/>
            <w:tcBorders>
              <w:top w:val="nil"/>
              <w:left w:val="nil"/>
              <w:bottom w:val="nil"/>
              <w:right w:val="nil"/>
            </w:tcBorders>
            <w:shd w:val="clear" w:color="auto" w:fill="auto"/>
            <w:noWrap/>
            <w:hideMark/>
          </w:tcPr>
          <w:p w14:paraId="6368A7B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upland</w:t>
            </w:r>
          </w:p>
        </w:tc>
        <w:tc>
          <w:tcPr>
            <w:tcW w:w="810" w:type="dxa"/>
            <w:tcBorders>
              <w:top w:val="nil"/>
              <w:left w:val="nil"/>
              <w:bottom w:val="nil"/>
              <w:right w:val="nil"/>
            </w:tcBorders>
            <w:shd w:val="clear" w:color="auto" w:fill="auto"/>
            <w:noWrap/>
            <w:hideMark/>
          </w:tcPr>
          <w:p w14:paraId="40F7B93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nil"/>
              <w:right w:val="nil"/>
            </w:tcBorders>
            <w:shd w:val="clear" w:color="auto" w:fill="auto"/>
            <w:noWrap/>
            <w:hideMark/>
          </w:tcPr>
          <w:p w14:paraId="7A89CF6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4.7 </w:t>
            </w:r>
          </w:p>
          <w:p w14:paraId="13E7248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(2.6)</w:t>
            </w:r>
          </w:p>
        </w:tc>
        <w:tc>
          <w:tcPr>
            <w:tcW w:w="810" w:type="dxa"/>
            <w:tcBorders>
              <w:top w:val="nil"/>
              <w:left w:val="nil"/>
              <w:bottom w:val="nil"/>
              <w:right w:val="nil"/>
            </w:tcBorders>
            <w:shd w:val="clear" w:color="auto" w:fill="auto"/>
            <w:noWrap/>
            <w:hideMark/>
          </w:tcPr>
          <w:p w14:paraId="2571DF4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165 </w:t>
            </w:r>
          </w:p>
          <w:p w14:paraId="1C8EBCF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(85)</w:t>
            </w:r>
          </w:p>
        </w:tc>
        <w:tc>
          <w:tcPr>
            <w:tcW w:w="630" w:type="dxa"/>
            <w:tcBorders>
              <w:top w:val="nil"/>
              <w:left w:val="nil"/>
              <w:bottom w:val="nil"/>
              <w:right w:val="nil"/>
            </w:tcBorders>
            <w:shd w:val="clear" w:color="auto" w:fill="auto"/>
            <w:noWrap/>
            <w:hideMark/>
          </w:tcPr>
          <w:p w14:paraId="2AF54A3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20 </w:t>
            </w:r>
          </w:p>
          <w:p w14:paraId="1F2C258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(10)</w:t>
            </w:r>
          </w:p>
        </w:tc>
        <w:tc>
          <w:tcPr>
            <w:tcW w:w="720" w:type="dxa"/>
            <w:tcBorders>
              <w:top w:val="nil"/>
              <w:left w:val="nil"/>
              <w:bottom w:val="nil"/>
              <w:right w:val="nil"/>
            </w:tcBorders>
            <w:shd w:val="clear" w:color="auto" w:fill="auto"/>
            <w:noWrap/>
            <w:hideMark/>
          </w:tcPr>
          <w:p w14:paraId="7BA94D5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37 </w:t>
            </w:r>
          </w:p>
          <w:p w14:paraId="2908E88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(20)</w:t>
            </w:r>
          </w:p>
        </w:tc>
        <w:tc>
          <w:tcPr>
            <w:tcW w:w="630" w:type="dxa"/>
            <w:tcBorders>
              <w:top w:val="nil"/>
              <w:left w:val="nil"/>
              <w:bottom w:val="nil"/>
              <w:right w:val="nil"/>
            </w:tcBorders>
            <w:shd w:val="clear" w:color="auto" w:fill="auto"/>
            <w:noWrap/>
            <w:hideMark/>
          </w:tcPr>
          <w:p w14:paraId="55CC9E4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69 </w:t>
            </w:r>
          </w:p>
          <w:p w14:paraId="25E064C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(39)</w:t>
            </w:r>
          </w:p>
        </w:tc>
        <w:tc>
          <w:tcPr>
            <w:tcW w:w="630" w:type="dxa"/>
            <w:tcBorders>
              <w:top w:val="nil"/>
              <w:left w:val="nil"/>
              <w:bottom w:val="nil"/>
              <w:right w:val="nil"/>
            </w:tcBorders>
            <w:shd w:val="clear" w:color="auto" w:fill="auto"/>
            <w:noWrap/>
            <w:hideMark/>
          </w:tcPr>
          <w:p w14:paraId="2C870A7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10 </w:t>
            </w:r>
          </w:p>
          <w:p w14:paraId="53A9982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(6)</w:t>
            </w:r>
          </w:p>
        </w:tc>
        <w:tc>
          <w:tcPr>
            <w:tcW w:w="810" w:type="dxa"/>
            <w:tcBorders>
              <w:top w:val="nil"/>
              <w:left w:val="nil"/>
              <w:bottom w:val="nil"/>
              <w:right w:val="nil"/>
            </w:tcBorders>
            <w:shd w:val="clear" w:color="auto" w:fill="auto"/>
            <w:noWrap/>
            <w:hideMark/>
          </w:tcPr>
          <w:p w14:paraId="2C3FD67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61 </w:t>
            </w:r>
          </w:p>
          <w:p w14:paraId="2814083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(34)</w:t>
            </w:r>
          </w:p>
        </w:tc>
      </w:tr>
      <w:tr w:rsidR="000C369F" w:rsidRPr="00A0665F" w14:paraId="7D70EA84" w14:textId="77777777" w:rsidTr="00CD4734">
        <w:trPr>
          <w:trHeight w:val="315"/>
          <w:jc w:val="center"/>
        </w:trPr>
        <w:tc>
          <w:tcPr>
            <w:tcW w:w="1170" w:type="dxa"/>
            <w:tcBorders>
              <w:top w:val="nil"/>
              <w:left w:val="nil"/>
              <w:bottom w:val="nil"/>
              <w:right w:val="nil"/>
            </w:tcBorders>
            <w:shd w:val="clear" w:color="auto" w:fill="auto"/>
            <w:noWrap/>
            <w:hideMark/>
          </w:tcPr>
          <w:p w14:paraId="7AAC1D9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SKA</w:t>
            </w:r>
          </w:p>
        </w:tc>
        <w:tc>
          <w:tcPr>
            <w:tcW w:w="1260" w:type="dxa"/>
            <w:tcBorders>
              <w:top w:val="nil"/>
              <w:left w:val="nil"/>
              <w:bottom w:val="nil"/>
              <w:right w:val="nil"/>
            </w:tcBorders>
            <w:shd w:val="clear" w:color="auto" w:fill="auto"/>
            <w:noWrap/>
            <w:hideMark/>
          </w:tcPr>
          <w:p w14:paraId="37F740E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tidal</w:t>
            </w:r>
          </w:p>
        </w:tc>
        <w:tc>
          <w:tcPr>
            <w:tcW w:w="810" w:type="dxa"/>
            <w:tcBorders>
              <w:top w:val="nil"/>
              <w:left w:val="nil"/>
              <w:bottom w:val="nil"/>
              <w:right w:val="nil"/>
            </w:tcBorders>
            <w:shd w:val="clear" w:color="auto" w:fill="auto"/>
            <w:noWrap/>
            <w:hideMark/>
          </w:tcPr>
          <w:p w14:paraId="2380E5A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22F749C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2.3 </w:t>
            </w:r>
          </w:p>
          <w:p w14:paraId="03D638C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(1.4)</w:t>
            </w:r>
          </w:p>
        </w:tc>
        <w:tc>
          <w:tcPr>
            <w:tcW w:w="810" w:type="dxa"/>
            <w:tcBorders>
              <w:top w:val="nil"/>
              <w:left w:val="nil"/>
              <w:bottom w:val="nil"/>
              <w:right w:val="nil"/>
            </w:tcBorders>
            <w:shd w:val="clear" w:color="auto" w:fill="auto"/>
            <w:noWrap/>
            <w:hideMark/>
          </w:tcPr>
          <w:p w14:paraId="4C4CE9D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91 </w:t>
            </w:r>
          </w:p>
          <w:p w14:paraId="3DB36B6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(53)</w:t>
            </w:r>
          </w:p>
        </w:tc>
        <w:tc>
          <w:tcPr>
            <w:tcW w:w="630" w:type="dxa"/>
            <w:tcBorders>
              <w:top w:val="nil"/>
              <w:left w:val="nil"/>
              <w:bottom w:val="nil"/>
              <w:right w:val="nil"/>
            </w:tcBorders>
            <w:shd w:val="clear" w:color="auto" w:fill="auto"/>
            <w:noWrap/>
            <w:hideMark/>
          </w:tcPr>
          <w:p w14:paraId="272CB5F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15 </w:t>
            </w:r>
          </w:p>
          <w:p w14:paraId="794CE91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(11)</w:t>
            </w:r>
          </w:p>
        </w:tc>
        <w:tc>
          <w:tcPr>
            <w:tcW w:w="720" w:type="dxa"/>
            <w:tcBorders>
              <w:top w:val="nil"/>
              <w:left w:val="nil"/>
              <w:bottom w:val="nil"/>
              <w:right w:val="nil"/>
            </w:tcBorders>
            <w:shd w:val="clear" w:color="auto" w:fill="auto"/>
            <w:noWrap/>
            <w:hideMark/>
          </w:tcPr>
          <w:p w14:paraId="169711F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22 </w:t>
            </w:r>
          </w:p>
          <w:p w14:paraId="3C98045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(14)</w:t>
            </w:r>
          </w:p>
        </w:tc>
        <w:tc>
          <w:tcPr>
            <w:tcW w:w="630" w:type="dxa"/>
            <w:tcBorders>
              <w:top w:val="nil"/>
              <w:left w:val="nil"/>
              <w:bottom w:val="nil"/>
              <w:right w:val="nil"/>
            </w:tcBorders>
            <w:shd w:val="clear" w:color="auto" w:fill="auto"/>
            <w:noWrap/>
            <w:hideMark/>
          </w:tcPr>
          <w:p w14:paraId="2EEA995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29 </w:t>
            </w:r>
          </w:p>
          <w:p w14:paraId="7909EA2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(20)</w:t>
            </w:r>
          </w:p>
        </w:tc>
        <w:tc>
          <w:tcPr>
            <w:tcW w:w="630" w:type="dxa"/>
            <w:tcBorders>
              <w:top w:val="nil"/>
              <w:left w:val="nil"/>
              <w:bottom w:val="nil"/>
              <w:right w:val="nil"/>
            </w:tcBorders>
            <w:shd w:val="clear" w:color="auto" w:fill="auto"/>
            <w:noWrap/>
            <w:hideMark/>
          </w:tcPr>
          <w:p w14:paraId="0C69FAC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 </w:t>
            </w:r>
          </w:p>
          <w:p w14:paraId="58C62E6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w:t>
            </w:r>
          </w:p>
        </w:tc>
        <w:tc>
          <w:tcPr>
            <w:tcW w:w="810" w:type="dxa"/>
            <w:tcBorders>
              <w:top w:val="nil"/>
              <w:left w:val="nil"/>
              <w:bottom w:val="nil"/>
              <w:right w:val="nil"/>
            </w:tcBorders>
            <w:shd w:val="clear" w:color="auto" w:fill="auto"/>
            <w:noWrap/>
            <w:hideMark/>
          </w:tcPr>
          <w:p w14:paraId="45EF39A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21 </w:t>
            </w:r>
          </w:p>
          <w:p w14:paraId="058293E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(16)</w:t>
            </w:r>
          </w:p>
        </w:tc>
      </w:tr>
      <w:tr w:rsidR="000C369F" w:rsidRPr="00A0665F" w14:paraId="201E61AD" w14:textId="77777777" w:rsidTr="00CD4734">
        <w:trPr>
          <w:trHeight w:val="315"/>
          <w:jc w:val="center"/>
        </w:trPr>
        <w:tc>
          <w:tcPr>
            <w:tcW w:w="1170" w:type="dxa"/>
            <w:vMerge w:val="restart"/>
            <w:tcBorders>
              <w:top w:val="nil"/>
              <w:left w:val="nil"/>
              <w:bottom w:val="single" w:sz="4" w:space="0" w:color="000000"/>
              <w:right w:val="nil"/>
            </w:tcBorders>
            <w:shd w:val="clear" w:color="auto" w:fill="auto"/>
            <w:noWrap/>
            <w:hideMark/>
          </w:tcPr>
          <w:p w14:paraId="6FE1D5D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WNT</w:t>
            </w:r>
          </w:p>
        </w:tc>
        <w:tc>
          <w:tcPr>
            <w:tcW w:w="1260" w:type="dxa"/>
            <w:tcBorders>
              <w:top w:val="nil"/>
              <w:left w:val="nil"/>
              <w:bottom w:val="nil"/>
              <w:right w:val="nil"/>
            </w:tcBorders>
            <w:shd w:val="clear" w:color="auto" w:fill="auto"/>
            <w:noWrap/>
            <w:hideMark/>
          </w:tcPr>
          <w:p w14:paraId="45D59E1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nil"/>
              <w:right w:val="nil"/>
            </w:tcBorders>
            <w:shd w:val="clear" w:color="auto" w:fill="auto"/>
            <w:noWrap/>
            <w:hideMark/>
          </w:tcPr>
          <w:p w14:paraId="2F1F352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5B4797C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5.9 </w:t>
            </w:r>
          </w:p>
          <w:p w14:paraId="6496690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(1.9)</w:t>
            </w:r>
          </w:p>
        </w:tc>
        <w:tc>
          <w:tcPr>
            <w:tcW w:w="810" w:type="dxa"/>
            <w:tcBorders>
              <w:top w:val="nil"/>
              <w:left w:val="nil"/>
              <w:bottom w:val="nil"/>
              <w:right w:val="nil"/>
            </w:tcBorders>
            <w:shd w:val="clear" w:color="auto" w:fill="auto"/>
            <w:noWrap/>
            <w:hideMark/>
          </w:tcPr>
          <w:p w14:paraId="7947690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159 </w:t>
            </w:r>
          </w:p>
          <w:p w14:paraId="4394788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(79)</w:t>
            </w:r>
          </w:p>
        </w:tc>
        <w:tc>
          <w:tcPr>
            <w:tcW w:w="630" w:type="dxa"/>
            <w:tcBorders>
              <w:top w:val="nil"/>
              <w:left w:val="nil"/>
              <w:bottom w:val="nil"/>
              <w:right w:val="nil"/>
            </w:tcBorders>
            <w:shd w:val="clear" w:color="auto" w:fill="auto"/>
            <w:noWrap/>
            <w:hideMark/>
          </w:tcPr>
          <w:p w14:paraId="31E07DD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30 </w:t>
            </w:r>
          </w:p>
          <w:p w14:paraId="0C47FCF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(28)</w:t>
            </w:r>
          </w:p>
        </w:tc>
        <w:tc>
          <w:tcPr>
            <w:tcW w:w="720" w:type="dxa"/>
            <w:tcBorders>
              <w:top w:val="nil"/>
              <w:left w:val="nil"/>
              <w:bottom w:val="nil"/>
              <w:right w:val="nil"/>
            </w:tcBorders>
            <w:shd w:val="clear" w:color="auto" w:fill="auto"/>
            <w:noWrap/>
            <w:hideMark/>
          </w:tcPr>
          <w:p w14:paraId="40C160F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22 </w:t>
            </w:r>
          </w:p>
          <w:p w14:paraId="55B26CAD"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(12)</w:t>
            </w:r>
          </w:p>
        </w:tc>
        <w:tc>
          <w:tcPr>
            <w:tcW w:w="630" w:type="dxa"/>
            <w:tcBorders>
              <w:top w:val="nil"/>
              <w:left w:val="nil"/>
              <w:bottom w:val="nil"/>
              <w:right w:val="nil"/>
            </w:tcBorders>
            <w:shd w:val="clear" w:color="auto" w:fill="auto"/>
            <w:noWrap/>
            <w:hideMark/>
          </w:tcPr>
          <w:p w14:paraId="39000D7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83 </w:t>
            </w:r>
          </w:p>
          <w:p w14:paraId="5211D8F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(29)</w:t>
            </w:r>
          </w:p>
        </w:tc>
        <w:tc>
          <w:tcPr>
            <w:tcW w:w="630" w:type="dxa"/>
            <w:tcBorders>
              <w:top w:val="nil"/>
              <w:left w:val="nil"/>
              <w:bottom w:val="nil"/>
              <w:right w:val="nil"/>
            </w:tcBorders>
            <w:shd w:val="clear" w:color="auto" w:fill="auto"/>
            <w:noWrap/>
            <w:hideMark/>
          </w:tcPr>
          <w:p w14:paraId="11BE2952"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14 </w:t>
            </w:r>
          </w:p>
          <w:p w14:paraId="4743E63C"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w:t>
            </w:r>
          </w:p>
        </w:tc>
        <w:tc>
          <w:tcPr>
            <w:tcW w:w="810" w:type="dxa"/>
            <w:tcBorders>
              <w:top w:val="nil"/>
              <w:left w:val="nil"/>
              <w:bottom w:val="nil"/>
              <w:right w:val="nil"/>
            </w:tcBorders>
            <w:shd w:val="clear" w:color="auto" w:fill="auto"/>
            <w:noWrap/>
            <w:hideMark/>
          </w:tcPr>
          <w:p w14:paraId="12E47586"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52 </w:t>
            </w:r>
          </w:p>
          <w:p w14:paraId="617D5478"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(17)</w:t>
            </w:r>
          </w:p>
        </w:tc>
      </w:tr>
      <w:tr w:rsidR="000C369F" w:rsidRPr="00A0665F" w14:paraId="4BBA25E5" w14:textId="77777777" w:rsidTr="00CD4734">
        <w:trPr>
          <w:trHeight w:val="315"/>
          <w:jc w:val="center"/>
        </w:trPr>
        <w:tc>
          <w:tcPr>
            <w:tcW w:w="1170" w:type="dxa"/>
            <w:vMerge/>
            <w:tcBorders>
              <w:top w:val="nil"/>
              <w:left w:val="nil"/>
              <w:bottom w:val="single" w:sz="4" w:space="0" w:color="000000"/>
              <w:right w:val="nil"/>
            </w:tcBorders>
            <w:hideMark/>
          </w:tcPr>
          <w:p w14:paraId="4895FAC5"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single" w:sz="4" w:space="0" w:color="auto"/>
              <w:right w:val="nil"/>
            </w:tcBorders>
            <w:shd w:val="clear" w:color="auto" w:fill="auto"/>
            <w:noWrap/>
            <w:hideMark/>
          </w:tcPr>
          <w:p w14:paraId="3CC2380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lowland</w:t>
            </w:r>
          </w:p>
        </w:tc>
        <w:tc>
          <w:tcPr>
            <w:tcW w:w="810" w:type="dxa"/>
            <w:tcBorders>
              <w:top w:val="nil"/>
              <w:left w:val="nil"/>
              <w:bottom w:val="single" w:sz="4" w:space="0" w:color="auto"/>
              <w:right w:val="nil"/>
            </w:tcBorders>
            <w:shd w:val="clear" w:color="auto" w:fill="auto"/>
            <w:noWrap/>
            <w:hideMark/>
          </w:tcPr>
          <w:p w14:paraId="01EB291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single" w:sz="4" w:space="0" w:color="auto"/>
              <w:right w:val="nil"/>
            </w:tcBorders>
            <w:shd w:val="clear" w:color="auto" w:fill="auto"/>
            <w:noWrap/>
            <w:hideMark/>
          </w:tcPr>
          <w:p w14:paraId="359385E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7 </w:t>
            </w:r>
          </w:p>
          <w:p w14:paraId="7785047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(2.1)</w:t>
            </w:r>
          </w:p>
        </w:tc>
        <w:tc>
          <w:tcPr>
            <w:tcW w:w="810" w:type="dxa"/>
            <w:tcBorders>
              <w:top w:val="nil"/>
              <w:left w:val="nil"/>
              <w:bottom w:val="single" w:sz="4" w:space="0" w:color="auto"/>
              <w:right w:val="nil"/>
            </w:tcBorders>
            <w:shd w:val="clear" w:color="auto" w:fill="auto"/>
            <w:noWrap/>
            <w:hideMark/>
          </w:tcPr>
          <w:p w14:paraId="45099C1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183 </w:t>
            </w:r>
          </w:p>
          <w:p w14:paraId="1CB58A8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(76)</w:t>
            </w:r>
          </w:p>
        </w:tc>
        <w:tc>
          <w:tcPr>
            <w:tcW w:w="630" w:type="dxa"/>
            <w:tcBorders>
              <w:top w:val="nil"/>
              <w:left w:val="nil"/>
              <w:bottom w:val="single" w:sz="4" w:space="0" w:color="auto"/>
              <w:right w:val="nil"/>
            </w:tcBorders>
            <w:shd w:val="clear" w:color="auto" w:fill="auto"/>
            <w:noWrap/>
            <w:hideMark/>
          </w:tcPr>
          <w:p w14:paraId="7B8F252A"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22 </w:t>
            </w:r>
          </w:p>
          <w:p w14:paraId="3D91C63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(18)</w:t>
            </w:r>
          </w:p>
        </w:tc>
        <w:tc>
          <w:tcPr>
            <w:tcW w:w="720" w:type="dxa"/>
            <w:tcBorders>
              <w:top w:val="nil"/>
              <w:left w:val="nil"/>
              <w:bottom w:val="single" w:sz="4" w:space="0" w:color="auto"/>
              <w:right w:val="nil"/>
            </w:tcBorders>
            <w:shd w:val="clear" w:color="auto" w:fill="auto"/>
            <w:noWrap/>
            <w:hideMark/>
          </w:tcPr>
          <w:p w14:paraId="1C6D7BC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28 </w:t>
            </w:r>
          </w:p>
          <w:p w14:paraId="2F33492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(20)</w:t>
            </w:r>
          </w:p>
        </w:tc>
        <w:tc>
          <w:tcPr>
            <w:tcW w:w="630" w:type="dxa"/>
            <w:tcBorders>
              <w:top w:val="nil"/>
              <w:left w:val="nil"/>
              <w:bottom w:val="single" w:sz="4" w:space="0" w:color="auto"/>
              <w:right w:val="nil"/>
            </w:tcBorders>
            <w:shd w:val="clear" w:color="auto" w:fill="auto"/>
            <w:noWrap/>
            <w:hideMark/>
          </w:tcPr>
          <w:p w14:paraId="5D8B3E2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97 </w:t>
            </w:r>
          </w:p>
          <w:p w14:paraId="41DC533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(21)</w:t>
            </w:r>
          </w:p>
        </w:tc>
        <w:tc>
          <w:tcPr>
            <w:tcW w:w="630" w:type="dxa"/>
            <w:tcBorders>
              <w:top w:val="nil"/>
              <w:left w:val="nil"/>
              <w:bottom w:val="single" w:sz="4" w:space="0" w:color="auto"/>
              <w:right w:val="nil"/>
            </w:tcBorders>
            <w:shd w:val="clear" w:color="auto" w:fill="auto"/>
            <w:noWrap/>
            <w:hideMark/>
          </w:tcPr>
          <w:p w14:paraId="3C70E77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15 </w:t>
            </w:r>
          </w:p>
          <w:p w14:paraId="526C26C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w:t>
            </w:r>
          </w:p>
        </w:tc>
        <w:tc>
          <w:tcPr>
            <w:tcW w:w="810" w:type="dxa"/>
            <w:tcBorders>
              <w:top w:val="nil"/>
              <w:left w:val="nil"/>
              <w:bottom w:val="single" w:sz="4" w:space="0" w:color="auto"/>
              <w:right w:val="nil"/>
            </w:tcBorders>
            <w:shd w:val="clear" w:color="auto" w:fill="auto"/>
            <w:noWrap/>
            <w:hideMark/>
          </w:tcPr>
          <w:p w14:paraId="1A179D3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 xml:space="preserve">87 </w:t>
            </w:r>
          </w:p>
          <w:p w14:paraId="16F8394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(23)</w:t>
            </w:r>
          </w:p>
        </w:tc>
      </w:tr>
      <w:tr w:rsidR="000C369F" w:rsidRPr="00A0665F" w14:paraId="3EB87D74" w14:textId="77777777" w:rsidTr="00CD4734">
        <w:trPr>
          <w:trHeight w:val="315"/>
          <w:jc w:val="center"/>
        </w:trPr>
        <w:tc>
          <w:tcPr>
            <w:tcW w:w="2430" w:type="dxa"/>
            <w:gridSpan w:val="2"/>
            <w:tcBorders>
              <w:top w:val="nil"/>
              <w:left w:val="nil"/>
              <w:bottom w:val="nil"/>
              <w:right w:val="nil"/>
            </w:tcBorders>
            <w:shd w:val="clear" w:color="auto" w:fill="auto"/>
            <w:noWrap/>
            <w:hideMark/>
          </w:tcPr>
          <w:p w14:paraId="3F4C9882" w14:textId="77777777" w:rsidR="000C369F" w:rsidRPr="00A0665F" w:rsidRDefault="000C369F" w:rsidP="00CD4734">
            <w:pPr>
              <w:spacing w:line="240" w:lineRule="auto"/>
              <w:rPr>
                <w:rFonts w:eastAsia="Times New Roman"/>
                <w:color w:val="000000"/>
                <w:lang w:eastAsia="en-US"/>
              </w:rPr>
            </w:pPr>
            <w:r w:rsidRPr="00A0665F">
              <w:rPr>
                <w:rFonts w:eastAsia="Times New Roman"/>
                <w:color w:val="000000"/>
                <w:lang w:eastAsia="en-US"/>
              </w:rPr>
              <w:t>Overall average</w:t>
            </w:r>
          </w:p>
        </w:tc>
        <w:tc>
          <w:tcPr>
            <w:tcW w:w="810" w:type="dxa"/>
            <w:tcBorders>
              <w:top w:val="nil"/>
              <w:left w:val="nil"/>
              <w:bottom w:val="nil"/>
              <w:right w:val="nil"/>
            </w:tcBorders>
            <w:shd w:val="clear" w:color="auto" w:fill="auto"/>
            <w:noWrap/>
            <w:hideMark/>
          </w:tcPr>
          <w:p w14:paraId="788396A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rice</w:t>
            </w:r>
          </w:p>
        </w:tc>
        <w:tc>
          <w:tcPr>
            <w:tcW w:w="1530" w:type="dxa"/>
            <w:tcBorders>
              <w:top w:val="nil"/>
              <w:left w:val="nil"/>
              <w:bottom w:val="nil"/>
              <w:right w:val="nil"/>
            </w:tcBorders>
            <w:shd w:val="clear" w:color="auto" w:fill="auto"/>
            <w:noWrap/>
            <w:hideMark/>
          </w:tcPr>
          <w:p w14:paraId="6B37864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5.5</w:t>
            </w:r>
          </w:p>
        </w:tc>
        <w:tc>
          <w:tcPr>
            <w:tcW w:w="810" w:type="dxa"/>
            <w:tcBorders>
              <w:top w:val="nil"/>
              <w:left w:val="nil"/>
              <w:bottom w:val="nil"/>
              <w:right w:val="nil"/>
            </w:tcBorders>
            <w:shd w:val="clear" w:color="auto" w:fill="auto"/>
            <w:noWrap/>
            <w:hideMark/>
          </w:tcPr>
          <w:p w14:paraId="4C27CE6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151</w:t>
            </w:r>
          </w:p>
        </w:tc>
        <w:tc>
          <w:tcPr>
            <w:tcW w:w="630" w:type="dxa"/>
            <w:tcBorders>
              <w:top w:val="nil"/>
              <w:left w:val="nil"/>
              <w:bottom w:val="nil"/>
              <w:right w:val="nil"/>
            </w:tcBorders>
            <w:shd w:val="clear" w:color="auto" w:fill="auto"/>
            <w:noWrap/>
            <w:hideMark/>
          </w:tcPr>
          <w:p w14:paraId="2E251EB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30</w:t>
            </w:r>
          </w:p>
        </w:tc>
        <w:tc>
          <w:tcPr>
            <w:tcW w:w="720" w:type="dxa"/>
            <w:tcBorders>
              <w:top w:val="nil"/>
              <w:left w:val="nil"/>
              <w:bottom w:val="nil"/>
              <w:right w:val="nil"/>
            </w:tcBorders>
            <w:shd w:val="clear" w:color="auto" w:fill="auto"/>
            <w:noWrap/>
            <w:hideMark/>
          </w:tcPr>
          <w:p w14:paraId="6117B375"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35</w:t>
            </w:r>
          </w:p>
        </w:tc>
        <w:tc>
          <w:tcPr>
            <w:tcW w:w="630" w:type="dxa"/>
            <w:tcBorders>
              <w:top w:val="nil"/>
              <w:left w:val="nil"/>
              <w:bottom w:val="nil"/>
              <w:right w:val="nil"/>
            </w:tcBorders>
            <w:shd w:val="clear" w:color="auto" w:fill="auto"/>
            <w:noWrap/>
            <w:hideMark/>
          </w:tcPr>
          <w:p w14:paraId="654C881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74</w:t>
            </w:r>
          </w:p>
        </w:tc>
        <w:tc>
          <w:tcPr>
            <w:tcW w:w="630" w:type="dxa"/>
            <w:tcBorders>
              <w:top w:val="nil"/>
              <w:left w:val="nil"/>
              <w:bottom w:val="nil"/>
              <w:right w:val="nil"/>
            </w:tcBorders>
            <w:shd w:val="clear" w:color="auto" w:fill="auto"/>
            <w:noWrap/>
            <w:hideMark/>
          </w:tcPr>
          <w:p w14:paraId="440CB19E"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13</w:t>
            </w:r>
          </w:p>
        </w:tc>
        <w:tc>
          <w:tcPr>
            <w:tcW w:w="810" w:type="dxa"/>
            <w:tcBorders>
              <w:top w:val="nil"/>
              <w:left w:val="nil"/>
              <w:bottom w:val="nil"/>
              <w:right w:val="nil"/>
            </w:tcBorders>
            <w:shd w:val="clear" w:color="auto" w:fill="auto"/>
            <w:noWrap/>
            <w:hideMark/>
          </w:tcPr>
          <w:p w14:paraId="3606D224"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53</w:t>
            </w:r>
          </w:p>
        </w:tc>
      </w:tr>
      <w:tr w:rsidR="000C369F" w:rsidRPr="00A0665F" w14:paraId="0EBB84C7" w14:textId="77777777" w:rsidTr="00CD4734">
        <w:trPr>
          <w:trHeight w:val="315"/>
          <w:jc w:val="center"/>
        </w:trPr>
        <w:tc>
          <w:tcPr>
            <w:tcW w:w="1170" w:type="dxa"/>
            <w:tcBorders>
              <w:top w:val="nil"/>
              <w:left w:val="nil"/>
              <w:bottom w:val="single" w:sz="4" w:space="0" w:color="auto"/>
              <w:right w:val="nil"/>
            </w:tcBorders>
            <w:shd w:val="clear" w:color="auto" w:fill="auto"/>
            <w:noWrap/>
            <w:hideMark/>
          </w:tcPr>
          <w:p w14:paraId="46B1A4D4" w14:textId="77777777" w:rsidR="000C369F" w:rsidRPr="00A0665F" w:rsidRDefault="000C369F" w:rsidP="00CD4734">
            <w:pPr>
              <w:spacing w:line="240" w:lineRule="auto"/>
              <w:jc w:val="center"/>
              <w:rPr>
                <w:rFonts w:eastAsia="Times New Roman"/>
                <w:color w:val="000000"/>
                <w:lang w:eastAsia="en-US"/>
              </w:rPr>
            </w:pPr>
          </w:p>
        </w:tc>
        <w:tc>
          <w:tcPr>
            <w:tcW w:w="1260" w:type="dxa"/>
            <w:tcBorders>
              <w:top w:val="nil"/>
              <w:left w:val="nil"/>
              <w:bottom w:val="single" w:sz="4" w:space="0" w:color="auto"/>
              <w:right w:val="nil"/>
            </w:tcBorders>
            <w:shd w:val="clear" w:color="auto" w:fill="auto"/>
            <w:noWrap/>
            <w:hideMark/>
          </w:tcPr>
          <w:p w14:paraId="280D431E" w14:textId="77777777" w:rsidR="000C369F" w:rsidRPr="00A0665F" w:rsidRDefault="000C369F" w:rsidP="00CD4734">
            <w:pPr>
              <w:spacing w:line="240" w:lineRule="auto"/>
              <w:jc w:val="center"/>
              <w:rPr>
                <w:rFonts w:eastAsia="Times New Roman"/>
                <w:color w:val="000000"/>
                <w:lang w:eastAsia="en-US"/>
              </w:rPr>
            </w:pPr>
          </w:p>
        </w:tc>
        <w:tc>
          <w:tcPr>
            <w:tcW w:w="810" w:type="dxa"/>
            <w:tcBorders>
              <w:top w:val="nil"/>
              <w:left w:val="nil"/>
              <w:bottom w:val="single" w:sz="4" w:space="0" w:color="auto"/>
              <w:right w:val="nil"/>
            </w:tcBorders>
            <w:shd w:val="clear" w:color="auto" w:fill="auto"/>
            <w:noWrap/>
            <w:hideMark/>
          </w:tcPr>
          <w:p w14:paraId="1FD4912B"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maize</w:t>
            </w:r>
          </w:p>
        </w:tc>
        <w:tc>
          <w:tcPr>
            <w:tcW w:w="1530" w:type="dxa"/>
            <w:tcBorders>
              <w:top w:val="nil"/>
              <w:left w:val="nil"/>
              <w:bottom w:val="single" w:sz="4" w:space="0" w:color="auto"/>
              <w:right w:val="nil"/>
            </w:tcBorders>
            <w:shd w:val="clear" w:color="auto" w:fill="auto"/>
            <w:noWrap/>
            <w:hideMark/>
          </w:tcPr>
          <w:p w14:paraId="38D1EC1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6.3</w:t>
            </w:r>
          </w:p>
        </w:tc>
        <w:tc>
          <w:tcPr>
            <w:tcW w:w="810" w:type="dxa"/>
            <w:tcBorders>
              <w:top w:val="nil"/>
              <w:left w:val="nil"/>
              <w:bottom w:val="single" w:sz="4" w:space="0" w:color="auto"/>
              <w:right w:val="nil"/>
            </w:tcBorders>
            <w:shd w:val="clear" w:color="auto" w:fill="auto"/>
            <w:noWrap/>
            <w:hideMark/>
          </w:tcPr>
          <w:p w14:paraId="685B4DE0"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194</w:t>
            </w:r>
          </w:p>
        </w:tc>
        <w:tc>
          <w:tcPr>
            <w:tcW w:w="630" w:type="dxa"/>
            <w:tcBorders>
              <w:top w:val="nil"/>
              <w:left w:val="nil"/>
              <w:bottom w:val="single" w:sz="4" w:space="0" w:color="auto"/>
              <w:right w:val="nil"/>
            </w:tcBorders>
            <w:shd w:val="clear" w:color="auto" w:fill="auto"/>
            <w:noWrap/>
            <w:hideMark/>
          </w:tcPr>
          <w:p w14:paraId="11C77F91"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29</w:t>
            </w:r>
          </w:p>
        </w:tc>
        <w:tc>
          <w:tcPr>
            <w:tcW w:w="720" w:type="dxa"/>
            <w:tcBorders>
              <w:top w:val="nil"/>
              <w:left w:val="nil"/>
              <w:bottom w:val="single" w:sz="4" w:space="0" w:color="auto"/>
              <w:right w:val="nil"/>
            </w:tcBorders>
            <w:shd w:val="clear" w:color="auto" w:fill="auto"/>
            <w:noWrap/>
            <w:hideMark/>
          </w:tcPr>
          <w:p w14:paraId="2D759473"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44</w:t>
            </w:r>
          </w:p>
        </w:tc>
        <w:tc>
          <w:tcPr>
            <w:tcW w:w="630" w:type="dxa"/>
            <w:tcBorders>
              <w:top w:val="nil"/>
              <w:left w:val="nil"/>
              <w:bottom w:val="single" w:sz="4" w:space="0" w:color="auto"/>
              <w:right w:val="nil"/>
            </w:tcBorders>
            <w:shd w:val="clear" w:color="auto" w:fill="auto"/>
            <w:noWrap/>
            <w:hideMark/>
          </w:tcPr>
          <w:p w14:paraId="12CCD127"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86</w:t>
            </w:r>
          </w:p>
        </w:tc>
        <w:tc>
          <w:tcPr>
            <w:tcW w:w="630" w:type="dxa"/>
            <w:tcBorders>
              <w:top w:val="nil"/>
              <w:left w:val="nil"/>
              <w:bottom w:val="single" w:sz="4" w:space="0" w:color="auto"/>
              <w:right w:val="nil"/>
            </w:tcBorders>
            <w:shd w:val="clear" w:color="auto" w:fill="auto"/>
            <w:noWrap/>
            <w:hideMark/>
          </w:tcPr>
          <w:p w14:paraId="568082AF"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14</w:t>
            </w:r>
          </w:p>
        </w:tc>
        <w:tc>
          <w:tcPr>
            <w:tcW w:w="810" w:type="dxa"/>
            <w:tcBorders>
              <w:top w:val="nil"/>
              <w:left w:val="nil"/>
              <w:bottom w:val="single" w:sz="4" w:space="0" w:color="auto"/>
              <w:right w:val="nil"/>
            </w:tcBorders>
            <w:shd w:val="clear" w:color="auto" w:fill="auto"/>
            <w:noWrap/>
            <w:hideMark/>
          </w:tcPr>
          <w:p w14:paraId="1B225249" w14:textId="77777777" w:rsidR="000C369F" w:rsidRPr="00A0665F" w:rsidRDefault="000C369F" w:rsidP="00CD4734">
            <w:pPr>
              <w:spacing w:line="240" w:lineRule="auto"/>
              <w:jc w:val="center"/>
              <w:rPr>
                <w:rFonts w:eastAsia="Times New Roman"/>
                <w:color w:val="000000"/>
                <w:lang w:eastAsia="en-US"/>
              </w:rPr>
            </w:pPr>
            <w:r w:rsidRPr="00A0665F">
              <w:rPr>
                <w:rFonts w:eastAsia="Times New Roman"/>
                <w:color w:val="000000"/>
                <w:lang w:eastAsia="en-US"/>
              </w:rPr>
              <w:t>85</w:t>
            </w:r>
          </w:p>
        </w:tc>
      </w:tr>
    </w:tbl>
    <w:p w14:paraId="4AE179FE" w14:textId="77777777" w:rsidR="000C369F" w:rsidRPr="00C61E77" w:rsidRDefault="000C369F" w:rsidP="000C369F">
      <w:pPr>
        <w:spacing w:after="160" w:line="259" w:lineRule="auto"/>
      </w:pPr>
      <w:r w:rsidRPr="00295ADA">
        <w:br w:type="page"/>
      </w:r>
      <w:bookmarkStart w:id="11" w:name="_Ref116469794"/>
      <w:r w:rsidRPr="00295ADA">
        <w:rPr>
          <w:b/>
          <w:bCs/>
          <w:i/>
          <w:iCs/>
        </w:rPr>
        <w:lastRenderedPageBreak/>
        <w:t>Supplementary Table S</w:t>
      </w:r>
      <w:r w:rsidRPr="00295ADA">
        <w:rPr>
          <w:b/>
          <w:bCs/>
          <w:i/>
          <w:iCs/>
        </w:rPr>
        <w:fldChar w:fldCharType="begin"/>
      </w:r>
      <w:r w:rsidRPr="00295ADA">
        <w:rPr>
          <w:b/>
          <w:bCs/>
          <w:i/>
          <w:iCs/>
        </w:rPr>
        <w:instrText xml:space="preserve"> SEQ Supplementary_Table_S \* ARABIC </w:instrText>
      </w:r>
      <w:r w:rsidRPr="00295ADA">
        <w:rPr>
          <w:b/>
          <w:bCs/>
          <w:i/>
          <w:iCs/>
        </w:rPr>
        <w:fldChar w:fldCharType="separate"/>
      </w:r>
      <w:r w:rsidRPr="00295ADA">
        <w:rPr>
          <w:b/>
          <w:bCs/>
          <w:i/>
          <w:iCs/>
          <w:noProof/>
        </w:rPr>
        <w:t>2</w:t>
      </w:r>
      <w:r w:rsidRPr="00295ADA">
        <w:rPr>
          <w:b/>
          <w:bCs/>
          <w:i/>
          <w:iCs/>
        </w:rPr>
        <w:fldChar w:fldCharType="end"/>
      </w:r>
      <w:bookmarkEnd w:id="11"/>
      <w:r w:rsidRPr="00295ADA">
        <w:rPr>
          <w:b/>
          <w:bCs/>
          <w:i/>
          <w:iCs/>
        </w:rPr>
        <w:t>.</w:t>
      </w:r>
      <w:r w:rsidRPr="00295ADA">
        <w:rPr>
          <w:i/>
          <w:iCs/>
        </w:rPr>
        <w:t xml:space="preserve"> Critical nutrient concentrations (%) for nitrogen (N), phosphorus (P), and potassium (K) reported in the literature for rice and maize based on measured nutrient concentration in flag leaf (rice) and ear leaf (maize) in early anthesis and silking, respectively. Also shown are the averages and interquartile range (IRQ) for each nutrient, which were used in the present study to diagnose nutrient deficiencies.</w:t>
      </w:r>
    </w:p>
    <w:p w14:paraId="4711EBDA" w14:textId="77777777" w:rsidR="000C369F" w:rsidRPr="00295ADA" w:rsidRDefault="000C369F" w:rsidP="000C369F"/>
    <w:tbl>
      <w:tblPr>
        <w:tblW w:w="0" w:type="auto"/>
        <w:jc w:val="center"/>
        <w:tblLook w:val="04A0" w:firstRow="1" w:lastRow="0" w:firstColumn="1" w:lastColumn="0" w:noHBand="0" w:noVBand="1"/>
      </w:tblPr>
      <w:tblGrid>
        <w:gridCol w:w="1662"/>
        <w:gridCol w:w="1036"/>
        <w:gridCol w:w="1276"/>
        <w:gridCol w:w="1036"/>
        <w:gridCol w:w="3363"/>
      </w:tblGrid>
      <w:tr w:rsidR="000C369F" w:rsidRPr="00295ADA" w14:paraId="679F251A" w14:textId="77777777" w:rsidTr="00CD4734">
        <w:trPr>
          <w:trHeight w:val="144"/>
          <w:jc w:val="center"/>
        </w:trPr>
        <w:tc>
          <w:tcPr>
            <w:tcW w:w="0" w:type="auto"/>
            <w:tcBorders>
              <w:top w:val="single" w:sz="4" w:space="0" w:color="auto"/>
              <w:left w:val="nil"/>
              <w:bottom w:val="nil"/>
              <w:right w:val="nil"/>
            </w:tcBorders>
            <w:shd w:val="clear" w:color="auto" w:fill="auto"/>
            <w:noWrap/>
            <w:hideMark/>
          </w:tcPr>
          <w:p w14:paraId="1591D739"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Crop</w:t>
            </w:r>
          </w:p>
        </w:tc>
        <w:tc>
          <w:tcPr>
            <w:tcW w:w="0" w:type="auto"/>
            <w:gridSpan w:val="3"/>
            <w:tcBorders>
              <w:top w:val="single" w:sz="4" w:space="0" w:color="auto"/>
              <w:left w:val="nil"/>
              <w:bottom w:val="nil"/>
              <w:right w:val="nil"/>
            </w:tcBorders>
            <w:shd w:val="clear" w:color="auto" w:fill="auto"/>
            <w:noWrap/>
            <w:hideMark/>
          </w:tcPr>
          <w:p w14:paraId="16FA750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Nutrient concentration (%)</w:t>
            </w:r>
          </w:p>
        </w:tc>
        <w:tc>
          <w:tcPr>
            <w:tcW w:w="0" w:type="auto"/>
            <w:tcBorders>
              <w:top w:val="single" w:sz="4" w:space="0" w:color="auto"/>
              <w:left w:val="nil"/>
              <w:bottom w:val="nil"/>
              <w:right w:val="nil"/>
            </w:tcBorders>
            <w:shd w:val="clear" w:color="auto" w:fill="auto"/>
            <w:noWrap/>
            <w:hideMark/>
          </w:tcPr>
          <w:p w14:paraId="216981A4"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Reference</w:t>
            </w:r>
          </w:p>
        </w:tc>
      </w:tr>
      <w:tr w:rsidR="000C369F" w:rsidRPr="00295ADA" w14:paraId="36116FC7" w14:textId="77777777" w:rsidTr="00CD4734">
        <w:trPr>
          <w:trHeight w:val="144"/>
          <w:jc w:val="center"/>
        </w:trPr>
        <w:tc>
          <w:tcPr>
            <w:tcW w:w="0" w:type="auto"/>
            <w:tcBorders>
              <w:top w:val="nil"/>
              <w:left w:val="nil"/>
              <w:bottom w:val="single" w:sz="4" w:space="0" w:color="auto"/>
              <w:right w:val="nil"/>
            </w:tcBorders>
            <w:shd w:val="clear" w:color="auto" w:fill="auto"/>
            <w:noWrap/>
            <w:hideMark/>
          </w:tcPr>
          <w:p w14:paraId="5F5F3CF2"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 </w:t>
            </w:r>
          </w:p>
        </w:tc>
        <w:tc>
          <w:tcPr>
            <w:tcW w:w="0" w:type="auto"/>
            <w:tcBorders>
              <w:top w:val="nil"/>
              <w:left w:val="nil"/>
              <w:bottom w:val="single" w:sz="4" w:space="0" w:color="auto"/>
              <w:right w:val="nil"/>
            </w:tcBorders>
            <w:shd w:val="clear" w:color="auto" w:fill="auto"/>
            <w:noWrap/>
            <w:hideMark/>
          </w:tcPr>
          <w:p w14:paraId="63B1FC55"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N</w:t>
            </w:r>
          </w:p>
        </w:tc>
        <w:tc>
          <w:tcPr>
            <w:tcW w:w="0" w:type="auto"/>
            <w:tcBorders>
              <w:top w:val="nil"/>
              <w:left w:val="nil"/>
              <w:bottom w:val="single" w:sz="4" w:space="0" w:color="auto"/>
              <w:right w:val="nil"/>
            </w:tcBorders>
            <w:shd w:val="clear" w:color="auto" w:fill="auto"/>
            <w:noWrap/>
            <w:hideMark/>
          </w:tcPr>
          <w:p w14:paraId="3E2A42B6"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P</w:t>
            </w:r>
          </w:p>
        </w:tc>
        <w:tc>
          <w:tcPr>
            <w:tcW w:w="0" w:type="auto"/>
            <w:tcBorders>
              <w:top w:val="nil"/>
              <w:left w:val="nil"/>
              <w:bottom w:val="single" w:sz="4" w:space="0" w:color="auto"/>
              <w:right w:val="nil"/>
            </w:tcBorders>
            <w:shd w:val="clear" w:color="auto" w:fill="auto"/>
            <w:noWrap/>
            <w:hideMark/>
          </w:tcPr>
          <w:p w14:paraId="764E274A"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K</w:t>
            </w:r>
          </w:p>
        </w:tc>
        <w:tc>
          <w:tcPr>
            <w:tcW w:w="0" w:type="auto"/>
            <w:tcBorders>
              <w:top w:val="nil"/>
              <w:left w:val="nil"/>
              <w:bottom w:val="single" w:sz="4" w:space="0" w:color="auto"/>
              <w:right w:val="nil"/>
            </w:tcBorders>
            <w:shd w:val="clear" w:color="auto" w:fill="auto"/>
            <w:noWrap/>
            <w:hideMark/>
          </w:tcPr>
          <w:p w14:paraId="2F4646A8" w14:textId="77777777" w:rsidR="000C369F" w:rsidRPr="00295ADA" w:rsidRDefault="000C369F" w:rsidP="00CD4734">
            <w:pPr>
              <w:tabs>
                <w:tab w:val="num" w:pos="0"/>
              </w:tabs>
              <w:spacing w:line="240" w:lineRule="auto"/>
              <w:rPr>
                <w:rFonts w:eastAsia="Times New Roman"/>
                <w:color w:val="000000"/>
              </w:rPr>
            </w:pPr>
          </w:p>
        </w:tc>
      </w:tr>
      <w:tr w:rsidR="000C369F" w:rsidRPr="00295ADA" w14:paraId="5CD77777" w14:textId="77777777" w:rsidTr="00CD4734">
        <w:trPr>
          <w:trHeight w:val="144"/>
          <w:jc w:val="center"/>
        </w:trPr>
        <w:tc>
          <w:tcPr>
            <w:tcW w:w="0" w:type="auto"/>
            <w:tcBorders>
              <w:top w:val="nil"/>
              <w:left w:val="nil"/>
              <w:bottom w:val="nil"/>
              <w:right w:val="nil"/>
            </w:tcBorders>
            <w:shd w:val="clear" w:color="auto" w:fill="auto"/>
            <w:noWrap/>
            <w:hideMark/>
          </w:tcPr>
          <w:p w14:paraId="55F9E97A"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Rice</w:t>
            </w:r>
          </w:p>
        </w:tc>
        <w:tc>
          <w:tcPr>
            <w:tcW w:w="0" w:type="auto"/>
            <w:tcBorders>
              <w:top w:val="nil"/>
              <w:left w:val="nil"/>
              <w:bottom w:val="nil"/>
              <w:right w:val="nil"/>
            </w:tcBorders>
            <w:shd w:val="clear" w:color="auto" w:fill="auto"/>
            <w:noWrap/>
            <w:hideMark/>
          </w:tcPr>
          <w:p w14:paraId="6F7ED265"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2.2</w:t>
            </w:r>
          </w:p>
        </w:tc>
        <w:tc>
          <w:tcPr>
            <w:tcW w:w="0" w:type="auto"/>
            <w:tcBorders>
              <w:top w:val="nil"/>
              <w:left w:val="nil"/>
              <w:bottom w:val="nil"/>
              <w:right w:val="nil"/>
            </w:tcBorders>
            <w:shd w:val="clear" w:color="auto" w:fill="auto"/>
            <w:noWrap/>
            <w:hideMark/>
          </w:tcPr>
          <w:p w14:paraId="6F5A6E2A"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0.20</w:t>
            </w:r>
          </w:p>
        </w:tc>
        <w:tc>
          <w:tcPr>
            <w:tcW w:w="0" w:type="auto"/>
            <w:tcBorders>
              <w:top w:val="nil"/>
              <w:left w:val="nil"/>
              <w:bottom w:val="nil"/>
              <w:right w:val="nil"/>
            </w:tcBorders>
            <w:shd w:val="clear" w:color="auto" w:fill="auto"/>
            <w:noWrap/>
            <w:hideMark/>
          </w:tcPr>
          <w:p w14:paraId="7B413CA9"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1.4</w:t>
            </w:r>
          </w:p>
        </w:tc>
        <w:tc>
          <w:tcPr>
            <w:tcW w:w="0" w:type="auto"/>
            <w:tcBorders>
              <w:top w:val="nil"/>
              <w:left w:val="nil"/>
              <w:bottom w:val="nil"/>
              <w:right w:val="nil"/>
            </w:tcBorders>
            <w:shd w:val="clear" w:color="auto" w:fill="auto"/>
            <w:noWrap/>
            <w:hideMark/>
          </w:tcPr>
          <w:p w14:paraId="10C125E5"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Dobermann and Fai</w:t>
            </w:r>
            <w:r>
              <w:rPr>
                <w:rFonts w:eastAsia="Times New Roman"/>
                <w:color w:val="000000"/>
              </w:rPr>
              <w:t>r</w:t>
            </w:r>
            <w:r w:rsidRPr="00295ADA">
              <w:rPr>
                <w:rFonts w:eastAsia="Times New Roman"/>
                <w:color w:val="000000"/>
              </w:rPr>
              <w:t>hurst, 2000</w:t>
            </w:r>
            <w:r w:rsidRPr="00295ADA">
              <w:rPr>
                <w:rFonts w:eastAsiaTheme="minorHAnsi"/>
                <w:vertAlign w:val="superscript"/>
                <w:lang w:eastAsia="en-US"/>
                <w14:ligatures w14:val="standardContextual"/>
              </w:rPr>
              <w:t>1</w:t>
            </w:r>
          </w:p>
        </w:tc>
      </w:tr>
      <w:tr w:rsidR="000C369F" w:rsidRPr="00295ADA" w14:paraId="3C4179A7" w14:textId="77777777" w:rsidTr="00CD4734">
        <w:trPr>
          <w:trHeight w:val="144"/>
          <w:jc w:val="center"/>
        </w:trPr>
        <w:tc>
          <w:tcPr>
            <w:tcW w:w="0" w:type="auto"/>
            <w:tcBorders>
              <w:top w:val="nil"/>
              <w:left w:val="nil"/>
              <w:bottom w:val="nil"/>
              <w:right w:val="nil"/>
            </w:tcBorders>
            <w:shd w:val="clear" w:color="auto" w:fill="auto"/>
            <w:noWrap/>
            <w:hideMark/>
          </w:tcPr>
          <w:p w14:paraId="510EEFB0"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450E1C83"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4968A4C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0.17</w:t>
            </w:r>
          </w:p>
        </w:tc>
        <w:tc>
          <w:tcPr>
            <w:tcW w:w="0" w:type="auto"/>
            <w:tcBorders>
              <w:top w:val="nil"/>
              <w:left w:val="nil"/>
              <w:bottom w:val="nil"/>
              <w:right w:val="nil"/>
            </w:tcBorders>
            <w:shd w:val="clear" w:color="auto" w:fill="auto"/>
            <w:noWrap/>
            <w:hideMark/>
          </w:tcPr>
          <w:p w14:paraId="4E875D29"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1.2</w:t>
            </w:r>
          </w:p>
        </w:tc>
        <w:tc>
          <w:tcPr>
            <w:tcW w:w="0" w:type="auto"/>
            <w:tcBorders>
              <w:top w:val="nil"/>
              <w:left w:val="nil"/>
              <w:bottom w:val="nil"/>
              <w:right w:val="nil"/>
            </w:tcBorders>
            <w:shd w:val="clear" w:color="auto" w:fill="auto"/>
            <w:noWrap/>
            <w:hideMark/>
          </w:tcPr>
          <w:p w14:paraId="3A0DBE12"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Dobermann et al., 1998</w:t>
            </w:r>
            <w:r w:rsidRPr="00295ADA">
              <w:rPr>
                <w:rFonts w:eastAsiaTheme="minorHAnsi"/>
                <w:vertAlign w:val="superscript"/>
                <w:lang w:eastAsia="en-US"/>
                <w14:ligatures w14:val="standardContextual"/>
              </w:rPr>
              <w:t>9</w:t>
            </w:r>
          </w:p>
        </w:tc>
      </w:tr>
      <w:tr w:rsidR="000C369F" w:rsidRPr="00295ADA" w14:paraId="0840E90C" w14:textId="77777777" w:rsidTr="00CD4734">
        <w:trPr>
          <w:trHeight w:val="144"/>
          <w:jc w:val="center"/>
        </w:trPr>
        <w:tc>
          <w:tcPr>
            <w:tcW w:w="0" w:type="auto"/>
            <w:tcBorders>
              <w:top w:val="nil"/>
              <w:left w:val="nil"/>
              <w:bottom w:val="nil"/>
              <w:right w:val="nil"/>
            </w:tcBorders>
            <w:shd w:val="clear" w:color="auto" w:fill="auto"/>
            <w:noWrap/>
            <w:hideMark/>
          </w:tcPr>
          <w:p w14:paraId="36E4CF97"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02FC981F"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2F647C95"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3D0C3720"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1.4</w:t>
            </w:r>
          </w:p>
        </w:tc>
        <w:tc>
          <w:tcPr>
            <w:tcW w:w="0" w:type="auto"/>
            <w:tcBorders>
              <w:top w:val="nil"/>
              <w:left w:val="nil"/>
              <w:bottom w:val="nil"/>
              <w:right w:val="nil"/>
            </w:tcBorders>
            <w:shd w:val="clear" w:color="auto" w:fill="auto"/>
            <w:noWrap/>
            <w:hideMark/>
          </w:tcPr>
          <w:p w14:paraId="18AB8CB0"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Gruener et al., 2022</w:t>
            </w:r>
            <w:r w:rsidRPr="00295ADA">
              <w:rPr>
                <w:rFonts w:eastAsiaTheme="minorHAnsi"/>
                <w:vertAlign w:val="superscript"/>
                <w:lang w:eastAsia="en-US"/>
                <w14:ligatures w14:val="standardContextual"/>
              </w:rPr>
              <w:t>10</w:t>
            </w:r>
          </w:p>
        </w:tc>
      </w:tr>
      <w:tr w:rsidR="000C369F" w:rsidRPr="00295ADA" w14:paraId="38E47C36" w14:textId="77777777" w:rsidTr="00CD4734">
        <w:trPr>
          <w:trHeight w:val="144"/>
          <w:jc w:val="center"/>
        </w:trPr>
        <w:tc>
          <w:tcPr>
            <w:tcW w:w="0" w:type="auto"/>
            <w:tcBorders>
              <w:top w:val="nil"/>
              <w:left w:val="nil"/>
              <w:bottom w:val="nil"/>
              <w:right w:val="nil"/>
            </w:tcBorders>
            <w:shd w:val="clear" w:color="auto" w:fill="auto"/>
            <w:noWrap/>
            <w:hideMark/>
          </w:tcPr>
          <w:p w14:paraId="3D39322C"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5646A065"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6E84176F"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5C83E7D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1.2</w:t>
            </w:r>
          </w:p>
        </w:tc>
        <w:tc>
          <w:tcPr>
            <w:tcW w:w="0" w:type="auto"/>
            <w:tcBorders>
              <w:top w:val="nil"/>
              <w:left w:val="nil"/>
              <w:bottom w:val="nil"/>
              <w:right w:val="nil"/>
            </w:tcBorders>
            <w:shd w:val="clear" w:color="auto" w:fill="auto"/>
            <w:noWrap/>
            <w:hideMark/>
          </w:tcPr>
          <w:p w14:paraId="4B633B3D"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Linquist et al., 2022</w:t>
            </w:r>
            <w:r w:rsidRPr="00295ADA">
              <w:rPr>
                <w:rFonts w:eastAsiaTheme="minorHAnsi"/>
                <w:vertAlign w:val="superscript"/>
                <w:lang w:eastAsia="en-US"/>
                <w14:ligatures w14:val="standardContextual"/>
              </w:rPr>
              <w:t>11</w:t>
            </w:r>
          </w:p>
        </w:tc>
      </w:tr>
      <w:tr w:rsidR="000C369F" w:rsidRPr="00295ADA" w14:paraId="0D260C9B" w14:textId="77777777" w:rsidTr="00CD4734">
        <w:trPr>
          <w:trHeight w:val="144"/>
          <w:jc w:val="center"/>
        </w:trPr>
        <w:tc>
          <w:tcPr>
            <w:tcW w:w="0" w:type="auto"/>
            <w:tcBorders>
              <w:top w:val="nil"/>
              <w:left w:val="nil"/>
              <w:bottom w:val="nil"/>
              <w:right w:val="nil"/>
            </w:tcBorders>
            <w:shd w:val="clear" w:color="auto" w:fill="auto"/>
            <w:noWrap/>
            <w:hideMark/>
          </w:tcPr>
          <w:p w14:paraId="307DF06C"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6A7D19AD"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w:t>
            </w:r>
          </w:p>
        </w:tc>
        <w:tc>
          <w:tcPr>
            <w:tcW w:w="0" w:type="auto"/>
            <w:tcBorders>
              <w:top w:val="nil"/>
              <w:left w:val="nil"/>
              <w:bottom w:val="nil"/>
              <w:right w:val="nil"/>
            </w:tcBorders>
            <w:shd w:val="clear" w:color="auto" w:fill="auto"/>
            <w:noWrap/>
            <w:hideMark/>
          </w:tcPr>
          <w:p w14:paraId="5C4EF5C3"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0.18</w:t>
            </w:r>
          </w:p>
        </w:tc>
        <w:tc>
          <w:tcPr>
            <w:tcW w:w="0" w:type="auto"/>
            <w:tcBorders>
              <w:top w:val="nil"/>
              <w:left w:val="nil"/>
              <w:bottom w:val="nil"/>
              <w:right w:val="nil"/>
            </w:tcBorders>
            <w:shd w:val="clear" w:color="auto" w:fill="auto"/>
            <w:noWrap/>
            <w:hideMark/>
          </w:tcPr>
          <w:p w14:paraId="5C37139A"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1.3</w:t>
            </w:r>
          </w:p>
        </w:tc>
        <w:tc>
          <w:tcPr>
            <w:tcW w:w="0" w:type="auto"/>
            <w:tcBorders>
              <w:top w:val="nil"/>
              <w:left w:val="nil"/>
              <w:bottom w:val="nil"/>
              <w:right w:val="nil"/>
            </w:tcBorders>
            <w:shd w:val="clear" w:color="auto" w:fill="auto"/>
            <w:noWrap/>
            <w:hideMark/>
          </w:tcPr>
          <w:p w14:paraId="47F7EC03"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de Mello Prado, 2021</w:t>
            </w:r>
            <w:r w:rsidRPr="00295ADA">
              <w:rPr>
                <w:rFonts w:eastAsiaTheme="minorHAnsi"/>
                <w:vertAlign w:val="superscript"/>
                <w:lang w:eastAsia="en-US"/>
                <w14:ligatures w14:val="standardContextual"/>
              </w:rPr>
              <w:t>12</w:t>
            </w:r>
          </w:p>
        </w:tc>
      </w:tr>
      <w:tr w:rsidR="000C369F" w:rsidRPr="00295ADA" w14:paraId="366A0F0F" w14:textId="77777777" w:rsidTr="00CD4734">
        <w:trPr>
          <w:trHeight w:val="144"/>
          <w:jc w:val="center"/>
        </w:trPr>
        <w:tc>
          <w:tcPr>
            <w:tcW w:w="0" w:type="auto"/>
            <w:tcBorders>
              <w:top w:val="nil"/>
              <w:left w:val="nil"/>
              <w:bottom w:val="nil"/>
              <w:right w:val="nil"/>
            </w:tcBorders>
            <w:shd w:val="clear" w:color="auto" w:fill="auto"/>
            <w:noWrap/>
            <w:hideMark/>
          </w:tcPr>
          <w:p w14:paraId="07BE3DCD"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28558A63"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2.8</w:t>
            </w:r>
          </w:p>
        </w:tc>
        <w:tc>
          <w:tcPr>
            <w:tcW w:w="0" w:type="auto"/>
            <w:tcBorders>
              <w:top w:val="nil"/>
              <w:left w:val="nil"/>
              <w:bottom w:val="nil"/>
              <w:right w:val="nil"/>
            </w:tcBorders>
            <w:shd w:val="clear" w:color="auto" w:fill="auto"/>
            <w:noWrap/>
            <w:hideMark/>
          </w:tcPr>
          <w:p w14:paraId="74AAB22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0.08</w:t>
            </w:r>
          </w:p>
        </w:tc>
        <w:tc>
          <w:tcPr>
            <w:tcW w:w="0" w:type="auto"/>
            <w:tcBorders>
              <w:top w:val="nil"/>
              <w:left w:val="nil"/>
              <w:bottom w:val="nil"/>
              <w:right w:val="nil"/>
            </w:tcBorders>
            <w:shd w:val="clear" w:color="auto" w:fill="auto"/>
            <w:noWrap/>
            <w:hideMark/>
          </w:tcPr>
          <w:p w14:paraId="53829415"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1.2</w:t>
            </w:r>
          </w:p>
        </w:tc>
        <w:tc>
          <w:tcPr>
            <w:tcW w:w="0" w:type="auto"/>
            <w:tcBorders>
              <w:top w:val="nil"/>
              <w:left w:val="nil"/>
              <w:bottom w:val="nil"/>
              <w:right w:val="nil"/>
            </w:tcBorders>
            <w:shd w:val="clear" w:color="auto" w:fill="auto"/>
            <w:noWrap/>
            <w:hideMark/>
          </w:tcPr>
          <w:p w14:paraId="5377CFC1"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Westfall et al., 1990</w:t>
            </w:r>
            <w:r w:rsidRPr="00295ADA">
              <w:rPr>
                <w:rFonts w:eastAsiaTheme="minorHAnsi"/>
                <w:vertAlign w:val="superscript"/>
                <w:lang w:eastAsia="en-US"/>
                <w14:ligatures w14:val="standardContextual"/>
              </w:rPr>
              <w:t>13</w:t>
            </w:r>
          </w:p>
        </w:tc>
      </w:tr>
      <w:tr w:rsidR="000C369F" w:rsidRPr="00295ADA" w14:paraId="322005A4" w14:textId="77777777" w:rsidTr="00CD4734">
        <w:trPr>
          <w:trHeight w:val="144"/>
          <w:jc w:val="center"/>
        </w:trPr>
        <w:tc>
          <w:tcPr>
            <w:tcW w:w="0" w:type="auto"/>
            <w:tcBorders>
              <w:top w:val="nil"/>
              <w:left w:val="nil"/>
              <w:bottom w:val="single" w:sz="4" w:space="0" w:color="auto"/>
              <w:right w:val="nil"/>
            </w:tcBorders>
            <w:shd w:val="clear" w:color="auto" w:fill="auto"/>
            <w:noWrap/>
            <w:hideMark/>
          </w:tcPr>
          <w:p w14:paraId="1DD0742A"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Average (IQR)</w:t>
            </w:r>
          </w:p>
        </w:tc>
        <w:tc>
          <w:tcPr>
            <w:tcW w:w="0" w:type="auto"/>
            <w:tcBorders>
              <w:top w:val="nil"/>
              <w:left w:val="nil"/>
              <w:bottom w:val="single" w:sz="4" w:space="0" w:color="auto"/>
              <w:right w:val="nil"/>
            </w:tcBorders>
            <w:shd w:val="clear" w:color="auto" w:fill="auto"/>
            <w:noWrap/>
            <w:hideMark/>
          </w:tcPr>
          <w:p w14:paraId="61052E32"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2.6 (0.3)</w:t>
            </w:r>
          </w:p>
        </w:tc>
        <w:tc>
          <w:tcPr>
            <w:tcW w:w="0" w:type="auto"/>
            <w:tcBorders>
              <w:top w:val="nil"/>
              <w:left w:val="nil"/>
              <w:bottom w:val="single" w:sz="4" w:space="0" w:color="auto"/>
              <w:right w:val="nil"/>
            </w:tcBorders>
            <w:shd w:val="clear" w:color="auto" w:fill="auto"/>
            <w:noWrap/>
            <w:hideMark/>
          </w:tcPr>
          <w:p w14:paraId="1ECA242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0.16 (0.04)</w:t>
            </w:r>
          </w:p>
        </w:tc>
        <w:tc>
          <w:tcPr>
            <w:tcW w:w="0" w:type="auto"/>
            <w:tcBorders>
              <w:top w:val="nil"/>
              <w:left w:val="nil"/>
              <w:bottom w:val="single" w:sz="4" w:space="0" w:color="auto"/>
              <w:right w:val="nil"/>
            </w:tcBorders>
            <w:shd w:val="clear" w:color="auto" w:fill="auto"/>
            <w:noWrap/>
            <w:hideMark/>
          </w:tcPr>
          <w:p w14:paraId="4BDAE7C1"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1.3 (0.2)</w:t>
            </w:r>
          </w:p>
        </w:tc>
        <w:tc>
          <w:tcPr>
            <w:tcW w:w="0" w:type="auto"/>
            <w:tcBorders>
              <w:top w:val="nil"/>
              <w:left w:val="nil"/>
              <w:bottom w:val="single" w:sz="4" w:space="0" w:color="auto"/>
              <w:right w:val="nil"/>
            </w:tcBorders>
            <w:shd w:val="clear" w:color="auto" w:fill="auto"/>
            <w:noWrap/>
            <w:hideMark/>
          </w:tcPr>
          <w:p w14:paraId="27F9B84C" w14:textId="77777777" w:rsidR="000C369F" w:rsidRPr="00295ADA" w:rsidRDefault="000C369F" w:rsidP="00CD4734">
            <w:pPr>
              <w:tabs>
                <w:tab w:val="num" w:pos="0"/>
              </w:tabs>
              <w:spacing w:line="240" w:lineRule="auto"/>
              <w:rPr>
                <w:rFonts w:eastAsia="Times New Roman"/>
                <w:color w:val="000000"/>
              </w:rPr>
            </w:pPr>
          </w:p>
        </w:tc>
      </w:tr>
      <w:tr w:rsidR="000C369F" w:rsidRPr="00295ADA" w14:paraId="79072FE2" w14:textId="77777777" w:rsidTr="00CD4734">
        <w:trPr>
          <w:trHeight w:val="144"/>
          <w:jc w:val="center"/>
        </w:trPr>
        <w:tc>
          <w:tcPr>
            <w:tcW w:w="0" w:type="auto"/>
            <w:tcBorders>
              <w:top w:val="nil"/>
              <w:left w:val="nil"/>
              <w:bottom w:val="nil"/>
              <w:right w:val="nil"/>
            </w:tcBorders>
            <w:shd w:val="clear" w:color="auto" w:fill="auto"/>
            <w:noWrap/>
            <w:hideMark/>
          </w:tcPr>
          <w:p w14:paraId="118529BD"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Maize</w:t>
            </w:r>
          </w:p>
        </w:tc>
        <w:tc>
          <w:tcPr>
            <w:tcW w:w="0" w:type="auto"/>
            <w:tcBorders>
              <w:top w:val="nil"/>
              <w:left w:val="nil"/>
              <w:bottom w:val="nil"/>
              <w:right w:val="nil"/>
            </w:tcBorders>
            <w:shd w:val="clear" w:color="auto" w:fill="auto"/>
            <w:noWrap/>
            <w:hideMark/>
          </w:tcPr>
          <w:p w14:paraId="3C9F043D"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3.1</w:t>
            </w:r>
          </w:p>
        </w:tc>
        <w:tc>
          <w:tcPr>
            <w:tcW w:w="0" w:type="auto"/>
            <w:tcBorders>
              <w:top w:val="nil"/>
              <w:left w:val="nil"/>
              <w:bottom w:val="nil"/>
              <w:right w:val="nil"/>
            </w:tcBorders>
            <w:shd w:val="clear" w:color="auto" w:fill="auto"/>
            <w:noWrap/>
            <w:hideMark/>
          </w:tcPr>
          <w:p w14:paraId="3B726410"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0.23</w:t>
            </w:r>
          </w:p>
        </w:tc>
        <w:tc>
          <w:tcPr>
            <w:tcW w:w="0" w:type="auto"/>
            <w:tcBorders>
              <w:top w:val="nil"/>
              <w:left w:val="nil"/>
              <w:bottom w:val="nil"/>
              <w:right w:val="nil"/>
            </w:tcBorders>
            <w:shd w:val="clear" w:color="auto" w:fill="auto"/>
            <w:noWrap/>
            <w:hideMark/>
          </w:tcPr>
          <w:p w14:paraId="2E7593BA"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2.4</w:t>
            </w:r>
          </w:p>
        </w:tc>
        <w:tc>
          <w:tcPr>
            <w:tcW w:w="0" w:type="auto"/>
            <w:tcBorders>
              <w:top w:val="nil"/>
              <w:left w:val="nil"/>
              <w:bottom w:val="nil"/>
              <w:right w:val="nil"/>
            </w:tcBorders>
            <w:shd w:val="clear" w:color="auto" w:fill="auto"/>
            <w:noWrap/>
            <w:hideMark/>
          </w:tcPr>
          <w:p w14:paraId="6FB11F35"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Agboola, 1972</w:t>
            </w:r>
            <w:r w:rsidRPr="00295ADA">
              <w:rPr>
                <w:rFonts w:eastAsiaTheme="minorHAnsi"/>
                <w:vertAlign w:val="superscript"/>
                <w:lang w:eastAsia="en-US"/>
                <w14:ligatures w14:val="standardContextual"/>
              </w:rPr>
              <w:t>14</w:t>
            </w:r>
          </w:p>
        </w:tc>
      </w:tr>
      <w:tr w:rsidR="000C369F" w:rsidRPr="00295ADA" w14:paraId="186ACB6F" w14:textId="77777777" w:rsidTr="00CD4734">
        <w:trPr>
          <w:trHeight w:val="144"/>
          <w:jc w:val="center"/>
        </w:trPr>
        <w:tc>
          <w:tcPr>
            <w:tcW w:w="0" w:type="auto"/>
            <w:tcBorders>
              <w:top w:val="nil"/>
              <w:left w:val="nil"/>
              <w:bottom w:val="nil"/>
              <w:right w:val="nil"/>
            </w:tcBorders>
            <w:shd w:val="clear" w:color="auto" w:fill="auto"/>
            <w:noWrap/>
            <w:hideMark/>
          </w:tcPr>
          <w:p w14:paraId="23C4E637"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53C0A239"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2.9</w:t>
            </w:r>
          </w:p>
        </w:tc>
        <w:tc>
          <w:tcPr>
            <w:tcW w:w="0" w:type="auto"/>
            <w:tcBorders>
              <w:top w:val="nil"/>
              <w:left w:val="nil"/>
              <w:bottom w:val="nil"/>
              <w:right w:val="nil"/>
            </w:tcBorders>
            <w:shd w:val="clear" w:color="auto" w:fill="auto"/>
            <w:noWrap/>
            <w:hideMark/>
          </w:tcPr>
          <w:p w14:paraId="201C412C"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76FCEE00"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60437EF8"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Asghari and Hanson, 1984</w:t>
            </w:r>
            <w:r w:rsidRPr="00295ADA">
              <w:rPr>
                <w:rFonts w:eastAsiaTheme="minorHAnsi"/>
                <w:vertAlign w:val="superscript"/>
                <w:lang w:eastAsia="en-US"/>
                <w14:ligatures w14:val="standardContextual"/>
              </w:rPr>
              <w:t>15</w:t>
            </w:r>
          </w:p>
        </w:tc>
      </w:tr>
      <w:tr w:rsidR="000C369F" w:rsidRPr="00295ADA" w14:paraId="4D1CF3AD" w14:textId="77777777" w:rsidTr="00CD4734">
        <w:trPr>
          <w:trHeight w:val="144"/>
          <w:jc w:val="center"/>
        </w:trPr>
        <w:tc>
          <w:tcPr>
            <w:tcW w:w="0" w:type="auto"/>
            <w:tcBorders>
              <w:top w:val="nil"/>
              <w:left w:val="nil"/>
              <w:bottom w:val="nil"/>
              <w:right w:val="nil"/>
            </w:tcBorders>
            <w:shd w:val="clear" w:color="auto" w:fill="auto"/>
            <w:noWrap/>
            <w:hideMark/>
          </w:tcPr>
          <w:p w14:paraId="540B24E9"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4A93D257"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2.4</w:t>
            </w:r>
          </w:p>
        </w:tc>
        <w:tc>
          <w:tcPr>
            <w:tcW w:w="0" w:type="auto"/>
            <w:tcBorders>
              <w:top w:val="nil"/>
              <w:left w:val="nil"/>
              <w:bottom w:val="nil"/>
              <w:right w:val="nil"/>
            </w:tcBorders>
            <w:shd w:val="clear" w:color="auto" w:fill="auto"/>
            <w:noWrap/>
            <w:hideMark/>
          </w:tcPr>
          <w:p w14:paraId="23F92953"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28B32733"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7BF3A564"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Baird et al., 1962</w:t>
            </w:r>
            <w:r w:rsidRPr="00295ADA">
              <w:rPr>
                <w:rFonts w:eastAsiaTheme="minorHAnsi"/>
                <w:vertAlign w:val="superscript"/>
                <w:lang w:eastAsia="en-US"/>
                <w14:ligatures w14:val="standardContextual"/>
              </w:rPr>
              <w:t>16</w:t>
            </w:r>
          </w:p>
        </w:tc>
      </w:tr>
      <w:tr w:rsidR="000C369F" w:rsidRPr="00295ADA" w14:paraId="1F9EF3FE" w14:textId="77777777" w:rsidTr="00CD4734">
        <w:trPr>
          <w:trHeight w:val="144"/>
          <w:jc w:val="center"/>
        </w:trPr>
        <w:tc>
          <w:tcPr>
            <w:tcW w:w="0" w:type="auto"/>
            <w:tcBorders>
              <w:top w:val="nil"/>
              <w:left w:val="nil"/>
              <w:bottom w:val="nil"/>
              <w:right w:val="nil"/>
            </w:tcBorders>
            <w:shd w:val="clear" w:color="auto" w:fill="auto"/>
            <w:noWrap/>
            <w:hideMark/>
          </w:tcPr>
          <w:p w14:paraId="6ABD018C"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6FF13F8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w:t>
            </w:r>
          </w:p>
        </w:tc>
        <w:tc>
          <w:tcPr>
            <w:tcW w:w="0" w:type="auto"/>
            <w:tcBorders>
              <w:top w:val="nil"/>
              <w:left w:val="nil"/>
              <w:bottom w:val="nil"/>
              <w:right w:val="nil"/>
            </w:tcBorders>
            <w:shd w:val="clear" w:color="auto" w:fill="auto"/>
            <w:noWrap/>
            <w:hideMark/>
          </w:tcPr>
          <w:p w14:paraId="152039C7"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0.20</w:t>
            </w:r>
          </w:p>
        </w:tc>
        <w:tc>
          <w:tcPr>
            <w:tcW w:w="0" w:type="auto"/>
            <w:tcBorders>
              <w:top w:val="nil"/>
              <w:left w:val="nil"/>
              <w:bottom w:val="nil"/>
              <w:right w:val="nil"/>
            </w:tcBorders>
            <w:shd w:val="clear" w:color="auto" w:fill="auto"/>
            <w:noWrap/>
            <w:hideMark/>
          </w:tcPr>
          <w:p w14:paraId="10553F45"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1.7</w:t>
            </w:r>
          </w:p>
        </w:tc>
        <w:tc>
          <w:tcPr>
            <w:tcW w:w="0" w:type="auto"/>
            <w:tcBorders>
              <w:top w:val="nil"/>
              <w:left w:val="nil"/>
              <w:bottom w:val="nil"/>
              <w:right w:val="nil"/>
            </w:tcBorders>
            <w:shd w:val="clear" w:color="auto" w:fill="auto"/>
            <w:noWrap/>
            <w:hideMark/>
          </w:tcPr>
          <w:p w14:paraId="3168E17B"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Bennett, 1993</w:t>
            </w:r>
            <w:r w:rsidRPr="00295ADA">
              <w:rPr>
                <w:rFonts w:eastAsiaTheme="minorHAnsi"/>
                <w:vertAlign w:val="superscript"/>
                <w:lang w:eastAsia="en-US"/>
                <w14:ligatures w14:val="standardContextual"/>
              </w:rPr>
              <w:t>17</w:t>
            </w:r>
          </w:p>
        </w:tc>
      </w:tr>
      <w:tr w:rsidR="000C369F" w:rsidRPr="00295ADA" w14:paraId="1E36F360" w14:textId="77777777" w:rsidTr="00CD4734">
        <w:trPr>
          <w:trHeight w:val="144"/>
          <w:jc w:val="center"/>
        </w:trPr>
        <w:tc>
          <w:tcPr>
            <w:tcW w:w="0" w:type="auto"/>
            <w:tcBorders>
              <w:top w:val="nil"/>
              <w:left w:val="nil"/>
              <w:bottom w:val="nil"/>
              <w:right w:val="nil"/>
            </w:tcBorders>
            <w:shd w:val="clear" w:color="auto" w:fill="auto"/>
            <w:noWrap/>
            <w:hideMark/>
          </w:tcPr>
          <w:p w14:paraId="3003159D"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016106AC"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2.8</w:t>
            </w:r>
          </w:p>
        </w:tc>
        <w:tc>
          <w:tcPr>
            <w:tcW w:w="0" w:type="auto"/>
            <w:tcBorders>
              <w:top w:val="nil"/>
              <w:left w:val="nil"/>
              <w:bottom w:val="nil"/>
              <w:right w:val="nil"/>
            </w:tcBorders>
            <w:shd w:val="clear" w:color="auto" w:fill="auto"/>
            <w:noWrap/>
            <w:hideMark/>
          </w:tcPr>
          <w:p w14:paraId="0249B7C6"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0.25</w:t>
            </w:r>
          </w:p>
        </w:tc>
        <w:tc>
          <w:tcPr>
            <w:tcW w:w="0" w:type="auto"/>
            <w:tcBorders>
              <w:top w:val="nil"/>
              <w:left w:val="nil"/>
              <w:bottom w:val="nil"/>
              <w:right w:val="nil"/>
            </w:tcBorders>
            <w:shd w:val="clear" w:color="auto" w:fill="auto"/>
            <w:noWrap/>
            <w:hideMark/>
          </w:tcPr>
          <w:p w14:paraId="611BDEC0"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1.8</w:t>
            </w:r>
          </w:p>
        </w:tc>
        <w:tc>
          <w:tcPr>
            <w:tcW w:w="0" w:type="auto"/>
            <w:tcBorders>
              <w:top w:val="nil"/>
              <w:left w:val="nil"/>
              <w:bottom w:val="nil"/>
              <w:right w:val="nil"/>
            </w:tcBorders>
            <w:shd w:val="clear" w:color="auto" w:fill="auto"/>
            <w:noWrap/>
            <w:hideMark/>
          </w:tcPr>
          <w:p w14:paraId="053D5D75"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Campbell and Plank, 2013</w:t>
            </w:r>
            <w:r w:rsidRPr="00295ADA">
              <w:rPr>
                <w:rFonts w:eastAsiaTheme="minorHAnsi"/>
                <w:vertAlign w:val="superscript"/>
                <w:lang w:eastAsia="en-US"/>
                <w14:ligatures w14:val="standardContextual"/>
              </w:rPr>
              <w:t>18</w:t>
            </w:r>
          </w:p>
        </w:tc>
      </w:tr>
      <w:tr w:rsidR="000C369F" w:rsidRPr="00295ADA" w14:paraId="71991088" w14:textId="77777777" w:rsidTr="00CD4734">
        <w:trPr>
          <w:trHeight w:val="144"/>
          <w:jc w:val="center"/>
        </w:trPr>
        <w:tc>
          <w:tcPr>
            <w:tcW w:w="0" w:type="auto"/>
            <w:tcBorders>
              <w:top w:val="nil"/>
              <w:left w:val="nil"/>
              <w:bottom w:val="nil"/>
              <w:right w:val="nil"/>
            </w:tcBorders>
            <w:shd w:val="clear" w:color="auto" w:fill="auto"/>
            <w:noWrap/>
            <w:hideMark/>
          </w:tcPr>
          <w:p w14:paraId="3D23613F"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115690A5"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40F7CCDA"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7D7AA8E6"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1.0</w:t>
            </w:r>
          </w:p>
        </w:tc>
        <w:tc>
          <w:tcPr>
            <w:tcW w:w="0" w:type="auto"/>
            <w:tcBorders>
              <w:top w:val="nil"/>
              <w:left w:val="nil"/>
              <w:bottom w:val="nil"/>
              <w:right w:val="nil"/>
            </w:tcBorders>
            <w:shd w:val="clear" w:color="auto" w:fill="auto"/>
            <w:noWrap/>
            <w:hideMark/>
          </w:tcPr>
          <w:p w14:paraId="65AE7A5C"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Clover and Mallarino, 2013</w:t>
            </w:r>
            <w:r w:rsidRPr="00295ADA">
              <w:rPr>
                <w:rFonts w:eastAsiaTheme="minorHAnsi"/>
                <w:vertAlign w:val="superscript"/>
                <w:lang w:eastAsia="en-US"/>
                <w14:ligatures w14:val="standardContextual"/>
              </w:rPr>
              <w:t>19</w:t>
            </w:r>
          </w:p>
        </w:tc>
      </w:tr>
      <w:tr w:rsidR="000C369F" w:rsidRPr="00295ADA" w14:paraId="699B52BF" w14:textId="77777777" w:rsidTr="00CD4734">
        <w:trPr>
          <w:trHeight w:val="144"/>
          <w:jc w:val="center"/>
        </w:trPr>
        <w:tc>
          <w:tcPr>
            <w:tcW w:w="0" w:type="auto"/>
            <w:tcBorders>
              <w:top w:val="nil"/>
              <w:left w:val="nil"/>
              <w:bottom w:val="nil"/>
              <w:right w:val="nil"/>
            </w:tcBorders>
            <w:shd w:val="clear" w:color="auto" w:fill="auto"/>
            <w:noWrap/>
            <w:hideMark/>
          </w:tcPr>
          <w:p w14:paraId="181C2DF1"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0C1B25D6"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08872776"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44018D7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1.5</w:t>
            </w:r>
          </w:p>
        </w:tc>
        <w:tc>
          <w:tcPr>
            <w:tcW w:w="0" w:type="auto"/>
            <w:tcBorders>
              <w:top w:val="nil"/>
              <w:left w:val="nil"/>
              <w:bottom w:val="nil"/>
              <w:right w:val="nil"/>
            </w:tcBorders>
            <w:shd w:val="clear" w:color="auto" w:fill="auto"/>
            <w:noWrap/>
            <w:hideMark/>
          </w:tcPr>
          <w:p w14:paraId="0A9DFA63"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Csathó, 1998</w:t>
            </w:r>
            <w:r w:rsidRPr="00295ADA">
              <w:rPr>
                <w:rFonts w:eastAsiaTheme="minorHAnsi"/>
                <w:vertAlign w:val="superscript"/>
                <w:lang w:eastAsia="en-US"/>
                <w14:ligatures w14:val="standardContextual"/>
              </w:rPr>
              <w:t>20</w:t>
            </w:r>
          </w:p>
        </w:tc>
      </w:tr>
      <w:tr w:rsidR="000C369F" w:rsidRPr="00295ADA" w14:paraId="7E9B943B" w14:textId="77777777" w:rsidTr="00CD4734">
        <w:trPr>
          <w:trHeight w:val="144"/>
          <w:jc w:val="center"/>
        </w:trPr>
        <w:tc>
          <w:tcPr>
            <w:tcW w:w="0" w:type="auto"/>
            <w:tcBorders>
              <w:top w:val="nil"/>
              <w:left w:val="nil"/>
              <w:bottom w:val="nil"/>
              <w:right w:val="nil"/>
            </w:tcBorders>
            <w:shd w:val="clear" w:color="auto" w:fill="auto"/>
            <w:noWrap/>
            <w:hideMark/>
          </w:tcPr>
          <w:p w14:paraId="06C25EBA"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69B8CA47"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2.5</w:t>
            </w:r>
          </w:p>
        </w:tc>
        <w:tc>
          <w:tcPr>
            <w:tcW w:w="0" w:type="auto"/>
            <w:tcBorders>
              <w:top w:val="nil"/>
              <w:left w:val="nil"/>
              <w:bottom w:val="nil"/>
              <w:right w:val="nil"/>
            </w:tcBorders>
            <w:shd w:val="clear" w:color="auto" w:fill="auto"/>
            <w:noWrap/>
            <w:hideMark/>
          </w:tcPr>
          <w:p w14:paraId="7134F549"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17B2D627"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42CE478C"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Dara et al., 1992</w:t>
            </w:r>
            <w:r w:rsidRPr="00295ADA">
              <w:rPr>
                <w:rFonts w:eastAsiaTheme="minorHAnsi"/>
                <w:vertAlign w:val="superscript"/>
                <w:lang w:eastAsia="en-US"/>
                <w14:ligatures w14:val="standardContextual"/>
              </w:rPr>
              <w:t>21</w:t>
            </w:r>
          </w:p>
        </w:tc>
      </w:tr>
      <w:tr w:rsidR="000C369F" w:rsidRPr="00295ADA" w14:paraId="0E02F056" w14:textId="77777777" w:rsidTr="00CD4734">
        <w:trPr>
          <w:trHeight w:val="144"/>
          <w:jc w:val="center"/>
        </w:trPr>
        <w:tc>
          <w:tcPr>
            <w:tcW w:w="0" w:type="auto"/>
            <w:tcBorders>
              <w:top w:val="nil"/>
              <w:left w:val="nil"/>
              <w:bottom w:val="nil"/>
              <w:right w:val="nil"/>
            </w:tcBorders>
            <w:shd w:val="clear" w:color="auto" w:fill="auto"/>
            <w:noWrap/>
            <w:hideMark/>
          </w:tcPr>
          <w:p w14:paraId="31929B7D"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6063CE38"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2.5</w:t>
            </w:r>
          </w:p>
        </w:tc>
        <w:tc>
          <w:tcPr>
            <w:tcW w:w="0" w:type="auto"/>
            <w:tcBorders>
              <w:top w:val="nil"/>
              <w:left w:val="nil"/>
              <w:bottom w:val="nil"/>
              <w:right w:val="nil"/>
            </w:tcBorders>
            <w:shd w:val="clear" w:color="auto" w:fill="auto"/>
            <w:noWrap/>
            <w:hideMark/>
          </w:tcPr>
          <w:p w14:paraId="6FEB22F1"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2AA86745"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198E9550"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Dickson et al., 1993</w:t>
            </w:r>
            <w:r w:rsidRPr="00295ADA">
              <w:rPr>
                <w:rFonts w:eastAsiaTheme="minorHAnsi"/>
                <w:vertAlign w:val="superscript"/>
                <w:lang w:eastAsia="en-US"/>
                <w14:ligatures w14:val="standardContextual"/>
              </w:rPr>
              <w:t>22</w:t>
            </w:r>
          </w:p>
        </w:tc>
      </w:tr>
      <w:tr w:rsidR="000C369F" w:rsidRPr="00295ADA" w14:paraId="31A28819" w14:textId="77777777" w:rsidTr="00CD4734">
        <w:trPr>
          <w:trHeight w:val="144"/>
          <w:jc w:val="center"/>
        </w:trPr>
        <w:tc>
          <w:tcPr>
            <w:tcW w:w="0" w:type="auto"/>
            <w:tcBorders>
              <w:top w:val="nil"/>
              <w:left w:val="nil"/>
              <w:bottom w:val="nil"/>
              <w:right w:val="nil"/>
            </w:tcBorders>
            <w:shd w:val="clear" w:color="auto" w:fill="auto"/>
            <w:noWrap/>
            <w:hideMark/>
          </w:tcPr>
          <w:p w14:paraId="21CAD7A7"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7DBFF549"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w:t>
            </w:r>
          </w:p>
        </w:tc>
        <w:tc>
          <w:tcPr>
            <w:tcW w:w="0" w:type="auto"/>
            <w:tcBorders>
              <w:top w:val="nil"/>
              <w:left w:val="nil"/>
              <w:bottom w:val="nil"/>
              <w:right w:val="nil"/>
            </w:tcBorders>
            <w:shd w:val="clear" w:color="auto" w:fill="auto"/>
            <w:noWrap/>
            <w:hideMark/>
          </w:tcPr>
          <w:p w14:paraId="4831E6A2"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0.28</w:t>
            </w:r>
          </w:p>
        </w:tc>
        <w:tc>
          <w:tcPr>
            <w:tcW w:w="0" w:type="auto"/>
            <w:tcBorders>
              <w:top w:val="nil"/>
              <w:left w:val="nil"/>
              <w:bottom w:val="nil"/>
              <w:right w:val="nil"/>
            </w:tcBorders>
            <w:shd w:val="clear" w:color="auto" w:fill="auto"/>
            <w:noWrap/>
            <w:hideMark/>
          </w:tcPr>
          <w:p w14:paraId="3D69AB18"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19D5942F"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Dumenil et al., 1961</w:t>
            </w:r>
            <w:r w:rsidRPr="00295ADA">
              <w:rPr>
                <w:rFonts w:eastAsiaTheme="minorHAnsi"/>
                <w:vertAlign w:val="superscript"/>
                <w:lang w:eastAsia="en-US"/>
                <w14:ligatures w14:val="standardContextual"/>
              </w:rPr>
              <w:t>23</w:t>
            </w:r>
          </w:p>
        </w:tc>
      </w:tr>
      <w:tr w:rsidR="000C369F" w:rsidRPr="00295ADA" w14:paraId="5207C351" w14:textId="77777777" w:rsidTr="00CD4734">
        <w:trPr>
          <w:trHeight w:val="144"/>
          <w:jc w:val="center"/>
        </w:trPr>
        <w:tc>
          <w:tcPr>
            <w:tcW w:w="0" w:type="auto"/>
            <w:tcBorders>
              <w:top w:val="nil"/>
              <w:left w:val="nil"/>
              <w:bottom w:val="nil"/>
              <w:right w:val="nil"/>
            </w:tcBorders>
            <w:shd w:val="clear" w:color="auto" w:fill="auto"/>
            <w:noWrap/>
            <w:hideMark/>
          </w:tcPr>
          <w:p w14:paraId="434BE353"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515CC27D"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3.0</w:t>
            </w:r>
          </w:p>
        </w:tc>
        <w:tc>
          <w:tcPr>
            <w:tcW w:w="0" w:type="auto"/>
            <w:tcBorders>
              <w:top w:val="nil"/>
              <w:left w:val="nil"/>
              <w:bottom w:val="nil"/>
              <w:right w:val="nil"/>
            </w:tcBorders>
            <w:shd w:val="clear" w:color="auto" w:fill="auto"/>
            <w:noWrap/>
            <w:hideMark/>
          </w:tcPr>
          <w:p w14:paraId="6E9E1F5B"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4325E01E"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1F13B4B2"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Greub et al., 2018</w:t>
            </w:r>
            <w:r w:rsidRPr="00295ADA">
              <w:rPr>
                <w:rFonts w:eastAsiaTheme="minorHAnsi"/>
                <w:vertAlign w:val="superscript"/>
                <w:lang w:eastAsia="en-US"/>
                <w14:ligatures w14:val="standardContextual"/>
              </w:rPr>
              <w:t>24</w:t>
            </w:r>
          </w:p>
        </w:tc>
      </w:tr>
      <w:tr w:rsidR="000C369F" w:rsidRPr="00295ADA" w14:paraId="4AC22E10" w14:textId="77777777" w:rsidTr="00CD4734">
        <w:trPr>
          <w:trHeight w:val="144"/>
          <w:jc w:val="center"/>
        </w:trPr>
        <w:tc>
          <w:tcPr>
            <w:tcW w:w="0" w:type="auto"/>
            <w:tcBorders>
              <w:top w:val="nil"/>
              <w:left w:val="nil"/>
              <w:bottom w:val="nil"/>
              <w:right w:val="nil"/>
            </w:tcBorders>
            <w:shd w:val="clear" w:color="auto" w:fill="auto"/>
            <w:noWrap/>
            <w:hideMark/>
          </w:tcPr>
          <w:p w14:paraId="0EDCCC2D"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47919458"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36F4BE13"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0.29</w:t>
            </w:r>
          </w:p>
        </w:tc>
        <w:tc>
          <w:tcPr>
            <w:tcW w:w="0" w:type="auto"/>
            <w:tcBorders>
              <w:top w:val="nil"/>
              <w:left w:val="nil"/>
              <w:bottom w:val="nil"/>
              <w:right w:val="nil"/>
            </w:tcBorders>
            <w:shd w:val="clear" w:color="auto" w:fill="auto"/>
            <w:noWrap/>
            <w:hideMark/>
          </w:tcPr>
          <w:p w14:paraId="662CAB07"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1.5</w:t>
            </w:r>
          </w:p>
        </w:tc>
        <w:tc>
          <w:tcPr>
            <w:tcW w:w="0" w:type="auto"/>
            <w:tcBorders>
              <w:top w:val="nil"/>
              <w:left w:val="nil"/>
              <w:bottom w:val="nil"/>
              <w:right w:val="nil"/>
            </w:tcBorders>
            <w:shd w:val="clear" w:color="auto" w:fill="auto"/>
            <w:noWrap/>
            <w:hideMark/>
          </w:tcPr>
          <w:p w14:paraId="5AAA1A5C"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Hanway, 1962</w:t>
            </w:r>
            <w:r w:rsidRPr="00295ADA">
              <w:rPr>
                <w:rFonts w:eastAsiaTheme="minorHAnsi"/>
                <w:vertAlign w:val="superscript"/>
                <w:lang w:eastAsia="en-US"/>
                <w14:ligatures w14:val="standardContextual"/>
              </w:rPr>
              <w:t>25</w:t>
            </w:r>
          </w:p>
        </w:tc>
      </w:tr>
      <w:tr w:rsidR="000C369F" w:rsidRPr="00295ADA" w14:paraId="3DB0FEEA" w14:textId="77777777" w:rsidTr="00CD4734">
        <w:trPr>
          <w:trHeight w:val="144"/>
          <w:jc w:val="center"/>
        </w:trPr>
        <w:tc>
          <w:tcPr>
            <w:tcW w:w="0" w:type="auto"/>
            <w:tcBorders>
              <w:top w:val="nil"/>
              <w:left w:val="nil"/>
              <w:bottom w:val="nil"/>
              <w:right w:val="nil"/>
            </w:tcBorders>
            <w:shd w:val="clear" w:color="auto" w:fill="auto"/>
            <w:noWrap/>
            <w:hideMark/>
          </w:tcPr>
          <w:p w14:paraId="166DF235"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12F19F4B"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2.6</w:t>
            </w:r>
          </w:p>
        </w:tc>
        <w:tc>
          <w:tcPr>
            <w:tcW w:w="0" w:type="auto"/>
            <w:tcBorders>
              <w:top w:val="nil"/>
              <w:left w:val="nil"/>
              <w:bottom w:val="nil"/>
              <w:right w:val="nil"/>
            </w:tcBorders>
            <w:shd w:val="clear" w:color="auto" w:fill="auto"/>
            <w:noWrap/>
            <w:hideMark/>
          </w:tcPr>
          <w:p w14:paraId="5A78B106"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632C1688"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2D695A11"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Li et al., 2019</w:t>
            </w:r>
            <w:r w:rsidRPr="00295ADA">
              <w:rPr>
                <w:rFonts w:eastAsiaTheme="minorHAnsi"/>
                <w:vertAlign w:val="superscript"/>
                <w:lang w:eastAsia="en-US"/>
                <w14:ligatures w14:val="standardContextual"/>
              </w:rPr>
              <w:t>26</w:t>
            </w:r>
          </w:p>
        </w:tc>
      </w:tr>
      <w:tr w:rsidR="000C369F" w:rsidRPr="00295ADA" w14:paraId="2F8E2CF8" w14:textId="77777777" w:rsidTr="00CD4734">
        <w:trPr>
          <w:trHeight w:val="144"/>
          <w:jc w:val="center"/>
        </w:trPr>
        <w:tc>
          <w:tcPr>
            <w:tcW w:w="0" w:type="auto"/>
            <w:tcBorders>
              <w:top w:val="nil"/>
              <w:left w:val="nil"/>
              <w:bottom w:val="nil"/>
              <w:right w:val="nil"/>
            </w:tcBorders>
            <w:shd w:val="clear" w:color="auto" w:fill="auto"/>
            <w:noWrap/>
            <w:hideMark/>
          </w:tcPr>
          <w:p w14:paraId="4A302E73"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3572CAA5"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0FD4DFC1"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0.23</w:t>
            </w:r>
          </w:p>
        </w:tc>
        <w:tc>
          <w:tcPr>
            <w:tcW w:w="0" w:type="auto"/>
            <w:tcBorders>
              <w:top w:val="nil"/>
              <w:left w:val="nil"/>
              <w:bottom w:val="nil"/>
              <w:right w:val="nil"/>
            </w:tcBorders>
            <w:shd w:val="clear" w:color="auto" w:fill="auto"/>
            <w:noWrap/>
            <w:hideMark/>
          </w:tcPr>
          <w:p w14:paraId="7498B159"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20D8930D"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Mallarino, 1995</w:t>
            </w:r>
            <w:r w:rsidRPr="00295ADA">
              <w:rPr>
                <w:rFonts w:eastAsiaTheme="minorHAnsi"/>
                <w:vertAlign w:val="superscript"/>
                <w:lang w:eastAsia="en-US"/>
                <w14:ligatures w14:val="standardContextual"/>
              </w:rPr>
              <w:t>27</w:t>
            </w:r>
          </w:p>
        </w:tc>
      </w:tr>
      <w:tr w:rsidR="000C369F" w:rsidRPr="00295ADA" w14:paraId="189553EC" w14:textId="77777777" w:rsidTr="00CD4734">
        <w:trPr>
          <w:trHeight w:val="144"/>
          <w:jc w:val="center"/>
        </w:trPr>
        <w:tc>
          <w:tcPr>
            <w:tcW w:w="0" w:type="auto"/>
            <w:tcBorders>
              <w:top w:val="nil"/>
              <w:left w:val="nil"/>
              <w:bottom w:val="nil"/>
              <w:right w:val="nil"/>
            </w:tcBorders>
            <w:shd w:val="clear" w:color="auto" w:fill="auto"/>
            <w:noWrap/>
            <w:hideMark/>
          </w:tcPr>
          <w:p w14:paraId="7C5FF85D"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08C7F290"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79B12BA4"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1CE42EA9"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1.2</w:t>
            </w:r>
          </w:p>
        </w:tc>
        <w:tc>
          <w:tcPr>
            <w:tcW w:w="0" w:type="auto"/>
            <w:tcBorders>
              <w:top w:val="nil"/>
              <w:left w:val="nil"/>
              <w:bottom w:val="nil"/>
              <w:right w:val="nil"/>
            </w:tcBorders>
            <w:shd w:val="clear" w:color="auto" w:fill="auto"/>
            <w:noWrap/>
            <w:hideMark/>
          </w:tcPr>
          <w:p w14:paraId="78DEDB70"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Mallarino and Higashi, 2009</w:t>
            </w:r>
            <w:r w:rsidRPr="00295ADA">
              <w:rPr>
                <w:rFonts w:eastAsiaTheme="minorHAnsi"/>
                <w:vertAlign w:val="superscript"/>
                <w:lang w:eastAsia="en-US"/>
                <w14:ligatures w14:val="standardContextual"/>
              </w:rPr>
              <w:t>28</w:t>
            </w:r>
          </w:p>
        </w:tc>
      </w:tr>
      <w:tr w:rsidR="000C369F" w:rsidRPr="00295ADA" w14:paraId="58C69B23" w14:textId="77777777" w:rsidTr="00CD4734">
        <w:trPr>
          <w:trHeight w:val="144"/>
          <w:jc w:val="center"/>
        </w:trPr>
        <w:tc>
          <w:tcPr>
            <w:tcW w:w="0" w:type="auto"/>
            <w:tcBorders>
              <w:top w:val="nil"/>
              <w:left w:val="nil"/>
              <w:bottom w:val="nil"/>
              <w:right w:val="nil"/>
            </w:tcBorders>
            <w:shd w:val="clear" w:color="auto" w:fill="auto"/>
            <w:noWrap/>
            <w:hideMark/>
          </w:tcPr>
          <w:p w14:paraId="33C13E81"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1787B66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w:t>
            </w:r>
          </w:p>
        </w:tc>
        <w:tc>
          <w:tcPr>
            <w:tcW w:w="0" w:type="auto"/>
            <w:tcBorders>
              <w:top w:val="nil"/>
              <w:left w:val="nil"/>
              <w:bottom w:val="nil"/>
              <w:right w:val="nil"/>
            </w:tcBorders>
            <w:shd w:val="clear" w:color="auto" w:fill="auto"/>
            <w:noWrap/>
            <w:hideMark/>
          </w:tcPr>
          <w:p w14:paraId="4C6E4C16"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0.25</w:t>
            </w:r>
          </w:p>
        </w:tc>
        <w:tc>
          <w:tcPr>
            <w:tcW w:w="0" w:type="auto"/>
            <w:tcBorders>
              <w:top w:val="nil"/>
              <w:left w:val="nil"/>
              <w:bottom w:val="nil"/>
              <w:right w:val="nil"/>
            </w:tcBorders>
            <w:shd w:val="clear" w:color="auto" w:fill="auto"/>
            <w:noWrap/>
            <w:hideMark/>
          </w:tcPr>
          <w:p w14:paraId="3E69D5B0"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2.1</w:t>
            </w:r>
          </w:p>
        </w:tc>
        <w:tc>
          <w:tcPr>
            <w:tcW w:w="0" w:type="auto"/>
            <w:tcBorders>
              <w:top w:val="nil"/>
              <w:left w:val="nil"/>
              <w:bottom w:val="nil"/>
              <w:right w:val="nil"/>
            </w:tcBorders>
            <w:shd w:val="clear" w:color="auto" w:fill="auto"/>
            <w:noWrap/>
            <w:hideMark/>
          </w:tcPr>
          <w:p w14:paraId="7D3797C7"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de Mello Prado, 2021</w:t>
            </w:r>
            <w:r w:rsidRPr="00295ADA">
              <w:rPr>
                <w:rFonts w:eastAsiaTheme="minorHAnsi"/>
                <w:vertAlign w:val="superscript"/>
                <w:lang w:eastAsia="en-US"/>
                <w14:ligatures w14:val="standardContextual"/>
              </w:rPr>
              <w:t>12</w:t>
            </w:r>
          </w:p>
        </w:tc>
      </w:tr>
      <w:tr w:rsidR="000C369F" w:rsidRPr="00295ADA" w14:paraId="611CC99E" w14:textId="77777777" w:rsidTr="00CD4734">
        <w:trPr>
          <w:trHeight w:val="144"/>
          <w:jc w:val="center"/>
        </w:trPr>
        <w:tc>
          <w:tcPr>
            <w:tcW w:w="0" w:type="auto"/>
            <w:tcBorders>
              <w:top w:val="nil"/>
              <w:left w:val="nil"/>
              <w:bottom w:val="nil"/>
              <w:right w:val="nil"/>
            </w:tcBorders>
            <w:shd w:val="clear" w:color="auto" w:fill="auto"/>
            <w:noWrap/>
            <w:hideMark/>
          </w:tcPr>
          <w:p w14:paraId="563A72A4"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1B4CF11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w:t>
            </w:r>
          </w:p>
        </w:tc>
        <w:tc>
          <w:tcPr>
            <w:tcW w:w="0" w:type="auto"/>
            <w:tcBorders>
              <w:top w:val="nil"/>
              <w:left w:val="nil"/>
              <w:bottom w:val="nil"/>
              <w:right w:val="nil"/>
            </w:tcBorders>
            <w:shd w:val="clear" w:color="auto" w:fill="auto"/>
            <w:noWrap/>
            <w:hideMark/>
          </w:tcPr>
          <w:p w14:paraId="71CAE92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0.25</w:t>
            </w:r>
          </w:p>
        </w:tc>
        <w:tc>
          <w:tcPr>
            <w:tcW w:w="0" w:type="auto"/>
            <w:tcBorders>
              <w:top w:val="nil"/>
              <w:left w:val="nil"/>
              <w:bottom w:val="nil"/>
              <w:right w:val="nil"/>
            </w:tcBorders>
            <w:shd w:val="clear" w:color="auto" w:fill="auto"/>
            <w:noWrap/>
            <w:hideMark/>
          </w:tcPr>
          <w:p w14:paraId="10608F63"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1.7</w:t>
            </w:r>
          </w:p>
        </w:tc>
        <w:tc>
          <w:tcPr>
            <w:tcW w:w="0" w:type="auto"/>
            <w:tcBorders>
              <w:top w:val="nil"/>
              <w:left w:val="nil"/>
              <w:bottom w:val="nil"/>
              <w:right w:val="nil"/>
            </w:tcBorders>
            <w:shd w:val="clear" w:color="auto" w:fill="auto"/>
            <w:noWrap/>
            <w:hideMark/>
          </w:tcPr>
          <w:p w14:paraId="63697E3D"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Mills and Jones, 1991</w:t>
            </w:r>
            <w:r w:rsidRPr="00295ADA">
              <w:rPr>
                <w:rFonts w:eastAsiaTheme="minorHAnsi"/>
                <w:vertAlign w:val="superscript"/>
                <w:lang w:eastAsia="en-US"/>
                <w14:ligatures w14:val="standardContextual"/>
              </w:rPr>
              <w:t>29</w:t>
            </w:r>
          </w:p>
        </w:tc>
      </w:tr>
      <w:tr w:rsidR="000C369F" w:rsidRPr="00295ADA" w14:paraId="69F677E7" w14:textId="77777777" w:rsidTr="00CD4734">
        <w:trPr>
          <w:trHeight w:val="144"/>
          <w:jc w:val="center"/>
        </w:trPr>
        <w:tc>
          <w:tcPr>
            <w:tcW w:w="0" w:type="auto"/>
            <w:tcBorders>
              <w:top w:val="nil"/>
              <w:left w:val="nil"/>
              <w:bottom w:val="nil"/>
              <w:right w:val="nil"/>
            </w:tcBorders>
            <w:shd w:val="clear" w:color="auto" w:fill="auto"/>
            <w:noWrap/>
            <w:hideMark/>
          </w:tcPr>
          <w:p w14:paraId="286F9BF9"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5CBF76AC"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w:t>
            </w:r>
          </w:p>
        </w:tc>
        <w:tc>
          <w:tcPr>
            <w:tcW w:w="0" w:type="auto"/>
            <w:tcBorders>
              <w:top w:val="nil"/>
              <w:left w:val="nil"/>
              <w:bottom w:val="nil"/>
              <w:right w:val="nil"/>
            </w:tcBorders>
            <w:shd w:val="clear" w:color="auto" w:fill="auto"/>
            <w:noWrap/>
            <w:hideMark/>
          </w:tcPr>
          <w:p w14:paraId="38388EC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0.27</w:t>
            </w:r>
          </w:p>
        </w:tc>
        <w:tc>
          <w:tcPr>
            <w:tcW w:w="0" w:type="auto"/>
            <w:tcBorders>
              <w:top w:val="nil"/>
              <w:left w:val="nil"/>
              <w:bottom w:val="nil"/>
              <w:right w:val="nil"/>
            </w:tcBorders>
            <w:shd w:val="clear" w:color="auto" w:fill="auto"/>
            <w:noWrap/>
            <w:hideMark/>
          </w:tcPr>
          <w:p w14:paraId="6CCB6B5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2.1</w:t>
            </w:r>
          </w:p>
        </w:tc>
        <w:tc>
          <w:tcPr>
            <w:tcW w:w="0" w:type="auto"/>
            <w:tcBorders>
              <w:top w:val="nil"/>
              <w:left w:val="nil"/>
              <w:bottom w:val="nil"/>
              <w:right w:val="nil"/>
            </w:tcBorders>
            <w:shd w:val="clear" w:color="auto" w:fill="auto"/>
            <w:noWrap/>
            <w:hideMark/>
          </w:tcPr>
          <w:p w14:paraId="52E302FD"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Powell and Webb, 1972</w:t>
            </w:r>
            <w:r w:rsidRPr="00295ADA">
              <w:rPr>
                <w:rFonts w:eastAsiaTheme="minorHAnsi"/>
                <w:vertAlign w:val="superscript"/>
                <w:lang w:eastAsia="en-US"/>
                <w14:ligatures w14:val="standardContextual"/>
              </w:rPr>
              <w:t>30</w:t>
            </w:r>
          </w:p>
        </w:tc>
      </w:tr>
      <w:tr w:rsidR="000C369F" w:rsidRPr="00295ADA" w14:paraId="7C0B97BA" w14:textId="77777777" w:rsidTr="00CD4734">
        <w:trPr>
          <w:trHeight w:val="144"/>
          <w:jc w:val="center"/>
        </w:trPr>
        <w:tc>
          <w:tcPr>
            <w:tcW w:w="0" w:type="auto"/>
            <w:tcBorders>
              <w:top w:val="nil"/>
              <w:left w:val="nil"/>
              <w:bottom w:val="nil"/>
              <w:right w:val="nil"/>
            </w:tcBorders>
            <w:shd w:val="clear" w:color="auto" w:fill="auto"/>
            <w:noWrap/>
            <w:hideMark/>
          </w:tcPr>
          <w:p w14:paraId="2F62CA83"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7BFFC526"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1E3B4089"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622799D0"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1.4</w:t>
            </w:r>
          </w:p>
        </w:tc>
        <w:tc>
          <w:tcPr>
            <w:tcW w:w="0" w:type="auto"/>
            <w:tcBorders>
              <w:top w:val="nil"/>
              <w:left w:val="nil"/>
              <w:bottom w:val="nil"/>
              <w:right w:val="nil"/>
            </w:tcBorders>
            <w:shd w:val="clear" w:color="auto" w:fill="auto"/>
            <w:noWrap/>
            <w:hideMark/>
          </w:tcPr>
          <w:p w14:paraId="2444BCCC"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Rehm, 1995</w:t>
            </w:r>
            <w:r w:rsidRPr="00295ADA">
              <w:rPr>
                <w:rFonts w:eastAsiaTheme="minorHAnsi"/>
                <w:vertAlign w:val="superscript"/>
                <w:lang w:eastAsia="en-US"/>
                <w14:ligatures w14:val="standardContextual"/>
              </w:rPr>
              <w:t>31</w:t>
            </w:r>
          </w:p>
        </w:tc>
      </w:tr>
      <w:tr w:rsidR="000C369F" w:rsidRPr="00295ADA" w14:paraId="46D1AC8F" w14:textId="77777777" w:rsidTr="00CD4734">
        <w:trPr>
          <w:trHeight w:val="144"/>
          <w:jc w:val="center"/>
        </w:trPr>
        <w:tc>
          <w:tcPr>
            <w:tcW w:w="0" w:type="auto"/>
            <w:tcBorders>
              <w:top w:val="nil"/>
              <w:left w:val="nil"/>
              <w:bottom w:val="nil"/>
              <w:right w:val="nil"/>
            </w:tcBorders>
            <w:shd w:val="clear" w:color="auto" w:fill="auto"/>
            <w:noWrap/>
            <w:hideMark/>
          </w:tcPr>
          <w:p w14:paraId="63C8AE8F"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24DD84AF"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6137F428"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0.22</w:t>
            </w:r>
          </w:p>
        </w:tc>
        <w:tc>
          <w:tcPr>
            <w:tcW w:w="0" w:type="auto"/>
            <w:tcBorders>
              <w:top w:val="nil"/>
              <w:left w:val="nil"/>
              <w:bottom w:val="nil"/>
              <w:right w:val="nil"/>
            </w:tcBorders>
            <w:shd w:val="clear" w:color="auto" w:fill="auto"/>
            <w:noWrap/>
            <w:hideMark/>
          </w:tcPr>
          <w:p w14:paraId="3A9E806B"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6DB15333"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Rehm et al., 1983</w:t>
            </w:r>
            <w:r w:rsidRPr="00295ADA">
              <w:rPr>
                <w:rFonts w:eastAsiaTheme="minorHAnsi"/>
                <w:vertAlign w:val="superscript"/>
                <w:lang w:eastAsia="en-US"/>
                <w14:ligatures w14:val="standardContextual"/>
              </w:rPr>
              <w:t>32</w:t>
            </w:r>
          </w:p>
        </w:tc>
      </w:tr>
      <w:tr w:rsidR="000C369F" w:rsidRPr="00295ADA" w14:paraId="354580A4" w14:textId="77777777" w:rsidTr="00CD4734">
        <w:trPr>
          <w:trHeight w:val="144"/>
          <w:jc w:val="center"/>
        </w:trPr>
        <w:tc>
          <w:tcPr>
            <w:tcW w:w="0" w:type="auto"/>
            <w:tcBorders>
              <w:top w:val="nil"/>
              <w:left w:val="nil"/>
              <w:bottom w:val="nil"/>
              <w:right w:val="nil"/>
            </w:tcBorders>
            <w:shd w:val="clear" w:color="auto" w:fill="auto"/>
            <w:noWrap/>
            <w:hideMark/>
          </w:tcPr>
          <w:p w14:paraId="74D5CC7A"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49125F0D"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60D563F1"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0.18</w:t>
            </w:r>
          </w:p>
        </w:tc>
        <w:tc>
          <w:tcPr>
            <w:tcW w:w="0" w:type="auto"/>
            <w:tcBorders>
              <w:top w:val="nil"/>
              <w:left w:val="nil"/>
              <w:bottom w:val="nil"/>
              <w:right w:val="nil"/>
            </w:tcBorders>
            <w:shd w:val="clear" w:color="auto" w:fill="auto"/>
            <w:noWrap/>
            <w:hideMark/>
          </w:tcPr>
          <w:p w14:paraId="7567F5CE"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nil"/>
              <w:right w:val="nil"/>
            </w:tcBorders>
            <w:shd w:val="clear" w:color="auto" w:fill="auto"/>
            <w:noWrap/>
            <w:hideMark/>
          </w:tcPr>
          <w:p w14:paraId="304DD733"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Smyth and Cravo, 1990</w:t>
            </w:r>
            <w:r w:rsidRPr="00295ADA">
              <w:rPr>
                <w:rFonts w:eastAsiaTheme="minorHAnsi"/>
                <w:vertAlign w:val="superscript"/>
                <w:lang w:eastAsia="en-US"/>
                <w14:ligatures w14:val="standardContextual"/>
              </w:rPr>
              <w:t>33</w:t>
            </w:r>
          </w:p>
        </w:tc>
      </w:tr>
      <w:tr w:rsidR="000C369F" w:rsidRPr="00295ADA" w14:paraId="5951AF74" w14:textId="77777777" w:rsidTr="00CD4734">
        <w:trPr>
          <w:trHeight w:val="144"/>
          <w:jc w:val="center"/>
        </w:trPr>
        <w:tc>
          <w:tcPr>
            <w:tcW w:w="0" w:type="auto"/>
            <w:tcBorders>
              <w:top w:val="nil"/>
              <w:left w:val="nil"/>
              <w:bottom w:val="nil"/>
              <w:right w:val="nil"/>
            </w:tcBorders>
            <w:shd w:val="clear" w:color="auto" w:fill="auto"/>
            <w:noWrap/>
            <w:hideMark/>
          </w:tcPr>
          <w:p w14:paraId="4664E77F"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2811DDC3"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nil"/>
              <w:right w:val="nil"/>
            </w:tcBorders>
            <w:shd w:val="clear" w:color="auto" w:fill="auto"/>
            <w:noWrap/>
            <w:hideMark/>
          </w:tcPr>
          <w:p w14:paraId="50754786"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0.25</w:t>
            </w:r>
          </w:p>
        </w:tc>
        <w:tc>
          <w:tcPr>
            <w:tcW w:w="0" w:type="auto"/>
            <w:tcBorders>
              <w:top w:val="nil"/>
              <w:left w:val="nil"/>
              <w:bottom w:val="nil"/>
              <w:right w:val="nil"/>
            </w:tcBorders>
            <w:shd w:val="clear" w:color="auto" w:fill="auto"/>
            <w:noWrap/>
            <w:hideMark/>
          </w:tcPr>
          <w:p w14:paraId="3E45B6AC"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1.1</w:t>
            </w:r>
          </w:p>
        </w:tc>
        <w:tc>
          <w:tcPr>
            <w:tcW w:w="0" w:type="auto"/>
            <w:tcBorders>
              <w:top w:val="nil"/>
              <w:left w:val="nil"/>
              <w:bottom w:val="nil"/>
              <w:right w:val="nil"/>
            </w:tcBorders>
            <w:shd w:val="clear" w:color="auto" w:fill="auto"/>
            <w:noWrap/>
            <w:hideMark/>
          </w:tcPr>
          <w:p w14:paraId="137DB9E8"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Stammer and Mallarino, 2018</w:t>
            </w:r>
            <w:r w:rsidRPr="00295ADA">
              <w:rPr>
                <w:rFonts w:eastAsiaTheme="minorHAnsi"/>
                <w:vertAlign w:val="superscript"/>
                <w:lang w:eastAsia="en-US"/>
                <w14:ligatures w14:val="standardContextual"/>
              </w:rPr>
              <w:t>34</w:t>
            </w:r>
          </w:p>
        </w:tc>
      </w:tr>
      <w:tr w:rsidR="000C369F" w:rsidRPr="00295ADA" w14:paraId="68DF8CC0" w14:textId="77777777" w:rsidTr="00CD4734">
        <w:trPr>
          <w:trHeight w:val="144"/>
          <w:jc w:val="center"/>
        </w:trPr>
        <w:tc>
          <w:tcPr>
            <w:tcW w:w="0" w:type="auto"/>
            <w:tcBorders>
              <w:top w:val="nil"/>
              <w:left w:val="nil"/>
              <w:bottom w:val="nil"/>
              <w:right w:val="nil"/>
            </w:tcBorders>
            <w:shd w:val="clear" w:color="auto" w:fill="auto"/>
            <w:noWrap/>
            <w:hideMark/>
          </w:tcPr>
          <w:p w14:paraId="2DC4DB7E"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nil"/>
              <w:right w:val="nil"/>
            </w:tcBorders>
            <w:shd w:val="clear" w:color="auto" w:fill="auto"/>
            <w:noWrap/>
            <w:hideMark/>
          </w:tcPr>
          <w:p w14:paraId="74254F41"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2.9</w:t>
            </w:r>
          </w:p>
        </w:tc>
        <w:tc>
          <w:tcPr>
            <w:tcW w:w="0" w:type="auto"/>
            <w:tcBorders>
              <w:top w:val="nil"/>
              <w:left w:val="nil"/>
              <w:bottom w:val="nil"/>
              <w:right w:val="nil"/>
            </w:tcBorders>
            <w:shd w:val="clear" w:color="auto" w:fill="auto"/>
            <w:noWrap/>
            <w:hideMark/>
          </w:tcPr>
          <w:p w14:paraId="565E72B0"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0.30</w:t>
            </w:r>
          </w:p>
        </w:tc>
        <w:tc>
          <w:tcPr>
            <w:tcW w:w="0" w:type="auto"/>
            <w:tcBorders>
              <w:top w:val="nil"/>
              <w:left w:val="nil"/>
              <w:bottom w:val="nil"/>
              <w:right w:val="nil"/>
            </w:tcBorders>
            <w:shd w:val="clear" w:color="auto" w:fill="auto"/>
            <w:noWrap/>
            <w:hideMark/>
          </w:tcPr>
          <w:p w14:paraId="0062B05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1.9</w:t>
            </w:r>
          </w:p>
        </w:tc>
        <w:tc>
          <w:tcPr>
            <w:tcW w:w="0" w:type="auto"/>
            <w:tcBorders>
              <w:top w:val="nil"/>
              <w:left w:val="nil"/>
              <w:bottom w:val="nil"/>
              <w:right w:val="nil"/>
            </w:tcBorders>
            <w:shd w:val="clear" w:color="auto" w:fill="auto"/>
            <w:noWrap/>
            <w:hideMark/>
          </w:tcPr>
          <w:p w14:paraId="6514C53C"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Vitosh et al., 1995</w:t>
            </w:r>
            <w:r w:rsidRPr="00295ADA">
              <w:rPr>
                <w:rFonts w:eastAsiaTheme="minorHAnsi"/>
                <w:vertAlign w:val="superscript"/>
                <w:lang w:eastAsia="en-US"/>
                <w14:ligatures w14:val="standardContextual"/>
              </w:rPr>
              <w:t>35</w:t>
            </w:r>
          </w:p>
        </w:tc>
      </w:tr>
      <w:tr w:rsidR="000C369F" w:rsidRPr="00295ADA" w14:paraId="3AD374DD" w14:textId="77777777" w:rsidTr="00CD4734">
        <w:trPr>
          <w:trHeight w:val="144"/>
          <w:jc w:val="center"/>
        </w:trPr>
        <w:tc>
          <w:tcPr>
            <w:tcW w:w="0" w:type="auto"/>
            <w:tcBorders>
              <w:top w:val="nil"/>
              <w:left w:val="nil"/>
              <w:right w:val="nil"/>
            </w:tcBorders>
            <w:shd w:val="clear" w:color="auto" w:fill="auto"/>
            <w:noWrap/>
            <w:hideMark/>
          </w:tcPr>
          <w:p w14:paraId="632796F0"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right w:val="nil"/>
            </w:tcBorders>
            <w:shd w:val="clear" w:color="auto" w:fill="auto"/>
            <w:noWrap/>
            <w:hideMark/>
          </w:tcPr>
          <w:p w14:paraId="00D65254"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right w:val="nil"/>
            </w:tcBorders>
            <w:shd w:val="clear" w:color="auto" w:fill="auto"/>
            <w:noWrap/>
            <w:hideMark/>
          </w:tcPr>
          <w:p w14:paraId="39210B86"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0.28</w:t>
            </w:r>
          </w:p>
        </w:tc>
        <w:tc>
          <w:tcPr>
            <w:tcW w:w="0" w:type="auto"/>
            <w:tcBorders>
              <w:top w:val="nil"/>
              <w:left w:val="nil"/>
              <w:right w:val="nil"/>
            </w:tcBorders>
            <w:shd w:val="clear" w:color="auto" w:fill="auto"/>
            <w:noWrap/>
            <w:hideMark/>
          </w:tcPr>
          <w:p w14:paraId="43C3F78F"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1.5</w:t>
            </w:r>
          </w:p>
        </w:tc>
        <w:tc>
          <w:tcPr>
            <w:tcW w:w="0" w:type="auto"/>
            <w:tcBorders>
              <w:top w:val="nil"/>
              <w:left w:val="nil"/>
              <w:right w:val="nil"/>
            </w:tcBorders>
            <w:shd w:val="clear" w:color="auto" w:fill="auto"/>
            <w:noWrap/>
            <w:hideMark/>
          </w:tcPr>
          <w:p w14:paraId="4FFD131F"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Voss et al., 1970</w:t>
            </w:r>
            <w:r w:rsidRPr="00295ADA">
              <w:rPr>
                <w:rFonts w:eastAsiaTheme="minorHAnsi"/>
                <w:vertAlign w:val="superscript"/>
                <w:lang w:eastAsia="en-US"/>
                <w14:ligatures w14:val="standardContextual"/>
              </w:rPr>
              <w:t>36</w:t>
            </w:r>
          </w:p>
        </w:tc>
      </w:tr>
      <w:tr w:rsidR="000C369F" w:rsidRPr="00295ADA" w14:paraId="27E6FF37" w14:textId="77777777" w:rsidTr="00CD4734">
        <w:trPr>
          <w:trHeight w:val="144"/>
          <w:jc w:val="center"/>
        </w:trPr>
        <w:tc>
          <w:tcPr>
            <w:tcW w:w="0" w:type="auto"/>
            <w:tcBorders>
              <w:top w:val="nil"/>
              <w:left w:val="nil"/>
              <w:bottom w:val="single" w:sz="4" w:space="0" w:color="auto"/>
              <w:right w:val="nil"/>
            </w:tcBorders>
            <w:shd w:val="clear" w:color="auto" w:fill="auto"/>
            <w:noWrap/>
            <w:hideMark/>
          </w:tcPr>
          <w:p w14:paraId="5D370BA3" w14:textId="77777777" w:rsidR="000C369F" w:rsidRPr="00295ADA" w:rsidRDefault="000C369F" w:rsidP="00CD4734">
            <w:pPr>
              <w:tabs>
                <w:tab w:val="num" w:pos="0"/>
              </w:tabs>
              <w:spacing w:line="240" w:lineRule="auto"/>
              <w:rPr>
                <w:rFonts w:eastAsia="Times New Roman"/>
                <w:color w:val="000000"/>
              </w:rPr>
            </w:pPr>
          </w:p>
        </w:tc>
        <w:tc>
          <w:tcPr>
            <w:tcW w:w="0" w:type="auto"/>
            <w:tcBorders>
              <w:top w:val="nil"/>
              <w:left w:val="nil"/>
              <w:bottom w:val="single" w:sz="4" w:space="0" w:color="auto"/>
              <w:right w:val="nil"/>
            </w:tcBorders>
            <w:shd w:val="clear" w:color="auto" w:fill="auto"/>
            <w:noWrap/>
            <w:hideMark/>
          </w:tcPr>
          <w:p w14:paraId="23C665C0" w14:textId="77777777" w:rsidR="000C369F" w:rsidRPr="00295ADA" w:rsidRDefault="000C369F" w:rsidP="00CD4734">
            <w:pPr>
              <w:tabs>
                <w:tab w:val="num" w:pos="0"/>
              </w:tabs>
              <w:spacing w:line="240" w:lineRule="auto"/>
              <w:jc w:val="center"/>
              <w:rPr>
                <w:rFonts w:eastAsia="Times New Roman"/>
                <w:sz w:val="20"/>
                <w:szCs w:val="20"/>
              </w:rPr>
            </w:pPr>
          </w:p>
        </w:tc>
        <w:tc>
          <w:tcPr>
            <w:tcW w:w="0" w:type="auto"/>
            <w:tcBorders>
              <w:top w:val="nil"/>
              <w:left w:val="nil"/>
              <w:bottom w:val="single" w:sz="4" w:space="0" w:color="auto"/>
              <w:right w:val="nil"/>
            </w:tcBorders>
            <w:shd w:val="clear" w:color="auto" w:fill="auto"/>
            <w:noWrap/>
            <w:hideMark/>
          </w:tcPr>
          <w:p w14:paraId="0D3A420E"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0.25</w:t>
            </w:r>
          </w:p>
        </w:tc>
        <w:tc>
          <w:tcPr>
            <w:tcW w:w="0" w:type="auto"/>
            <w:tcBorders>
              <w:top w:val="nil"/>
              <w:left w:val="nil"/>
              <w:bottom w:val="single" w:sz="4" w:space="0" w:color="auto"/>
              <w:right w:val="nil"/>
            </w:tcBorders>
            <w:shd w:val="clear" w:color="auto" w:fill="auto"/>
            <w:noWrap/>
            <w:hideMark/>
          </w:tcPr>
          <w:p w14:paraId="0F04DB9F" w14:textId="77777777" w:rsidR="000C369F" w:rsidRPr="00295ADA" w:rsidRDefault="000C369F" w:rsidP="00CD4734">
            <w:pPr>
              <w:tabs>
                <w:tab w:val="num" w:pos="0"/>
              </w:tabs>
              <w:spacing w:line="240" w:lineRule="auto"/>
              <w:jc w:val="center"/>
              <w:rPr>
                <w:rFonts w:eastAsia="Times New Roman"/>
                <w:color w:val="000000"/>
              </w:rPr>
            </w:pPr>
          </w:p>
        </w:tc>
        <w:tc>
          <w:tcPr>
            <w:tcW w:w="0" w:type="auto"/>
            <w:tcBorders>
              <w:top w:val="nil"/>
              <w:left w:val="nil"/>
              <w:bottom w:val="single" w:sz="4" w:space="0" w:color="auto"/>
              <w:right w:val="nil"/>
            </w:tcBorders>
            <w:shd w:val="clear" w:color="auto" w:fill="auto"/>
            <w:noWrap/>
            <w:hideMark/>
          </w:tcPr>
          <w:p w14:paraId="486A0FA5"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Zhang et al., 2022</w:t>
            </w:r>
            <w:r w:rsidRPr="00295ADA">
              <w:rPr>
                <w:rFonts w:eastAsiaTheme="minorHAnsi"/>
                <w:vertAlign w:val="superscript"/>
                <w:lang w:eastAsia="en-US"/>
                <w14:ligatures w14:val="standardContextual"/>
              </w:rPr>
              <w:t>37</w:t>
            </w:r>
          </w:p>
        </w:tc>
      </w:tr>
      <w:tr w:rsidR="000C369F" w:rsidRPr="00295ADA" w14:paraId="1D9D622E" w14:textId="77777777" w:rsidTr="00CD4734">
        <w:trPr>
          <w:trHeight w:val="144"/>
          <w:jc w:val="center"/>
        </w:trPr>
        <w:tc>
          <w:tcPr>
            <w:tcW w:w="0" w:type="auto"/>
            <w:tcBorders>
              <w:top w:val="single" w:sz="4" w:space="0" w:color="auto"/>
              <w:left w:val="nil"/>
              <w:bottom w:val="single" w:sz="4" w:space="0" w:color="auto"/>
              <w:right w:val="nil"/>
            </w:tcBorders>
            <w:shd w:val="clear" w:color="auto" w:fill="auto"/>
            <w:noWrap/>
            <w:hideMark/>
          </w:tcPr>
          <w:p w14:paraId="63D9A563" w14:textId="77777777" w:rsidR="000C369F" w:rsidRPr="00295ADA" w:rsidRDefault="000C369F" w:rsidP="00CD4734">
            <w:pPr>
              <w:tabs>
                <w:tab w:val="num" w:pos="0"/>
              </w:tabs>
              <w:spacing w:line="240" w:lineRule="auto"/>
              <w:rPr>
                <w:rFonts w:eastAsia="Times New Roman"/>
                <w:color w:val="000000"/>
              </w:rPr>
            </w:pPr>
            <w:r w:rsidRPr="00295ADA">
              <w:rPr>
                <w:rFonts w:eastAsia="Times New Roman"/>
                <w:color w:val="000000"/>
              </w:rPr>
              <w:t>Average (IQR)</w:t>
            </w:r>
          </w:p>
        </w:tc>
        <w:tc>
          <w:tcPr>
            <w:tcW w:w="0" w:type="auto"/>
            <w:tcBorders>
              <w:top w:val="single" w:sz="4" w:space="0" w:color="auto"/>
              <w:left w:val="nil"/>
              <w:bottom w:val="single" w:sz="4" w:space="0" w:color="auto"/>
              <w:right w:val="nil"/>
            </w:tcBorders>
            <w:shd w:val="clear" w:color="auto" w:fill="auto"/>
            <w:noWrap/>
            <w:hideMark/>
          </w:tcPr>
          <w:p w14:paraId="2FAAC0F3"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2.7 (0.2)</w:t>
            </w:r>
          </w:p>
        </w:tc>
        <w:tc>
          <w:tcPr>
            <w:tcW w:w="0" w:type="auto"/>
            <w:tcBorders>
              <w:top w:val="single" w:sz="4" w:space="0" w:color="auto"/>
              <w:left w:val="nil"/>
              <w:bottom w:val="single" w:sz="4" w:space="0" w:color="auto"/>
              <w:right w:val="nil"/>
            </w:tcBorders>
            <w:shd w:val="clear" w:color="auto" w:fill="auto"/>
            <w:noWrap/>
            <w:hideMark/>
          </w:tcPr>
          <w:p w14:paraId="44B8F907"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0.25 (0.05)</w:t>
            </w:r>
          </w:p>
        </w:tc>
        <w:tc>
          <w:tcPr>
            <w:tcW w:w="0" w:type="auto"/>
            <w:tcBorders>
              <w:top w:val="single" w:sz="4" w:space="0" w:color="auto"/>
              <w:left w:val="nil"/>
              <w:bottom w:val="single" w:sz="4" w:space="0" w:color="auto"/>
              <w:right w:val="nil"/>
            </w:tcBorders>
            <w:shd w:val="clear" w:color="auto" w:fill="auto"/>
            <w:noWrap/>
            <w:hideMark/>
          </w:tcPr>
          <w:p w14:paraId="073657B7" w14:textId="77777777" w:rsidR="000C369F" w:rsidRPr="00295ADA" w:rsidRDefault="000C369F" w:rsidP="00CD4734">
            <w:pPr>
              <w:tabs>
                <w:tab w:val="num" w:pos="0"/>
              </w:tabs>
              <w:spacing w:line="240" w:lineRule="auto"/>
              <w:jc w:val="center"/>
              <w:rPr>
                <w:rFonts w:eastAsia="Times New Roman"/>
                <w:color w:val="000000"/>
              </w:rPr>
            </w:pPr>
            <w:r w:rsidRPr="00295ADA">
              <w:rPr>
                <w:rFonts w:eastAsia="Times New Roman"/>
                <w:color w:val="000000"/>
              </w:rPr>
              <w:t>1.6 (0.4)</w:t>
            </w:r>
          </w:p>
        </w:tc>
        <w:tc>
          <w:tcPr>
            <w:tcW w:w="0" w:type="auto"/>
            <w:tcBorders>
              <w:top w:val="single" w:sz="4" w:space="0" w:color="auto"/>
              <w:left w:val="nil"/>
              <w:bottom w:val="single" w:sz="4" w:space="0" w:color="auto"/>
              <w:right w:val="nil"/>
            </w:tcBorders>
            <w:shd w:val="clear" w:color="auto" w:fill="auto"/>
            <w:noWrap/>
            <w:hideMark/>
          </w:tcPr>
          <w:p w14:paraId="4ACFB69C" w14:textId="77777777" w:rsidR="000C369F" w:rsidRPr="00295ADA" w:rsidRDefault="000C369F" w:rsidP="00CD4734">
            <w:pPr>
              <w:tabs>
                <w:tab w:val="num" w:pos="0"/>
              </w:tabs>
              <w:spacing w:line="240" w:lineRule="auto"/>
              <w:rPr>
                <w:rFonts w:eastAsia="Times New Roman"/>
                <w:color w:val="000000"/>
              </w:rPr>
            </w:pPr>
          </w:p>
        </w:tc>
      </w:tr>
    </w:tbl>
    <w:p w14:paraId="39CC3A94" w14:textId="77777777" w:rsidR="000C369F" w:rsidRPr="00295ADA" w:rsidRDefault="000C369F" w:rsidP="000C369F">
      <w:pPr>
        <w:spacing w:after="160" w:line="259" w:lineRule="auto"/>
        <w:rPr>
          <w:b/>
          <w:bCs/>
        </w:rPr>
      </w:pPr>
      <w:r w:rsidRPr="00295ADA">
        <w:rPr>
          <w:b/>
          <w:bCs/>
        </w:rPr>
        <w:br w:type="page"/>
      </w:r>
    </w:p>
    <w:p w14:paraId="6AF01E9F" w14:textId="77777777" w:rsidR="000C369F" w:rsidRPr="00295ADA" w:rsidRDefault="000C369F" w:rsidP="000C369F">
      <w:pPr>
        <w:tabs>
          <w:tab w:val="num" w:pos="0"/>
        </w:tabs>
        <w:rPr>
          <w:b/>
          <w:bCs/>
        </w:rPr>
      </w:pPr>
      <w:r w:rsidRPr="00295ADA">
        <w:rPr>
          <w:b/>
          <w:bCs/>
        </w:rPr>
        <w:lastRenderedPageBreak/>
        <w:t>Additional references associated with Supplementary Information</w:t>
      </w:r>
    </w:p>
    <w:p w14:paraId="18D3B851" w14:textId="77777777" w:rsidR="000C369F" w:rsidRPr="00295ADA" w:rsidRDefault="000C369F" w:rsidP="000C369F">
      <w:pPr>
        <w:tabs>
          <w:tab w:val="num" w:pos="0"/>
        </w:tabs>
        <w:rPr>
          <w:b/>
          <w:bCs/>
          <w:sz w:val="28"/>
          <w:szCs w:val="28"/>
        </w:rPr>
      </w:pPr>
    </w:p>
    <w:p w14:paraId="0D52CD53"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w:t>
      </w:r>
      <w:r w:rsidRPr="00295ADA">
        <w:rPr>
          <w:rFonts w:eastAsiaTheme="minorHAnsi"/>
          <w:kern w:val="2"/>
          <w:lang w:eastAsia="en-US"/>
          <w14:ligatures w14:val="standardContextual"/>
        </w:rPr>
        <w:tab/>
        <w:t xml:space="preserve">Dobermann, A. &amp; Fairhurst, T. </w:t>
      </w:r>
      <w:r w:rsidRPr="00295ADA">
        <w:rPr>
          <w:rFonts w:eastAsiaTheme="minorHAnsi"/>
          <w:i/>
          <w:iCs/>
          <w:kern w:val="2"/>
          <w:lang w:eastAsia="en-US"/>
          <w14:ligatures w14:val="standardContextual"/>
        </w:rPr>
        <w:t>Rice: nutrient disorders &amp; nutrient management</w:t>
      </w:r>
      <w:r w:rsidRPr="00295ADA">
        <w:rPr>
          <w:rFonts w:eastAsiaTheme="minorHAnsi"/>
          <w:kern w:val="2"/>
          <w:lang w:eastAsia="en-US"/>
          <w14:ligatures w14:val="standardContextual"/>
        </w:rPr>
        <w:t>. (Potash &amp; Phosphate Institute [u.a.], 2000).</w:t>
      </w:r>
    </w:p>
    <w:p w14:paraId="3C9BB116"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w:t>
      </w:r>
      <w:r w:rsidRPr="00295ADA">
        <w:rPr>
          <w:rFonts w:eastAsiaTheme="minorHAnsi"/>
          <w:kern w:val="2"/>
          <w:lang w:eastAsia="en-US"/>
          <w14:ligatures w14:val="standardContextual"/>
        </w:rPr>
        <w:tab/>
        <w:t xml:space="preserve">Setiyono, T. D., Walters, D. T., Cassman, K. G., Witt, C. &amp; Dobermann, A. Estimating maize nutrient uptake requirements. </w:t>
      </w:r>
      <w:r w:rsidRPr="00295ADA">
        <w:rPr>
          <w:rFonts w:eastAsiaTheme="minorHAnsi"/>
          <w:i/>
          <w:iCs/>
          <w:kern w:val="2"/>
          <w:lang w:eastAsia="en-US"/>
          <w14:ligatures w14:val="standardContextual"/>
        </w:rPr>
        <w:t>Field Crops Research</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118</w:t>
      </w:r>
      <w:r w:rsidRPr="00295ADA">
        <w:rPr>
          <w:rFonts w:eastAsiaTheme="minorHAnsi"/>
          <w:kern w:val="2"/>
          <w:lang w:eastAsia="en-US"/>
          <w14:ligatures w14:val="standardContextual"/>
        </w:rPr>
        <w:t>, 158–168 (2010).</w:t>
      </w:r>
    </w:p>
    <w:p w14:paraId="3BE55ADB"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w:t>
      </w:r>
      <w:r w:rsidRPr="00295ADA">
        <w:rPr>
          <w:rFonts w:eastAsiaTheme="minorHAnsi"/>
          <w:kern w:val="2"/>
          <w:lang w:eastAsia="en-US"/>
          <w14:ligatures w14:val="standardContextual"/>
        </w:rPr>
        <w:tab/>
        <w:t xml:space="preserve">Tenorio, F. A. M. </w:t>
      </w:r>
      <w:r w:rsidRPr="00295ADA">
        <w:rPr>
          <w:rFonts w:eastAsiaTheme="minorHAnsi"/>
          <w:i/>
          <w:iCs/>
          <w:kern w:val="2"/>
          <w:lang w:eastAsia="en-US"/>
          <w14:ligatures w14:val="standardContextual"/>
        </w:rPr>
        <w:t>et al.</w:t>
      </w:r>
      <w:r w:rsidRPr="00295ADA">
        <w:rPr>
          <w:rFonts w:eastAsiaTheme="minorHAnsi"/>
          <w:kern w:val="2"/>
          <w:lang w:eastAsia="en-US"/>
          <w14:ligatures w14:val="standardContextual"/>
        </w:rPr>
        <w:t xml:space="preserve"> Assessing variation in maize grain nitrogen concentration and its implications for estimating nitrogen balance in the US North Central region. </w:t>
      </w:r>
      <w:r w:rsidRPr="00295ADA">
        <w:rPr>
          <w:rFonts w:eastAsiaTheme="minorHAnsi"/>
          <w:i/>
          <w:iCs/>
          <w:kern w:val="2"/>
          <w:lang w:eastAsia="en-US"/>
          <w14:ligatures w14:val="standardContextual"/>
        </w:rPr>
        <w:t>Field Crops Research</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240</w:t>
      </w:r>
      <w:r w:rsidRPr="00295ADA">
        <w:rPr>
          <w:rFonts w:eastAsiaTheme="minorHAnsi"/>
          <w:kern w:val="2"/>
          <w:lang w:eastAsia="en-US"/>
          <w14:ligatures w14:val="standardContextual"/>
        </w:rPr>
        <w:t>, 185–193 (2019).</w:t>
      </w:r>
    </w:p>
    <w:p w14:paraId="68DB506F"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4.</w:t>
      </w:r>
      <w:r w:rsidRPr="00295ADA">
        <w:rPr>
          <w:rFonts w:eastAsiaTheme="minorHAnsi"/>
          <w:kern w:val="2"/>
          <w:lang w:eastAsia="en-US"/>
          <w14:ligatures w14:val="standardContextual"/>
        </w:rPr>
        <w:tab/>
        <w:t xml:space="preserve">Dobermann, A. </w:t>
      </w:r>
      <w:r w:rsidRPr="00295ADA">
        <w:rPr>
          <w:rFonts w:eastAsiaTheme="minorHAnsi"/>
          <w:i/>
          <w:iCs/>
          <w:kern w:val="2"/>
          <w:lang w:eastAsia="en-US"/>
          <w14:ligatures w14:val="standardContextual"/>
        </w:rPr>
        <w:t>et al.</w:t>
      </w:r>
      <w:r w:rsidRPr="00295ADA">
        <w:rPr>
          <w:rFonts w:eastAsiaTheme="minorHAnsi"/>
          <w:kern w:val="2"/>
          <w:lang w:eastAsia="en-US"/>
          <w14:ligatures w14:val="standardContextual"/>
        </w:rPr>
        <w:t xml:space="preserve"> </w:t>
      </w:r>
      <w:r w:rsidRPr="00295ADA">
        <w:rPr>
          <w:rFonts w:eastAsiaTheme="minorHAnsi"/>
          <w:i/>
          <w:iCs/>
          <w:kern w:val="2"/>
          <w:lang w:eastAsia="en-US"/>
          <w14:ligatures w14:val="standardContextual"/>
        </w:rPr>
        <w:t>Increasing productivity of intensive rice systems through site-specific nutrient management</w:t>
      </w:r>
      <w:r w:rsidRPr="00295ADA">
        <w:rPr>
          <w:rFonts w:eastAsiaTheme="minorHAnsi"/>
          <w:kern w:val="2"/>
          <w:lang w:eastAsia="en-US"/>
          <w14:ligatures w14:val="standardContextual"/>
        </w:rPr>
        <w:t>. (International Rice Research Institute, 2004).</w:t>
      </w:r>
    </w:p>
    <w:p w14:paraId="40A99A1A" w14:textId="77777777" w:rsidR="000C369F" w:rsidRPr="00295ADA" w:rsidRDefault="000C369F" w:rsidP="000C369F">
      <w:pPr>
        <w:ind w:left="432" w:hanging="432"/>
        <w:rPr>
          <w:rFonts w:eastAsiaTheme="minorHAnsi"/>
          <w:kern w:val="2"/>
          <w:lang w:eastAsia="en-US"/>
          <w14:ligatures w14:val="standardContextual"/>
        </w:rPr>
      </w:pPr>
      <w:r w:rsidRPr="00A04F81">
        <w:rPr>
          <w:rFonts w:eastAsiaTheme="minorHAnsi"/>
          <w:kern w:val="2"/>
          <w:lang w:eastAsia="en-US"/>
          <w14:ligatures w14:val="standardContextual"/>
        </w:rPr>
        <w:t>5.</w:t>
      </w:r>
      <w:r w:rsidRPr="00A04F81">
        <w:rPr>
          <w:rFonts w:eastAsiaTheme="minorHAnsi"/>
          <w:kern w:val="2"/>
          <w:lang w:eastAsia="en-US"/>
          <w14:ligatures w14:val="standardContextual"/>
        </w:rPr>
        <w:tab/>
        <w:t xml:space="preserve">Pampolino, M. F. </w:t>
      </w:r>
      <w:r w:rsidRPr="00A04F81">
        <w:rPr>
          <w:rFonts w:eastAsiaTheme="minorHAnsi"/>
          <w:i/>
          <w:iCs/>
          <w:kern w:val="2"/>
          <w:lang w:eastAsia="en-US"/>
          <w14:ligatures w14:val="standardContextual"/>
        </w:rPr>
        <w:t>et al.</w:t>
      </w:r>
      <w:r w:rsidRPr="00A04F81">
        <w:rPr>
          <w:rFonts w:eastAsiaTheme="minorHAnsi"/>
          <w:kern w:val="2"/>
          <w:lang w:eastAsia="en-US"/>
          <w14:ligatures w14:val="standardContextual"/>
        </w:rPr>
        <w:t xml:space="preserve"> </w:t>
      </w:r>
      <w:r w:rsidRPr="00295ADA">
        <w:rPr>
          <w:rFonts w:eastAsiaTheme="minorHAnsi"/>
          <w:kern w:val="2"/>
          <w:lang w:eastAsia="en-US"/>
          <w14:ligatures w14:val="standardContextual"/>
        </w:rPr>
        <w:t xml:space="preserve">Environmental impact and economic benefits of site-specific nutrient management (SSNM) in irrigated rice systems. </w:t>
      </w:r>
      <w:r w:rsidRPr="00295ADA">
        <w:rPr>
          <w:rFonts w:eastAsiaTheme="minorHAnsi"/>
          <w:i/>
          <w:iCs/>
          <w:kern w:val="2"/>
          <w:lang w:eastAsia="en-US"/>
          <w14:ligatures w14:val="standardContextual"/>
        </w:rPr>
        <w:t>Agricultural Systems</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93</w:t>
      </w:r>
      <w:r w:rsidRPr="00295ADA">
        <w:rPr>
          <w:rFonts w:eastAsiaTheme="minorHAnsi"/>
          <w:kern w:val="2"/>
          <w:lang w:eastAsia="en-US"/>
          <w14:ligatures w14:val="standardContextual"/>
        </w:rPr>
        <w:t>, 1–24 (2007).</w:t>
      </w:r>
    </w:p>
    <w:p w14:paraId="4589A0E0" w14:textId="77777777" w:rsidR="000C369F" w:rsidRPr="00295ADA" w:rsidRDefault="000C369F" w:rsidP="000C369F">
      <w:pPr>
        <w:ind w:left="432" w:hanging="432"/>
        <w:rPr>
          <w:rFonts w:eastAsiaTheme="minorHAnsi"/>
          <w:kern w:val="2"/>
          <w:lang w:eastAsia="en-US"/>
          <w14:ligatures w14:val="standardContextual"/>
        </w:rPr>
      </w:pPr>
      <w:r w:rsidRPr="007359B2">
        <w:rPr>
          <w:rFonts w:eastAsiaTheme="minorHAnsi"/>
          <w:kern w:val="2"/>
          <w:lang w:eastAsia="en-US"/>
          <w14:ligatures w14:val="standardContextual"/>
        </w:rPr>
        <w:t>6.</w:t>
      </w:r>
      <w:r w:rsidRPr="007359B2">
        <w:rPr>
          <w:rFonts w:eastAsiaTheme="minorHAnsi"/>
          <w:kern w:val="2"/>
          <w:lang w:eastAsia="en-US"/>
          <w14:ligatures w14:val="standardContextual"/>
        </w:rPr>
        <w:tab/>
        <w:t xml:space="preserve">Pasuquin, J. M. </w:t>
      </w:r>
      <w:r w:rsidRPr="007359B2">
        <w:rPr>
          <w:rFonts w:eastAsiaTheme="minorHAnsi"/>
          <w:i/>
          <w:iCs/>
          <w:kern w:val="2"/>
          <w:lang w:eastAsia="en-US"/>
          <w14:ligatures w14:val="standardContextual"/>
        </w:rPr>
        <w:t>et al.</w:t>
      </w:r>
      <w:r w:rsidRPr="007359B2">
        <w:rPr>
          <w:rFonts w:eastAsiaTheme="minorHAnsi"/>
          <w:kern w:val="2"/>
          <w:lang w:eastAsia="en-US"/>
          <w14:ligatures w14:val="standardContextual"/>
        </w:rPr>
        <w:t xml:space="preserve"> </w:t>
      </w:r>
      <w:r w:rsidRPr="00295ADA">
        <w:rPr>
          <w:rFonts w:eastAsiaTheme="minorHAnsi"/>
          <w:kern w:val="2"/>
          <w:lang w:eastAsia="en-US"/>
          <w14:ligatures w14:val="standardContextual"/>
        </w:rPr>
        <w:t xml:space="preserve">Closing yield gaps in maize production in Southeast Asia through site-specific nutrient management. </w:t>
      </w:r>
      <w:r w:rsidRPr="00295ADA">
        <w:rPr>
          <w:rFonts w:eastAsiaTheme="minorHAnsi"/>
          <w:i/>
          <w:iCs/>
          <w:kern w:val="2"/>
          <w:lang w:eastAsia="en-US"/>
          <w14:ligatures w14:val="standardContextual"/>
        </w:rPr>
        <w:t>Field Crops Research</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156</w:t>
      </w:r>
      <w:r w:rsidRPr="00295ADA">
        <w:rPr>
          <w:rFonts w:eastAsiaTheme="minorHAnsi"/>
          <w:kern w:val="2"/>
          <w:lang w:eastAsia="en-US"/>
          <w14:ligatures w14:val="standardContextual"/>
        </w:rPr>
        <w:t>, 219–230 (2014).</w:t>
      </w:r>
    </w:p>
    <w:p w14:paraId="4BED8B83"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7.</w:t>
      </w:r>
      <w:r w:rsidRPr="00295ADA">
        <w:rPr>
          <w:rFonts w:eastAsiaTheme="minorHAnsi"/>
          <w:kern w:val="2"/>
          <w:lang w:eastAsia="en-US"/>
          <w14:ligatures w14:val="standardContextual"/>
        </w:rPr>
        <w:tab/>
        <w:t xml:space="preserve">Buresh, R. j., Ramesh Reddy, K. &amp; van Kessel, C. Nitrogen Transformations in Submerged Soils. in </w:t>
      </w:r>
      <w:r w:rsidRPr="00295ADA">
        <w:rPr>
          <w:rFonts w:eastAsiaTheme="minorHAnsi"/>
          <w:i/>
          <w:iCs/>
          <w:kern w:val="2"/>
          <w:lang w:eastAsia="en-US"/>
          <w14:ligatures w14:val="standardContextual"/>
        </w:rPr>
        <w:t>Nitrogen in Agricultural Systems</w:t>
      </w:r>
      <w:r w:rsidRPr="00295ADA">
        <w:rPr>
          <w:rFonts w:eastAsiaTheme="minorHAnsi"/>
          <w:kern w:val="2"/>
          <w:lang w:eastAsia="en-US"/>
          <w14:ligatures w14:val="standardContextual"/>
        </w:rPr>
        <w:t xml:space="preserve"> 401–436 (John Wiley &amp; Sons, Ltd, 2008). doi:10.2134/agronmonogr49.c11.</w:t>
      </w:r>
    </w:p>
    <w:p w14:paraId="730E0E22" w14:textId="77777777" w:rsidR="000C369F" w:rsidRPr="00E63421" w:rsidRDefault="000C369F" w:rsidP="000C369F">
      <w:pPr>
        <w:ind w:left="432" w:hanging="432"/>
        <w:rPr>
          <w:rFonts w:eastAsiaTheme="minorHAnsi"/>
          <w:kern w:val="2"/>
          <w:lang w:eastAsia="en-US"/>
          <w14:ligatures w14:val="standardContextual"/>
        </w:rPr>
      </w:pPr>
      <w:r w:rsidRPr="00E63421">
        <w:rPr>
          <w:rFonts w:eastAsiaTheme="minorHAnsi"/>
          <w:kern w:val="2"/>
          <w:lang w:eastAsia="en-US"/>
          <w14:ligatures w14:val="standardContextual"/>
        </w:rPr>
        <w:t>8.</w:t>
      </w:r>
      <w:r w:rsidRPr="00E63421">
        <w:rPr>
          <w:rFonts w:eastAsiaTheme="minorHAnsi"/>
          <w:kern w:val="2"/>
          <w:lang w:eastAsia="en-US"/>
          <w14:ligatures w14:val="standardContextual"/>
        </w:rPr>
        <w:tab/>
        <w:t xml:space="preserve">BPK. Database Peraturan | JDIH BPK. </w:t>
      </w:r>
      <w:r w:rsidRPr="00E63421">
        <w:rPr>
          <w:rFonts w:eastAsiaTheme="minorHAnsi"/>
          <w:i/>
          <w:iCs/>
          <w:kern w:val="2"/>
          <w:lang w:eastAsia="en-US"/>
          <w14:ligatures w14:val="standardContextual"/>
        </w:rPr>
        <w:t>Database Peraturan | JDIH BPK</w:t>
      </w:r>
      <w:r w:rsidRPr="00E63421">
        <w:rPr>
          <w:rFonts w:eastAsiaTheme="minorHAnsi"/>
          <w:kern w:val="2"/>
          <w:lang w:eastAsia="en-US"/>
          <w14:ligatures w14:val="standardContextual"/>
        </w:rPr>
        <w:t xml:space="preserve"> http://peraturan.bpk.go.id/ (2023).</w:t>
      </w:r>
    </w:p>
    <w:p w14:paraId="7D411D9E"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9.</w:t>
      </w:r>
      <w:r w:rsidRPr="00295ADA">
        <w:rPr>
          <w:rFonts w:eastAsiaTheme="minorHAnsi"/>
          <w:kern w:val="2"/>
          <w:lang w:eastAsia="en-US"/>
          <w14:ligatures w14:val="standardContextual"/>
        </w:rPr>
        <w:tab/>
        <w:t xml:space="preserve">Dobermann, A., Cassman, K. G., Mamaril, C. P. &amp; Sheehy, J. E. Management of phosphorus, potassium, and sulfur in intensive, irrigated lowland rice. </w:t>
      </w:r>
      <w:r w:rsidRPr="00295ADA">
        <w:rPr>
          <w:rFonts w:eastAsiaTheme="minorHAnsi"/>
          <w:i/>
          <w:iCs/>
          <w:kern w:val="2"/>
          <w:lang w:eastAsia="en-US"/>
          <w14:ligatures w14:val="standardContextual"/>
        </w:rPr>
        <w:t>Field Crops Research</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56</w:t>
      </w:r>
      <w:r w:rsidRPr="00295ADA">
        <w:rPr>
          <w:rFonts w:eastAsiaTheme="minorHAnsi"/>
          <w:kern w:val="2"/>
          <w:lang w:eastAsia="en-US"/>
          <w14:ligatures w14:val="standardContextual"/>
        </w:rPr>
        <w:t>, 113–138 (1998).</w:t>
      </w:r>
    </w:p>
    <w:p w14:paraId="461A2C8F"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lastRenderedPageBreak/>
        <w:t>10.</w:t>
      </w:r>
      <w:r w:rsidRPr="00295ADA">
        <w:rPr>
          <w:rFonts w:eastAsiaTheme="minorHAnsi"/>
          <w:kern w:val="2"/>
          <w:lang w:eastAsia="en-US"/>
          <w14:ligatures w14:val="standardContextual"/>
        </w:rPr>
        <w:tab/>
        <w:t xml:space="preserve">Gruener, C. E. </w:t>
      </w:r>
      <w:r w:rsidRPr="00295ADA">
        <w:rPr>
          <w:rFonts w:eastAsiaTheme="minorHAnsi"/>
          <w:i/>
          <w:iCs/>
          <w:kern w:val="2"/>
          <w:lang w:eastAsia="en-US"/>
          <w14:ligatures w14:val="standardContextual"/>
        </w:rPr>
        <w:t>et al.</w:t>
      </w:r>
      <w:r w:rsidRPr="00295ADA">
        <w:rPr>
          <w:rFonts w:eastAsiaTheme="minorHAnsi"/>
          <w:kern w:val="2"/>
          <w:lang w:eastAsia="en-US"/>
          <w14:ligatures w14:val="standardContextual"/>
        </w:rPr>
        <w:t xml:space="preserve"> Determination of critical Y-leaf potassium concentrations in pure-line and hybrid rice. </w:t>
      </w:r>
      <w:r w:rsidRPr="00295ADA">
        <w:rPr>
          <w:rFonts w:eastAsiaTheme="minorHAnsi"/>
          <w:i/>
          <w:iCs/>
          <w:kern w:val="2"/>
          <w:lang w:eastAsia="en-US"/>
          <w14:ligatures w14:val="standardContextual"/>
        </w:rPr>
        <w:t>Agrosystems, Geosciences &amp; Environment</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5</w:t>
      </w:r>
      <w:r w:rsidRPr="00295ADA">
        <w:rPr>
          <w:rFonts w:eastAsiaTheme="minorHAnsi"/>
          <w:kern w:val="2"/>
          <w:lang w:eastAsia="en-US"/>
          <w14:ligatures w14:val="standardContextual"/>
        </w:rPr>
        <w:t>, e20248 (2022).</w:t>
      </w:r>
    </w:p>
    <w:p w14:paraId="752C5505"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11.</w:t>
      </w:r>
      <w:r w:rsidRPr="00295ADA">
        <w:rPr>
          <w:rFonts w:eastAsiaTheme="minorHAnsi"/>
          <w:kern w:val="2"/>
          <w:lang w:eastAsia="en-US"/>
          <w14:ligatures w14:val="standardContextual"/>
        </w:rPr>
        <w:tab/>
        <w:t xml:space="preserve">Linquist, B. A., Campbell, J. C. &amp; Southard, R. J. Assessment of potassium soil balances and availability in high yielding rice systems. </w:t>
      </w:r>
      <w:r w:rsidRPr="00295ADA">
        <w:rPr>
          <w:rFonts w:eastAsiaTheme="minorHAnsi"/>
          <w:i/>
          <w:iCs/>
          <w:kern w:val="2"/>
          <w:lang w:eastAsia="en-US"/>
          <w14:ligatures w14:val="standardContextual"/>
        </w:rPr>
        <w:t>Nutr Cycl Agroecosyst</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122</w:t>
      </w:r>
      <w:r w:rsidRPr="00295ADA">
        <w:rPr>
          <w:rFonts w:eastAsiaTheme="minorHAnsi"/>
          <w:kern w:val="2"/>
          <w:lang w:eastAsia="en-US"/>
          <w14:ligatures w14:val="standardContextual"/>
        </w:rPr>
        <w:t>, 255–271 (2022).</w:t>
      </w:r>
    </w:p>
    <w:p w14:paraId="40C6904F"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12.</w:t>
      </w:r>
      <w:r w:rsidRPr="00295ADA">
        <w:rPr>
          <w:rFonts w:eastAsiaTheme="minorHAnsi"/>
          <w:kern w:val="2"/>
          <w:lang w:eastAsia="en-US"/>
          <w14:ligatures w14:val="standardContextual"/>
        </w:rPr>
        <w:tab/>
        <w:t xml:space="preserve">de Mello Prado, R. Visual and Leaf Diagnosis. in </w:t>
      </w:r>
      <w:r w:rsidRPr="00295ADA">
        <w:rPr>
          <w:rFonts w:eastAsiaTheme="minorHAnsi"/>
          <w:i/>
          <w:iCs/>
          <w:kern w:val="2"/>
          <w:lang w:eastAsia="en-US"/>
          <w14:ligatures w14:val="standardContextual"/>
        </w:rPr>
        <w:t>Mineral nutrition of tropical plants</w:t>
      </w:r>
      <w:r w:rsidRPr="00295ADA">
        <w:rPr>
          <w:rFonts w:eastAsiaTheme="minorHAnsi"/>
          <w:kern w:val="2"/>
          <w:lang w:eastAsia="en-US"/>
          <w14:ligatures w14:val="standardContextual"/>
        </w:rPr>
        <w:t xml:space="preserve"> (ed. de Mello Prado, R.) 279–312 (Springer International Publishing, 2021). doi:10.1007/978-3-030-71262-4_19.</w:t>
      </w:r>
    </w:p>
    <w:p w14:paraId="1C9B0B55"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13.</w:t>
      </w:r>
      <w:r w:rsidRPr="00295ADA">
        <w:rPr>
          <w:rFonts w:eastAsiaTheme="minorHAnsi"/>
          <w:kern w:val="2"/>
          <w:lang w:eastAsia="en-US"/>
          <w14:ligatures w14:val="standardContextual"/>
        </w:rPr>
        <w:tab/>
        <w:t xml:space="preserve">Westfall, D. G., Whitney, D. A. &amp; Brandon, D. M. Plant Analysis as an Aid in Fertilizing Small Grains. in </w:t>
      </w:r>
      <w:r w:rsidRPr="00295ADA">
        <w:rPr>
          <w:rFonts w:eastAsiaTheme="minorHAnsi"/>
          <w:i/>
          <w:iCs/>
          <w:kern w:val="2"/>
          <w:lang w:eastAsia="en-US"/>
          <w14:ligatures w14:val="standardContextual"/>
        </w:rPr>
        <w:t>Soil Testing and Plant Analysis</w:t>
      </w:r>
      <w:r w:rsidRPr="00295ADA">
        <w:rPr>
          <w:rFonts w:eastAsiaTheme="minorHAnsi"/>
          <w:kern w:val="2"/>
          <w:lang w:eastAsia="en-US"/>
          <w14:ligatures w14:val="standardContextual"/>
        </w:rPr>
        <w:t xml:space="preserve"> 495–519 (John Wiley &amp; Sons, Ltd, 1990). doi:10.2136/sssabookser3.3ed.c19.</w:t>
      </w:r>
    </w:p>
    <w:p w14:paraId="030E6D30"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14.</w:t>
      </w:r>
      <w:r w:rsidRPr="00295ADA">
        <w:rPr>
          <w:rFonts w:eastAsiaTheme="minorHAnsi"/>
          <w:kern w:val="2"/>
          <w:lang w:eastAsia="en-US"/>
          <w14:ligatures w14:val="standardContextual"/>
        </w:rPr>
        <w:tab/>
        <w:t xml:space="preserve">Adeoye, G. O. &amp; Agboola, A. A. Critical levels for soil pH, available P, K, Zn and Mn and maize ear-leaf content of P, Cu and Mn in sedimentary soils of South-Western Nigeria. </w:t>
      </w:r>
      <w:r w:rsidRPr="00295ADA">
        <w:rPr>
          <w:rFonts w:eastAsiaTheme="minorHAnsi"/>
          <w:i/>
          <w:iCs/>
          <w:kern w:val="2"/>
          <w:lang w:eastAsia="en-US"/>
          <w14:ligatures w14:val="standardContextual"/>
        </w:rPr>
        <w:t>Fertilizer Research</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6</w:t>
      </w:r>
      <w:r w:rsidRPr="00295ADA">
        <w:rPr>
          <w:rFonts w:eastAsiaTheme="minorHAnsi"/>
          <w:kern w:val="2"/>
          <w:lang w:eastAsia="en-US"/>
          <w14:ligatures w14:val="standardContextual"/>
        </w:rPr>
        <w:t>, 65–71 (1985).</w:t>
      </w:r>
    </w:p>
    <w:p w14:paraId="5B7F6B7B"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15.</w:t>
      </w:r>
      <w:r w:rsidRPr="00295ADA">
        <w:rPr>
          <w:rFonts w:eastAsiaTheme="minorHAnsi"/>
          <w:kern w:val="2"/>
          <w:lang w:eastAsia="en-US"/>
          <w14:ligatures w14:val="standardContextual"/>
        </w:rPr>
        <w:tab/>
        <w:t xml:space="preserve">Asghari, M. &amp; Hanson, R. G. Climate, Management, and N Effect on Corn Leaf N, Yield, and Grain N1.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76</w:t>
      </w:r>
      <w:r w:rsidRPr="00295ADA">
        <w:rPr>
          <w:rFonts w:eastAsiaTheme="minorHAnsi"/>
          <w:kern w:val="2"/>
          <w:lang w:eastAsia="en-US"/>
          <w14:ligatures w14:val="standardContextual"/>
        </w:rPr>
        <w:t>, 911–916 (1984).</w:t>
      </w:r>
    </w:p>
    <w:p w14:paraId="424B2B7F"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16.</w:t>
      </w:r>
      <w:r w:rsidRPr="00295ADA">
        <w:rPr>
          <w:rFonts w:eastAsiaTheme="minorHAnsi"/>
          <w:kern w:val="2"/>
          <w:lang w:eastAsia="en-US"/>
          <w14:ligatures w14:val="standardContextual"/>
        </w:rPr>
        <w:tab/>
        <w:t xml:space="preserve">Baird, B. L., Fitts, J. W. &amp; Mason, D. D. The Relationship of Nitrogen in Corn Leaves to Yield. </w:t>
      </w:r>
      <w:r w:rsidRPr="00295ADA">
        <w:rPr>
          <w:rFonts w:eastAsiaTheme="minorHAnsi"/>
          <w:i/>
          <w:iCs/>
          <w:kern w:val="2"/>
          <w:lang w:eastAsia="en-US"/>
          <w14:ligatures w14:val="standardContextual"/>
        </w:rPr>
        <w:t>Soil Science Society of America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26</w:t>
      </w:r>
      <w:r w:rsidRPr="00295ADA">
        <w:rPr>
          <w:rFonts w:eastAsiaTheme="minorHAnsi"/>
          <w:kern w:val="2"/>
          <w:lang w:eastAsia="en-US"/>
          <w14:ligatures w14:val="standardContextual"/>
        </w:rPr>
        <w:t>, 378–381 (1962).</w:t>
      </w:r>
    </w:p>
    <w:p w14:paraId="58D08180"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17.</w:t>
      </w:r>
      <w:r w:rsidRPr="00295ADA">
        <w:rPr>
          <w:rFonts w:eastAsiaTheme="minorHAnsi"/>
          <w:kern w:val="2"/>
          <w:lang w:eastAsia="en-US"/>
          <w14:ligatures w14:val="standardContextual"/>
        </w:rPr>
        <w:tab/>
        <w:t xml:space="preserve">Bennett, W. F. </w:t>
      </w:r>
      <w:r w:rsidRPr="00295ADA">
        <w:rPr>
          <w:rFonts w:eastAsiaTheme="minorHAnsi"/>
          <w:i/>
          <w:iCs/>
          <w:kern w:val="2"/>
          <w:lang w:eastAsia="en-US"/>
          <w14:ligatures w14:val="standardContextual"/>
        </w:rPr>
        <w:t>Nutrient Deficiencies &amp; Toxicities in Crop Plants</w:t>
      </w:r>
      <w:r w:rsidRPr="00295ADA">
        <w:rPr>
          <w:rFonts w:eastAsiaTheme="minorHAnsi"/>
          <w:kern w:val="2"/>
          <w:lang w:eastAsia="en-US"/>
          <w14:ligatures w14:val="standardContextual"/>
        </w:rPr>
        <w:t>. (Amer Phytopathological Society, 1993).</w:t>
      </w:r>
    </w:p>
    <w:p w14:paraId="5204E796"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18.</w:t>
      </w:r>
      <w:r w:rsidRPr="00295ADA">
        <w:rPr>
          <w:rFonts w:eastAsiaTheme="minorHAnsi"/>
          <w:kern w:val="2"/>
          <w:lang w:eastAsia="en-US"/>
          <w14:ligatures w14:val="standardContextual"/>
        </w:rPr>
        <w:tab/>
        <w:t xml:space="preserve">Campbell, C. R. &amp; Plank, C. O. Corn. in </w:t>
      </w:r>
      <w:r w:rsidRPr="00295ADA">
        <w:rPr>
          <w:rFonts w:eastAsiaTheme="minorHAnsi"/>
          <w:i/>
          <w:iCs/>
          <w:kern w:val="2"/>
          <w:lang w:eastAsia="en-US"/>
          <w14:ligatures w14:val="standardContextual"/>
        </w:rPr>
        <w:t>Reference sufficiency ranges for plant analysis in the southern region of the United States</w:t>
      </w:r>
      <w:r w:rsidRPr="00295ADA">
        <w:rPr>
          <w:rFonts w:eastAsiaTheme="minorHAnsi"/>
          <w:kern w:val="2"/>
          <w:lang w:eastAsia="en-US"/>
          <w14:ligatures w14:val="standardContextual"/>
        </w:rPr>
        <w:t>.</w:t>
      </w:r>
    </w:p>
    <w:p w14:paraId="21354866"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lastRenderedPageBreak/>
        <w:t>19.</w:t>
      </w:r>
      <w:r w:rsidRPr="00295ADA">
        <w:rPr>
          <w:rFonts w:eastAsiaTheme="minorHAnsi"/>
          <w:kern w:val="2"/>
          <w:lang w:eastAsia="en-US"/>
          <w14:ligatures w14:val="standardContextual"/>
        </w:rPr>
        <w:tab/>
        <w:t xml:space="preserve">Clover, M. W. &amp; Mallarino, A. P. Corn and Soybean Tissue Potassium Content Responses to Potassium Fertilization and Relationships with Grain Yield. </w:t>
      </w:r>
      <w:r w:rsidRPr="00295ADA">
        <w:rPr>
          <w:rFonts w:eastAsiaTheme="minorHAnsi"/>
          <w:i/>
          <w:iCs/>
          <w:kern w:val="2"/>
          <w:lang w:eastAsia="en-US"/>
          <w14:ligatures w14:val="standardContextual"/>
        </w:rPr>
        <w:t>Soil Science Society of America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77</w:t>
      </w:r>
      <w:r w:rsidRPr="00295ADA">
        <w:rPr>
          <w:rFonts w:eastAsiaTheme="minorHAnsi"/>
          <w:kern w:val="2"/>
          <w:lang w:eastAsia="en-US"/>
          <w14:ligatures w14:val="standardContextual"/>
        </w:rPr>
        <w:t>, 630–642 (2013).</w:t>
      </w:r>
    </w:p>
    <w:p w14:paraId="142741E8"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20.</w:t>
      </w:r>
      <w:r w:rsidRPr="00295ADA">
        <w:rPr>
          <w:rFonts w:eastAsiaTheme="minorHAnsi"/>
          <w:kern w:val="2"/>
          <w:lang w:eastAsia="en-US"/>
          <w14:ligatures w14:val="standardContextual"/>
        </w:rPr>
        <w:tab/>
        <w:t xml:space="preserve">Csathó, P. Correlations between two soil extractants and corn leaf potassium contents from Hungarian field trials. </w:t>
      </w:r>
      <w:r w:rsidRPr="00295ADA">
        <w:rPr>
          <w:rFonts w:eastAsiaTheme="minorHAnsi"/>
          <w:i/>
          <w:iCs/>
          <w:kern w:val="2"/>
          <w:lang w:eastAsia="en-US"/>
          <w14:ligatures w14:val="standardContextual"/>
        </w:rPr>
        <w:t>Communications in Soil Science and Plant Analysis</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29</w:t>
      </w:r>
      <w:r w:rsidRPr="00295ADA">
        <w:rPr>
          <w:rFonts w:eastAsiaTheme="minorHAnsi"/>
          <w:kern w:val="2"/>
          <w:lang w:eastAsia="en-US"/>
          <w14:ligatures w14:val="standardContextual"/>
        </w:rPr>
        <w:t>, 2149–2160 (1998).</w:t>
      </w:r>
    </w:p>
    <w:p w14:paraId="41181462"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21.</w:t>
      </w:r>
      <w:r w:rsidRPr="00295ADA">
        <w:rPr>
          <w:rFonts w:eastAsiaTheme="minorHAnsi"/>
          <w:kern w:val="2"/>
          <w:lang w:eastAsia="en-US"/>
          <w14:ligatures w14:val="standardContextual"/>
        </w:rPr>
        <w:tab/>
        <w:t xml:space="preserve">Dara, S. T., Fixen, P. E. &amp; Gelderman, R. H. Sufficiency Level and Diagnosis and Recommendation Integrated System Approaches for Evaluating the Nitrogen Status of Corn.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84</w:t>
      </w:r>
      <w:r w:rsidRPr="00295ADA">
        <w:rPr>
          <w:rFonts w:eastAsiaTheme="minorHAnsi"/>
          <w:kern w:val="2"/>
          <w:lang w:eastAsia="en-US"/>
          <w14:ligatures w14:val="standardContextual"/>
        </w:rPr>
        <w:t>, 1006–1010 (1992).</w:t>
      </w:r>
    </w:p>
    <w:p w14:paraId="53D2C8CB"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22.</w:t>
      </w:r>
      <w:r w:rsidRPr="00295ADA">
        <w:rPr>
          <w:rFonts w:eastAsiaTheme="minorHAnsi"/>
          <w:kern w:val="2"/>
          <w:lang w:eastAsia="en-US"/>
          <w14:ligatures w14:val="standardContextual"/>
        </w:rPr>
        <w:tab/>
        <w:t xml:space="preserve">Dickson, T., Aitken, R. &amp; Dwyer, J. Prediction of nitrogen fertiliser requirements of maize in subtropical Queensland. </w:t>
      </w:r>
      <w:r w:rsidRPr="00295ADA">
        <w:rPr>
          <w:rFonts w:eastAsiaTheme="minorHAnsi"/>
          <w:i/>
          <w:iCs/>
          <w:kern w:val="2"/>
          <w:lang w:eastAsia="en-US"/>
          <w14:ligatures w14:val="standardContextual"/>
        </w:rPr>
        <w:t>Aust. J. Exp. Agric.</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33</w:t>
      </w:r>
      <w:r w:rsidRPr="00295ADA">
        <w:rPr>
          <w:rFonts w:eastAsiaTheme="minorHAnsi"/>
          <w:kern w:val="2"/>
          <w:lang w:eastAsia="en-US"/>
          <w14:ligatures w14:val="standardContextual"/>
        </w:rPr>
        <w:t>, 53 (1993).</w:t>
      </w:r>
    </w:p>
    <w:p w14:paraId="586E01BD"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23.</w:t>
      </w:r>
      <w:r w:rsidRPr="00295ADA">
        <w:rPr>
          <w:rFonts w:eastAsiaTheme="minorHAnsi"/>
          <w:kern w:val="2"/>
          <w:lang w:eastAsia="en-US"/>
          <w14:ligatures w14:val="standardContextual"/>
        </w:rPr>
        <w:tab/>
        <w:t xml:space="preserve">Dumenil, L. Nitrogen and Phosphorus Composition of Corn Leaves and Corn Yields in Relation to Critical Levels and Nutrient Balance. </w:t>
      </w:r>
      <w:r w:rsidRPr="00295ADA">
        <w:rPr>
          <w:rFonts w:eastAsiaTheme="minorHAnsi"/>
          <w:i/>
          <w:iCs/>
          <w:kern w:val="2"/>
          <w:lang w:eastAsia="en-US"/>
          <w14:ligatures w14:val="standardContextual"/>
        </w:rPr>
        <w:t>Soil Science Society of America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25</w:t>
      </w:r>
      <w:r w:rsidRPr="00295ADA">
        <w:rPr>
          <w:rFonts w:eastAsiaTheme="minorHAnsi"/>
          <w:kern w:val="2"/>
          <w:lang w:eastAsia="en-US"/>
          <w14:ligatures w14:val="standardContextual"/>
        </w:rPr>
        <w:t>, 295–298 (1961).</w:t>
      </w:r>
    </w:p>
    <w:p w14:paraId="0F45A261"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24.</w:t>
      </w:r>
      <w:r w:rsidRPr="00295ADA">
        <w:rPr>
          <w:rFonts w:eastAsiaTheme="minorHAnsi"/>
          <w:kern w:val="2"/>
          <w:lang w:eastAsia="en-US"/>
          <w14:ligatures w14:val="standardContextual"/>
        </w:rPr>
        <w:tab/>
        <w:t xml:space="preserve">Greub, C. E., Roberts, T. L., Slaton, N. A., Kelley, J. P. &amp; Gbur, E. E. Evaluating Tissue Tests to Improve Nitrogen Management in Furrow-Irrigated Mid-South Corn Production.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110</w:t>
      </w:r>
      <w:r w:rsidRPr="00295ADA">
        <w:rPr>
          <w:rFonts w:eastAsiaTheme="minorHAnsi"/>
          <w:kern w:val="2"/>
          <w:lang w:eastAsia="en-US"/>
          <w14:ligatures w14:val="standardContextual"/>
        </w:rPr>
        <w:t>, 1580–1588 (2018).</w:t>
      </w:r>
    </w:p>
    <w:p w14:paraId="7D731A3B"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25.</w:t>
      </w:r>
      <w:r w:rsidRPr="00295ADA">
        <w:rPr>
          <w:rFonts w:eastAsiaTheme="minorHAnsi"/>
          <w:kern w:val="2"/>
          <w:lang w:eastAsia="en-US"/>
          <w14:ligatures w14:val="standardContextual"/>
        </w:rPr>
        <w:tab/>
        <w:t xml:space="preserve">Hanway, J. J. Corn Growth and Composition in Relation to Soil Fertility: II. Uptake of N, P, and K and Their Distribution in Different Plant Parts during the Growing Season1.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54</w:t>
      </w:r>
      <w:r w:rsidRPr="00295ADA">
        <w:rPr>
          <w:rFonts w:eastAsiaTheme="minorHAnsi"/>
          <w:kern w:val="2"/>
          <w:lang w:eastAsia="en-US"/>
          <w14:ligatures w14:val="standardContextual"/>
        </w:rPr>
        <w:t>, 217–222 (1962).</w:t>
      </w:r>
    </w:p>
    <w:p w14:paraId="43C25613"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26.</w:t>
      </w:r>
      <w:r w:rsidRPr="00295ADA">
        <w:rPr>
          <w:rFonts w:eastAsiaTheme="minorHAnsi"/>
          <w:kern w:val="2"/>
          <w:lang w:eastAsia="en-US"/>
          <w14:ligatures w14:val="standardContextual"/>
        </w:rPr>
        <w:tab/>
        <w:t xml:space="preserve">Li, N. </w:t>
      </w:r>
      <w:r w:rsidRPr="00295ADA">
        <w:rPr>
          <w:rFonts w:eastAsiaTheme="minorHAnsi"/>
          <w:i/>
          <w:iCs/>
          <w:kern w:val="2"/>
          <w:lang w:eastAsia="en-US"/>
          <w14:ligatures w14:val="standardContextual"/>
        </w:rPr>
        <w:t>et al.</w:t>
      </w:r>
      <w:r w:rsidRPr="00295ADA">
        <w:rPr>
          <w:rFonts w:eastAsiaTheme="minorHAnsi"/>
          <w:kern w:val="2"/>
          <w:lang w:eastAsia="en-US"/>
          <w14:ligatures w14:val="standardContextual"/>
        </w:rPr>
        <w:t xml:space="preserve"> Combined effects of nitrogen and sulfur fertilization on maize growth, physiological traits, N and S uptake, and their diagnosis. </w:t>
      </w:r>
      <w:r w:rsidRPr="00295ADA">
        <w:rPr>
          <w:rFonts w:eastAsiaTheme="minorHAnsi"/>
          <w:i/>
          <w:iCs/>
          <w:kern w:val="2"/>
          <w:lang w:eastAsia="en-US"/>
          <w14:ligatures w14:val="standardContextual"/>
        </w:rPr>
        <w:t>Field Crops Research</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242</w:t>
      </w:r>
      <w:r w:rsidRPr="00295ADA">
        <w:rPr>
          <w:rFonts w:eastAsiaTheme="minorHAnsi"/>
          <w:kern w:val="2"/>
          <w:lang w:eastAsia="en-US"/>
          <w14:ligatures w14:val="standardContextual"/>
        </w:rPr>
        <w:t>, 107593 (2019).</w:t>
      </w:r>
    </w:p>
    <w:p w14:paraId="116CEE7F"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lastRenderedPageBreak/>
        <w:t>27.</w:t>
      </w:r>
      <w:r w:rsidRPr="00295ADA">
        <w:rPr>
          <w:rFonts w:eastAsiaTheme="minorHAnsi"/>
          <w:kern w:val="2"/>
          <w:lang w:eastAsia="en-US"/>
          <w14:ligatures w14:val="standardContextual"/>
        </w:rPr>
        <w:tab/>
        <w:t xml:space="preserve">Mallarino, A. P. Evaluation of Excess Soil Phosphorus Supply for Corn by the Ear-Leaf Test.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87</w:t>
      </w:r>
      <w:r w:rsidRPr="00295ADA">
        <w:rPr>
          <w:rFonts w:eastAsiaTheme="minorHAnsi"/>
          <w:kern w:val="2"/>
          <w:lang w:eastAsia="en-US"/>
          <w14:ligatures w14:val="standardContextual"/>
        </w:rPr>
        <w:t>, 687–691 (1995).</w:t>
      </w:r>
    </w:p>
    <w:p w14:paraId="1B063E94"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28.</w:t>
      </w:r>
      <w:r w:rsidRPr="00295ADA">
        <w:rPr>
          <w:rFonts w:eastAsiaTheme="minorHAnsi"/>
          <w:kern w:val="2"/>
          <w:lang w:eastAsia="en-US"/>
          <w14:ligatures w14:val="standardContextual"/>
        </w:rPr>
        <w:tab/>
        <w:t xml:space="preserve">Mallarino, A. P. &amp; Higashi, S. L. Assessment of Potassium Supply for Corn by Analysis of Plant Parts. </w:t>
      </w:r>
      <w:r w:rsidRPr="00295ADA">
        <w:rPr>
          <w:rFonts w:eastAsiaTheme="minorHAnsi"/>
          <w:i/>
          <w:iCs/>
          <w:kern w:val="2"/>
          <w:lang w:eastAsia="en-US"/>
          <w14:ligatures w14:val="standardContextual"/>
        </w:rPr>
        <w:t>Soil Sci. Soc. Am. J.</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73</w:t>
      </w:r>
      <w:r w:rsidRPr="00295ADA">
        <w:rPr>
          <w:rFonts w:eastAsiaTheme="minorHAnsi"/>
          <w:kern w:val="2"/>
          <w:lang w:eastAsia="en-US"/>
          <w14:ligatures w14:val="standardContextual"/>
        </w:rPr>
        <w:t>, 2177–2183 (2009).</w:t>
      </w:r>
    </w:p>
    <w:p w14:paraId="599B6F55"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29.</w:t>
      </w:r>
      <w:r w:rsidRPr="00295ADA">
        <w:rPr>
          <w:rFonts w:eastAsiaTheme="minorHAnsi"/>
          <w:kern w:val="2"/>
          <w:lang w:eastAsia="en-US"/>
          <w14:ligatures w14:val="standardContextual"/>
        </w:rPr>
        <w:tab/>
        <w:t xml:space="preserve">Mills, H. A. &amp; Jones, J. B. </w:t>
      </w:r>
      <w:r w:rsidRPr="00295ADA">
        <w:rPr>
          <w:rFonts w:eastAsiaTheme="minorHAnsi"/>
          <w:i/>
          <w:iCs/>
          <w:kern w:val="2"/>
          <w:lang w:eastAsia="en-US"/>
          <w14:ligatures w14:val="standardContextual"/>
        </w:rPr>
        <w:t>Plant Analysis Handbook II. A Practical Sampling, Preparation, Analysis, and Interpretation Guide</w:t>
      </w:r>
      <w:r w:rsidRPr="00295ADA">
        <w:rPr>
          <w:rFonts w:eastAsiaTheme="minorHAnsi"/>
          <w:kern w:val="2"/>
          <w:lang w:eastAsia="en-US"/>
          <w14:ligatures w14:val="standardContextual"/>
        </w:rPr>
        <w:t>. (Micromacro Publ, 1996).</w:t>
      </w:r>
    </w:p>
    <w:p w14:paraId="3B0AF93B"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30.</w:t>
      </w:r>
      <w:r w:rsidRPr="00295ADA">
        <w:rPr>
          <w:rFonts w:eastAsiaTheme="minorHAnsi"/>
          <w:kern w:val="2"/>
          <w:lang w:eastAsia="en-US"/>
          <w14:ligatures w14:val="standardContextual"/>
        </w:rPr>
        <w:tab/>
        <w:t xml:space="preserve">Powell, R. D. &amp; Webb, J. R. Effect of High Rates of N, P, K Fertilizer on Corn (Zea mays L.)1.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64</w:t>
      </w:r>
      <w:r w:rsidRPr="00295ADA">
        <w:rPr>
          <w:rFonts w:eastAsiaTheme="minorHAnsi"/>
          <w:kern w:val="2"/>
          <w:lang w:eastAsia="en-US"/>
          <w14:ligatures w14:val="standardContextual"/>
        </w:rPr>
        <w:t>, 653–656 (1972).</w:t>
      </w:r>
    </w:p>
    <w:p w14:paraId="2F080EBF"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31.</w:t>
      </w:r>
      <w:r w:rsidRPr="00295ADA">
        <w:rPr>
          <w:rFonts w:eastAsiaTheme="minorHAnsi"/>
          <w:kern w:val="2"/>
          <w:lang w:eastAsia="en-US"/>
          <w14:ligatures w14:val="standardContextual"/>
        </w:rPr>
        <w:tab/>
        <w:t xml:space="preserve">Rehm, G. W. Impact of banded potassium for corn and soybean production in a ridge‐till planting system. </w:t>
      </w:r>
      <w:r w:rsidRPr="00295ADA">
        <w:rPr>
          <w:rFonts w:eastAsiaTheme="minorHAnsi"/>
          <w:i/>
          <w:iCs/>
          <w:kern w:val="2"/>
          <w:lang w:eastAsia="en-US"/>
          <w14:ligatures w14:val="standardContextual"/>
        </w:rPr>
        <w:t>Communications in Soil Science and Plant Analysis</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26</w:t>
      </w:r>
      <w:r w:rsidRPr="00295ADA">
        <w:rPr>
          <w:rFonts w:eastAsiaTheme="minorHAnsi"/>
          <w:kern w:val="2"/>
          <w:lang w:eastAsia="en-US"/>
          <w14:ligatures w14:val="standardContextual"/>
        </w:rPr>
        <w:t>, 2725–2738 (1995).</w:t>
      </w:r>
    </w:p>
    <w:p w14:paraId="632A85B5"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32.</w:t>
      </w:r>
      <w:r w:rsidRPr="00295ADA">
        <w:rPr>
          <w:rFonts w:eastAsiaTheme="minorHAnsi"/>
          <w:kern w:val="2"/>
          <w:lang w:eastAsia="en-US"/>
          <w14:ligatures w14:val="standardContextual"/>
        </w:rPr>
        <w:tab/>
        <w:t xml:space="preserve">Rehm, G. W., Sorensen, R. C. &amp; Wiese, R. A. Application of Phosphorus, Potassium, and Zinc to Corn Grown for Grain or Silage: Nutrient Concentration and Uptake. </w:t>
      </w:r>
      <w:r w:rsidRPr="00295ADA">
        <w:rPr>
          <w:rFonts w:eastAsiaTheme="minorHAnsi"/>
          <w:i/>
          <w:iCs/>
          <w:kern w:val="2"/>
          <w:lang w:eastAsia="en-US"/>
          <w14:ligatures w14:val="standardContextual"/>
        </w:rPr>
        <w:t>Soil Science Society of America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47</w:t>
      </w:r>
      <w:r w:rsidRPr="00295ADA">
        <w:rPr>
          <w:rFonts w:eastAsiaTheme="minorHAnsi"/>
          <w:kern w:val="2"/>
          <w:lang w:eastAsia="en-US"/>
          <w14:ligatures w14:val="standardContextual"/>
        </w:rPr>
        <w:t>, 697–700 (1983).</w:t>
      </w:r>
    </w:p>
    <w:p w14:paraId="7158662A"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33.</w:t>
      </w:r>
      <w:r w:rsidRPr="00295ADA">
        <w:rPr>
          <w:rFonts w:eastAsiaTheme="minorHAnsi"/>
          <w:kern w:val="2"/>
          <w:lang w:eastAsia="en-US"/>
          <w14:ligatures w14:val="standardContextual"/>
        </w:rPr>
        <w:tab/>
        <w:t xml:space="preserve">Smyth, T. J. &amp; Cravo, M. S. Critical Phosphorus Levels for Corn and Cowpea in a Brazilian Amazon Oxisol.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82</w:t>
      </w:r>
      <w:r w:rsidRPr="00295ADA">
        <w:rPr>
          <w:rFonts w:eastAsiaTheme="minorHAnsi"/>
          <w:kern w:val="2"/>
          <w:lang w:eastAsia="en-US"/>
          <w14:ligatures w14:val="standardContextual"/>
        </w:rPr>
        <w:t>, 309–312 (1990).</w:t>
      </w:r>
    </w:p>
    <w:p w14:paraId="67544B4C"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34.</w:t>
      </w:r>
      <w:r w:rsidRPr="00295ADA">
        <w:rPr>
          <w:rFonts w:eastAsiaTheme="minorHAnsi"/>
          <w:kern w:val="2"/>
          <w:lang w:eastAsia="en-US"/>
          <w14:ligatures w14:val="standardContextual"/>
        </w:rPr>
        <w:tab/>
        <w:t xml:space="preserve">Stammer, A. J. &amp; Mallarino, A. P. Plant Tissue Analysis to Assess Phosphorus and Potassium Nutritional Status of Corn and Soybean. </w:t>
      </w:r>
      <w:r w:rsidRPr="00295ADA">
        <w:rPr>
          <w:rFonts w:eastAsiaTheme="minorHAnsi"/>
          <w:i/>
          <w:iCs/>
          <w:kern w:val="2"/>
          <w:lang w:eastAsia="en-US"/>
          <w14:ligatures w14:val="standardContextual"/>
        </w:rPr>
        <w:t>Soil Science Society of America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82</w:t>
      </w:r>
      <w:r w:rsidRPr="00295ADA">
        <w:rPr>
          <w:rFonts w:eastAsiaTheme="minorHAnsi"/>
          <w:kern w:val="2"/>
          <w:lang w:eastAsia="en-US"/>
          <w14:ligatures w14:val="standardContextual"/>
        </w:rPr>
        <w:t>, 260–270 (2018).</w:t>
      </w:r>
    </w:p>
    <w:p w14:paraId="27D98E22"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35.</w:t>
      </w:r>
      <w:r w:rsidRPr="00295ADA">
        <w:rPr>
          <w:rFonts w:eastAsiaTheme="minorHAnsi"/>
          <w:kern w:val="2"/>
          <w:lang w:eastAsia="en-US"/>
          <w14:ligatures w14:val="standardContextual"/>
        </w:rPr>
        <w:tab/>
        <w:t xml:space="preserve">Vitosh, M. L., Johnson, J. W. &amp; Mengel, D. B. Tri-state fertilizer recommendations for corn, soybeans, wheat and alfalfa. </w:t>
      </w:r>
      <w:r w:rsidRPr="00295ADA">
        <w:rPr>
          <w:rFonts w:eastAsiaTheme="minorHAnsi"/>
          <w:i/>
          <w:iCs/>
          <w:kern w:val="2"/>
          <w:lang w:eastAsia="en-US"/>
          <w14:ligatures w14:val="standardContextual"/>
        </w:rPr>
        <w:t>Archive. lib. msu. edu</w:t>
      </w:r>
      <w:r w:rsidRPr="00295ADA">
        <w:rPr>
          <w:rFonts w:eastAsiaTheme="minorHAnsi"/>
          <w:kern w:val="2"/>
          <w:lang w:eastAsia="en-US"/>
          <w14:ligatures w14:val="standardContextual"/>
        </w:rPr>
        <w:t xml:space="preserve"> (1995).</w:t>
      </w:r>
    </w:p>
    <w:p w14:paraId="602E7AED" w14:textId="77777777" w:rsidR="000C369F" w:rsidRPr="00295ADA" w:rsidRDefault="000C369F" w:rsidP="000C369F">
      <w:pPr>
        <w:ind w:left="432" w:hanging="432"/>
        <w:rPr>
          <w:rFonts w:eastAsiaTheme="minorHAnsi"/>
          <w:kern w:val="2"/>
          <w:lang w:eastAsia="en-US"/>
          <w14:ligatures w14:val="standardContextual"/>
        </w:rPr>
      </w:pPr>
      <w:r w:rsidRPr="00295ADA">
        <w:rPr>
          <w:rFonts w:eastAsiaTheme="minorHAnsi"/>
          <w:kern w:val="2"/>
          <w:lang w:eastAsia="en-US"/>
          <w14:ligatures w14:val="standardContextual"/>
        </w:rPr>
        <w:t>36.</w:t>
      </w:r>
      <w:r w:rsidRPr="00295ADA">
        <w:rPr>
          <w:rFonts w:eastAsiaTheme="minorHAnsi"/>
          <w:kern w:val="2"/>
          <w:lang w:eastAsia="en-US"/>
          <w14:ligatures w14:val="standardContextual"/>
        </w:rPr>
        <w:tab/>
        <w:t xml:space="preserve">Voss, R. E., Hanway, J. J. &amp; Dumenil, L. C. Relationship Between Grain Yield and Leaf N, P, and K Concentrations for Corn (Zea mays L.) and the Factors that Influence this Relationship1. </w:t>
      </w:r>
      <w:r w:rsidRPr="00295ADA">
        <w:rPr>
          <w:rFonts w:eastAsiaTheme="minorHAnsi"/>
          <w:i/>
          <w:iCs/>
          <w:kern w:val="2"/>
          <w:lang w:eastAsia="en-US"/>
          <w14:ligatures w14:val="standardContextual"/>
        </w:rPr>
        <w:t>Agronomy Journal</w:t>
      </w:r>
      <w:r w:rsidRPr="00295ADA">
        <w:rPr>
          <w:rFonts w:eastAsiaTheme="minorHAnsi"/>
          <w:kern w:val="2"/>
          <w:lang w:eastAsia="en-US"/>
          <w14:ligatures w14:val="standardContextual"/>
        </w:rPr>
        <w:t xml:space="preserve"> </w:t>
      </w:r>
      <w:r w:rsidRPr="00295ADA">
        <w:rPr>
          <w:rFonts w:eastAsiaTheme="minorHAnsi"/>
          <w:b/>
          <w:bCs/>
          <w:kern w:val="2"/>
          <w:lang w:eastAsia="en-US"/>
          <w14:ligatures w14:val="standardContextual"/>
        </w:rPr>
        <w:t>62</w:t>
      </w:r>
      <w:r w:rsidRPr="00295ADA">
        <w:rPr>
          <w:rFonts w:eastAsiaTheme="minorHAnsi"/>
          <w:kern w:val="2"/>
          <w:lang w:eastAsia="en-US"/>
          <w14:ligatures w14:val="standardContextual"/>
        </w:rPr>
        <w:t>, 726–728 (1970).</w:t>
      </w:r>
    </w:p>
    <w:p w14:paraId="722EC85C" w14:textId="77777777" w:rsidR="000C369F" w:rsidRPr="00502E7E" w:rsidRDefault="000C369F" w:rsidP="000C369F">
      <w:pPr>
        <w:pStyle w:val="BodyText"/>
        <w:ind w:left="432" w:hanging="432"/>
        <w:rPr>
          <w:sz w:val="28"/>
          <w:szCs w:val="28"/>
        </w:rPr>
      </w:pPr>
      <w:r w:rsidRPr="00502E7E">
        <w:rPr>
          <w:rFonts w:eastAsiaTheme="minorHAnsi"/>
          <w:kern w:val="2"/>
          <w:lang w:eastAsia="en-US"/>
          <w14:ligatures w14:val="standardContextual"/>
        </w:rPr>
        <w:lastRenderedPageBreak/>
        <w:t>37.</w:t>
      </w:r>
      <w:r w:rsidRPr="00502E7E">
        <w:rPr>
          <w:rFonts w:eastAsiaTheme="minorHAnsi"/>
          <w:kern w:val="2"/>
          <w:lang w:eastAsia="en-US"/>
          <w14:ligatures w14:val="standardContextual"/>
        </w:rPr>
        <w:tab/>
        <w:t xml:space="preserve">Zhang, J. </w:t>
      </w:r>
      <w:r w:rsidRPr="00502E7E">
        <w:rPr>
          <w:rFonts w:eastAsiaTheme="minorHAnsi"/>
          <w:i/>
          <w:iCs/>
          <w:kern w:val="2"/>
          <w:lang w:eastAsia="en-US"/>
          <w14:ligatures w14:val="standardContextual"/>
        </w:rPr>
        <w:t>et al.</w:t>
      </w:r>
      <w:r w:rsidRPr="00502E7E">
        <w:rPr>
          <w:rFonts w:eastAsiaTheme="minorHAnsi"/>
          <w:kern w:val="2"/>
          <w:lang w:eastAsia="en-US"/>
          <w14:ligatures w14:val="standardContextual"/>
        </w:rPr>
        <w:t xml:space="preserve"> Potassium Deficiency in Rice Aggravates Sarocladium oryzae Infection and Ultimately Leads to Alterations in Endophyte Communities and Suppression of Nutrient Uptake. </w:t>
      </w:r>
      <w:r w:rsidRPr="00502E7E">
        <w:rPr>
          <w:rFonts w:eastAsiaTheme="minorHAnsi"/>
          <w:i/>
          <w:iCs/>
          <w:kern w:val="2"/>
          <w:lang w:eastAsia="en-US"/>
          <w14:ligatures w14:val="standardContextual"/>
        </w:rPr>
        <w:t>Frontiers in Plant Science</w:t>
      </w:r>
      <w:r w:rsidRPr="00502E7E">
        <w:rPr>
          <w:rFonts w:eastAsiaTheme="minorHAnsi"/>
          <w:kern w:val="2"/>
          <w:lang w:eastAsia="en-US"/>
          <w14:ligatures w14:val="standardContextual"/>
        </w:rPr>
        <w:t xml:space="preserve"> </w:t>
      </w:r>
      <w:r w:rsidRPr="00502E7E">
        <w:rPr>
          <w:rFonts w:eastAsiaTheme="minorHAnsi"/>
          <w:b/>
          <w:bCs/>
          <w:kern w:val="2"/>
          <w:lang w:eastAsia="en-US"/>
          <w14:ligatures w14:val="standardContextual"/>
        </w:rPr>
        <w:t>13</w:t>
      </w:r>
      <w:r w:rsidRPr="00502E7E">
        <w:rPr>
          <w:rFonts w:eastAsiaTheme="minorHAnsi"/>
          <w:kern w:val="2"/>
          <w:lang w:eastAsia="en-US"/>
          <w14:ligatures w14:val="standardContextual"/>
        </w:rPr>
        <w:t>, (2022).</w:t>
      </w:r>
    </w:p>
    <w:p w14:paraId="3A7EA77C" w14:textId="77777777" w:rsidR="00755780" w:rsidRDefault="00755780"/>
    <w:sectPr w:rsidR="00755780" w:rsidSect="00F070DA">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4245116"/>
      <w:docPartObj>
        <w:docPartGallery w:val="Page Numbers (Bottom of Page)"/>
        <w:docPartUnique/>
      </w:docPartObj>
    </w:sdtPr>
    <w:sdtEndPr>
      <w:rPr>
        <w:noProof/>
      </w:rPr>
    </w:sdtEndPr>
    <w:sdtContent>
      <w:p w14:paraId="1FBF1D2D" w14:textId="77777777" w:rsidR="00AC5EF0" w:rsidRDefault="000C369F">
        <w:pPr>
          <w:pStyle w:val="Footer"/>
          <w:jc w:val="right"/>
        </w:pPr>
        <w:r>
          <w:fldChar w:fldCharType="begin"/>
        </w:r>
        <w:r>
          <w:instrText xml:space="preserve"> PAGE   \* MERGEFORMAT </w:instrText>
        </w:r>
        <w:r>
          <w:fldChar w:fldCharType="separate"/>
        </w:r>
        <w:r>
          <w:rPr>
            <w:noProof/>
          </w:rPr>
          <w:t>27</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6560126"/>
      <w:docPartObj>
        <w:docPartGallery w:val="Page Numbers (Bottom of Page)"/>
        <w:docPartUnique/>
      </w:docPartObj>
    </w:sdtPr>
    <w:sdtEndPr>
      <w:rPr>
        <w:noProof/>
      </w:rPr>
    </w:sdtEndPr>
    <w:sdtContent>
      <w:p w14:paraId="7ED936F8" w14:textId="77777777" w:rsidR="00143EED" w:rsidRDefault="000C369F">
        <w:pPr>
          <w:pStyle w:val="Footer"/>
          <w:jc w:val="right"/>
        </w:pPr>
        <w:r>
          <w:fldChar w:fldCharType="begin"/>
        </w:r>
        <w:r>
          <w:instrText xml:space="preserve"> PAGE   \* MERGEFORMAT </w:instrText>
        </w:r>
        <w:r>
          <w:fldChar w:fldCharType="separate"/>
        </w:r>
        <w:r>
          <w:rPr>
            <w:noProof/>
          </w:rPr>
          <w:t>11</w:t>
        </w:r>
        <w:r>
          <w:rPr>
            <w:noProof/>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D84EA06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FB744C9A"/>
    <w:lvl w:ilvl="0">
      <w:start w:val="1"/>
      <w:numFmt w:val="decimal"/>
      <w:lvlText w:val="%1. "/>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01890842"/>
    <w:multiLevelType w:val="hybridMultilevel"/>
    <w:tmpl w:val="F86AC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027D68"/>
    <w:multiLevelType w:val="multilevel"/>
    <w:tmpl w:val="41C0AF78"/>
    <w:lvl w:ilvl="0">
      <w:start w:val="1"/>
      <w:numFmt w:val="decimal"/>
      <w:suff w:val="space"/>
      <w:lvlText w:val="%1."/>
      <w:lvlJc w:val="left"/>
      <w:pPr>
        <w:ind w:left="360" w:hanging="360"/>
      </w:pPr>
      <w:rPr>
        <w:rFonts w:hint="default"/>
      </w:rPr>
    </w:lvl>
    <w:lvl w:ilvl="1">
      <w:start w:val="1"/>
      <w:numFmt w:val="decimal"/>
      <w:suff w:val="space"/>
      <w:lvlText w:val="%1.%2."/>
      <w:lvlJc w:val="left"/>
      <w:pPr>
        <w:ind w:left="0" w:firstLine="0"/>
      </w:p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15:restartNumberingAfterBreak="0">
    <w:nsid w:val="05E976BA"/>
    <w:multiLevelType w:val="multilevel"/>
    <w:tmpl w:val="5454A0AC"/>
    <w:lvl w:ilvl="0">
      <w:start w:val="1"/>
      <w:numFmt w:val="decimal"/>
      <w:suff w:val="space"/>
      <w:lvlText w:val="Chapter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08961C1D"/>
    <w:multiLevelType w:val="hybridMultilevel"/>
    <w:tmpl w:val="74FA3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FC5272"/>
    <w:multiLevelType w:val="multilevel"/>
    <w:tmpl w:val="4A68F03A"/>
    <w:lvl w:ilvl="0">
      <w:start w:val="5"/>
      <w:numFmt w:val="decimal"/>
      <w:suff w:val="space"/>
      <w:lvlText w:val="Chapter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 w15:restartNumberingAfterBreak="0">
    <w:nsid w:val="10A0004E"/>
    <w:multiLevelType w:val="hybridMultilevel"/>
    <w:tmpl w:val="BF20B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75D21"/>
    <w:multiLevelType w:val="hybridMultilevel"/>
    <w:tmpl w:val="EE62C0D0"/>
    <w:lvl w:ilvl="0" w:tplc="02E66C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F1567D"/>
    <w:multiLevelType w:val="hybridMultilevel"/>
    <w:tmpl w:val="640A4AFC"/>
    <w:lvl w:ilvl="0" w:tplc="18223594">
      <w:start w:val="1"/>
      <w:numFmt w:val="upperRoman"/>
      <w:lvlText w:val="%1."/>
      <w:lvlJc w:val="right"/>
      <w:pPr>
        <w:tabs>
          <w:tab w:val="num" w:pos="720"/>
        </w:tabs>
        <w:ind w:left="720" w:hanging="360"/>
      </w:pPr>
    </w:lvl>
    <w:lvl w:ilvl="1" w:tplc="E9AC139A">
      <w:start w:val="1"/>
      <w:numFmt w:val="upperRoman"/>
      <w:lvlText w:val="%2."/>
      <w:lvlJc w:val="right"/>
      <w:pPr>
        <w:tabs>
          <w:tab w:val="num" w:pos="1440"/>
        </w:tabs>
        <w:ind w:left="1440" w:hanging="360"/>
      </w:pPr>
    </w:lvl>
    <w:lvl w:ilvl="2" w:tplc="7A7A2970">
      <w:start w:val="1"/>
      <w:numFmt w:val="lowerRoman"/>
      <w:lvlText w:val="%3."/>
      <w:lvlJc w:val="right"/>
      <w:pPr>
        <w:tabs>
          <w:tab w:val="num" w:pos="2160"/>
        </w:tabs>
        <w:ind w:left="2160" w:hanging="360"/>
      </w:pPr>
    </w:lvl>
    <w:lvl w:ilvl="3" w:tplc="08A4F81C" w:tentative="1">
      <w:start w:val="1"/>
      <w:numFmt w:val="upperRoman"/>
      <w:lvlText w:val="%4."/>
      <w:lvlJc w:val="right"/>
      <w:pPr>
        <w:tabs>
          <w:tab w:val="num" w:pos="2880"/>
        </w:tabs>
        <w:ind w:left="2880" w:hanging="360"/>
      </w:pPr>
    </w:lvl>
    <w:lvl w:ilvl="4" w:tplc="072ED43E" w:tentative="1">
      <w:start w:val="1"/>
      <w:numFmt w:val="upperRoman"/>
      <w:lvlText w:val="%5."/>
      <w:lvlJc w:val="right"/>
      <w:pPr>
        <w:tabs>
          <w:tab w:val="num" w:pos="3600"/>
        </w:tabs>
        <w:ind w:left="3600" w:hanging="360"/>
      </w:pPr>
    </w:lvl>
    <w:lvl w:ilvl="5" w:tplc="D7964AAA" w:tentative="1">
      <w:start w:val="1"/>
      <w:numFmt w:val="upperRoman"/>
      <w:lvlText w:val="%6."/>
      <w:lvlJc w:val="right"/>
      <w:pPr>
        <w:tabs>
          <w:tab w:val="num" w:pos="4320"/>
        </w:tabs>
        <w:ind w:left="4320" w:hanging="360"/>
      </w:pPr>
    </w:lvl>
    <w:lvl w:ilvl="6" w:tplc="BAE6BC66" w:tentative="1">
      <w:start w:val="1"/>
      <w:numFmt w:val="upperRoman"/>
      <w:lvlText w:val="%7."/>
      <w:lvlJc w:val="right"/>
      <w:pPr>
        <w:tabs>
          <w:tab w:val="num" w:pos="5040"/>
        </w:tabs>
        <w:ind w:left="5040" w:hanging="360"/>
      </w:pPr>
    </w:lvl>
    <w:lvl w:ilvl="7" w:tplc="10748BAA" w:tentative="1">
      <w:start w:val="1"/>
      <w:numFmt w:val="upperRoman"/>
      <w:lvlText w:val="%8."/>
      <w:lvlJc w:val="right"/>
      <w:pPr>
        <w:tabs>
          <w:tab w:val="num" w:pos="5760"/>
        </w:tabs>
        <w:ind w:left="5760" w:hanging="360"/>
      </w:pPr>
    </w:lvl>
    <w:lvl w:ilvl="8" w:tplc="6770A756" w:tentative="1">
      <w:start w:val="1"/>
      <w:numFmt w:val="upperRoman"/>
      <w:lvlText w:val="%9."/>
      <w:lvlJc w:val="right"/>
      <w:pPr>
        <w:tabs>
          <w:tab w:val="num" w:pos="6480"/>
        </w:tabs>
        <w:ind w:left="6480" w:hanging="360"/>
      </w:pPr>
    </w:lvl>
  </w:abstractNum>
  <w:abstractNum w:abstractNumId="10" w15:restartNumberingAfterBreak="0">
    <w:nsid w:val="21E45051"/>
    <w:multiLevelType w:val="multilevel"/>
    <w:tmpl w:val="2FA2C8B8"/>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1" w15:restartNumberingAfterBreak="0">
    <w:nsid w:val="2B33757E"/>
    <w:multiLevelType w:val="hybridMultilevel"/>
    <w:tmpl w:val="7A0214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A64C78"/>
    <w:multiLevelType w:val="multilevel"/>
    <w:tmpl w:val="23EC91F8"/>
    <w:lvl w:ilvl="0">
      <w:start w:val="1"/>
      <w:numFmt w:val="decimal"/>
      <w:suff w:val="space"/>
      <w:lvlText w:val="%1."/>
      <w:lvlJc w:val="left"/>
      <w:pPr>
        <w:ind w:left="360" w:hanging="360"/>
      </w:pPr>
      <w:rPr>
        <w:rFonts w:hint="default"/>
      </w:rPr>
    </w:lvl>
    <w:lvl w:ilvl="1">
      <w:start w:val="1"/>
      <w:numFmt w:val="decimal"/>
      <w:lvlText w:val="%1.%2."/>
      <w:lvlJc w:val="left"/>
      <w:pPr>
        <w:ind w:left="0" w:firstLine="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3B8110CB"/>
    <w:multiLevelType w:val="multilevel"/>
    <w:tmpl w:val="CE08C4A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EBF7331"/>
    <w:multiLevelType w:val="hybridMultilevel"/>
    <w:tmpl w:val="0066B60E"/>
    <w:lvl w:ilvl="0" w:tplc="E5CEA7C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5168B6"/>
    <w:multiLevelType w:val="multilevel"/>
    <w:tmpl w:val="CE08C4A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EB23C50"/>
    <w:multiLevelType w:val="hybridMultilevel"/>
    <w:tmpl w:val="879C0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1479F1"/>
    <w:multiLevelType w:val="multilevel"/>
    <w:tmpl w:val="A3963AA6"/>
    <w:lvl w:ilvl="0">
      <w:start w:val="1"/>
      <w:numFmt w:val="decimal"/>
      <w:suff w:val="space"/>
      <w:lvlText w:val="Chapter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15:restartNumberingAfterBreak="0">
    <w:nsid w:val="5A8A34EA"/>
    <w:multiLevelType w:val="hybridMultilevel"/>
    <w:tmpl w:val="4AD410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3D68FD"/>
    <w:multiLevelType w:val="hybridMultilevel"/>
    <w:tmpl w:val="9DB0CEB0"/>
    <w:lvl w:ilvl="0" w:tplc="FFFFFFFF">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35A3F58"/>
    <w:multiLevelType w:val="hybridMultilevel"/>
    <w:tmpl w:val="95A6942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0463CC"/>
    <w:multiLevelType w:val="hybridMultilevel"/>
    <w:tmpl w:val="BB842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DC703A"/>
    <w:multiLevelType w:val="multilevel"/>
    <w:tmpl w:val="04090029"/>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D2855A4"/>
    <w:multiLevelType w:val="hybridMultilevel"/>
    <w:tmpl w:val="B3487C3C"/>
    <w:lvl w:ilvl="0" w:tplc="798091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62672B"/>
    <w:multiLevelType w:val="hybridMultilevel"/>
    <w:tmpl w:val="56380B48"/>
    <w:lvl w:ilvl="0" w:tplc="9EE2C8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F414E31"/>
    <w:multiLevelType w:val="hybridMultilevel"/>
    <w:tmpl w:val="E41ED0D8"/>
    <w:lvl w:ilvl="0" w:tplc="1DBC2F8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C15C0C"/>
    <w:multiLevelType w:val="hybridMultilevel"/>
    <w:tmpl w:val="3CCA6CEC"/>
    <w:lvl w:ilvl="0" w:tplc="D92C1022">
      <w:start w:val="1"/>
      <w:numFmt w:val="lowerLetter"/>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27" w15:restartNumberingAfterBreak="0">
    <w:nsid w:val="76D762AB"/>
    <w:multiLevelType w:val="hybridMultilevel"/>
    <w:tmpl w:val="AD1A2F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6F2780"/>
    <w:multiLevelType w:val="multilevel"/>
    <w:tmpl w:val="25A8E358"/>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9" w15:restartNumberingAfterBreak="0">
    <w:nsid w:val="78622138"/>
    <w:multiLevelType w:val="hybridMultilevel"/>
    <w:tmpl w:val="B98EEADE"/>
    <w:lvl w:ilvl="0" w:tplc="425A0390">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3"/>
  </w:num>
  <w:num w:numId="4">
    <w:abstractNumId w:val="9"/>
  </w:num>
  <w:num w:numId="5">
    <w:abstractNumId w:val="8"/>
  </w:num>
  <w:num w:numId="6">
    <w:abstractNumId w:val="13"/>
  </w:num>
  <w:num w:numId="7">
    <w:abstractNumId w:val="2"/>
  </w:num>
  <w:num w:numId="8">
    <w:abstractNumId w:val="28"/>
  </w:num>
  <w:num w:numId="9">
    <w:abstractNumId w:val="15"/>
  </w:num>
  <w:num w:numId="10">
    <w:abstractNumId w:val="10"/>
  </w:num>
  <w:num w:numId="11">
    <w:abstractNumId w:val="4"/>
  </w:num>
  <w:num w:numId="12">
    <w:abstractNumId w:val="0"/>
  </w:num>
  <w:num w:numId="13">
    <w:abstractNumId w:val="21"/>
  </w:num>
  <w:num w:numId="14">
    <w:abstractNumId w:val="25"/>
  </w:num>
  <w:num w:numId="15">
    <w:abstractNumId w:val="14"/>
  </w:num>
  <w:num w:numId="16">
    <w:abstractNumId w:val="20"/>
  </w:num>
  <w:num w:numId="17">
    <w:abstractNumId w:val="26"/>
  </w:num>
  <w:num w:numId="18">
    <w:abstractNumId w:val="27"/>
  </w:num>
  <w:num w:numId="19">
    <w:abstractNumId w:val="11"/>
  </w:num>
  <w:num w:numId="20">
    <w:abstractNumId w:val="17"/>
  </w:num>
  <w:num w:numId="21">
    <w:abstractNumId w:val="18"/>
  </w:num>
  <w:num w:numId="22">
    <w:abstractNumId w:val="22"/>
  </w:num>
  <w:num w:numId="23">
    <w:abstractNumId w:val="7"/>
  </w:num>
  <w:num w:numId="24">
    <w:abstractNumId w:val="29"/>
  </w:num>
  <w:num w:numId="25">
    <w:abstractNumId w:val="19"/>
  </w:num>
  <w:num w:numId="26">
    <w:abstractNumId w:val="6"/>
  </w:num>
  <w:num w:numId="27">
    <w:abstractNumId w:val="24"/>
  </w:num>
  <w:num w:numId="28">
    <w:abstractNumId w:val="16"/>
  </w:num>
  <w:num w:numId="29">
    <w:abstractNumId w:val="3"/>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69F"/>
    <w:rsid w:val="000C369F"/>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3791B"/>
  <w15:chartTrackingRefBased/>
  <w15:docId w15:val="{7C6ADC5A-D713-43B3-B651-2B8ECFAF8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69F"/>
    <w:pPr>
      <w:spacing w:after="0" w:line="480" w:lineRule="auto"/>
    </w:pPr>
    <w:rPr>
      <w:rFonts w:ascii="Times New Roman" w:eastAsia="Calibri" w:hAnsi="Times New Roman" w:cs="Times New Roman"/>
      <w:sz w:val="24"/>
      <w:szCs w:val="24"/>
      <w:lang w:eastAsia="ar-SA"/>
    </w:rPr>
  </w:style>
  <w:style w:type="paragraph" w:styleId="Heading1">
    <w:name w:val="heading 1"/>
    <w:next w:val="BodyText"/>
    <w:link w:val="Heading1Char"/>
    <w:uiPriority w:val="9"/>
    <w:qFormat/>
    <w:rsid w:val="000C369F"/>
    <w:pPr>
      <w:outlineLvl w:val="0"/>
    </w:pPr>
    <w:rPr>
      <w:rFonts w:ascii="Times New Roman" w:eastAsia="Calibri" w:hAnsi="Times New Roman" w:cs="Arial"/>
      <w:b/>
      <w:iCs/>
      <w:sz w:val="24"/>
      <w:szCs w:val="28"/>
      <w:lang w:eastAsia="ar-SA"/>
    </w:rPr>
  </w:style>
  <w:style w:type="paragraph" w:styleId="Heading2">
    <w:name w:val="heading 2"/>
    <w:basedOn w:val="Normal"/>
    <w:next w:val="Normal"/>
    <w:link w:val="Heading2Char"/>
    <w:uiPriority w:val="9"/>
    <w:qFormat/>
    <w:rsid w:val="000C369F"/>
    <w:pPr>
      <w:keepNext/>
      <w:suppressAutoHyphens/>
      <w:outlineLvl w:val="1"/>
    </w:pPr>
    <w:rPr>
      <w:rFonts w:cs="Arial"/>
      <w:b/>
      <w:iCs/>
      <w:szCs w:val="28"/>
    </w:rPr>
  </w:style>
  <w:style w:type="paragraph" w:styleId="Heading3">
    <w:name w:val="heading 3"/>
    <w:basedOn w:val="Heading2"/>
    <w:next w:val="Normal"/>
    <w:link w:val="Heading3Char"/>
    <w:uiPriority w:val="9"/>
    <w:unhideWhenUsed/>
    <w:qFormat/>
    <w:rsid w:val="000C369F"/>
    <w:pPr>
      <w:numPr>
        <w:ilvl w:val="2"/>
      </w:numPr>
      <w:outlineLvl w:val="2"/>
    </w:pPr>
    <w:rPr>
      <w:i/>
      <w:iCs w:val="0"/>
    </w:rPr>
  </w:style>
  <w:style w:type="paragraph" w:styleId="Heading4">
    <w:name w:val="heading 4"/>
    <w:basedOn w:val="Normal"/>
    <w:next w:val="Normal"/>
    <w:link w:val="Heading4Char"/>
    <w:uiPriority w:val="9"/>
    <w:semiHidden/>
    <w:unhideWhenUsed/>
    <w:qFormat/>
    <w:rsid w:val="000C369F"/>
    <w:pPr>
      <w:keepNext/>
      <w:keepLines/>
      <w:numPr>
        <w:ilvl w:val="3"/>
        <w:numId w:val="1"/>
      </w:numPr>
      <w:spacing w:before="40"/>
      <w:outlineLvl w:val="3"/>
    </w:pPr>
    <w:rPr>
      <w:rFonts w:asciiTheme="majorHAnsi" w:eastAsiaTheme="majorEastAsia" w:hAnsiTheme="majorHAnsi" w:cstheme="majorBidi"/>
      <w:i/>
      <w:iCs/>
      <w:color w:val="2F5496" w:themeColor="accent1" w:themeShade="BF"/>
      <w:szCs w:val="22"/>
      <w:lang w:eastAsia="en-US"/>
    </w:rPr>
  </w:style>
  <w:style w:type="paragraph" w:styleId="Heading5">
    <w:name w:val="heading 5"/>
    <w:basedOn w:val="Normal"/>
    <w:next w:val="Normal"/>
    <w:link w:val="Heading5Char"/>
    <w:uiPriority w:val="9"/>
    <w:semiHidden/>
    <w:unhideWhenUsed/>
    <w:qFormat/>
    <w:rsid w:val="000C369F"/>
    <w:pPr>
      <w:keepNext/>
      <w:keepLines/>
      <w:numPr>
        <w:ilvl w:val="4"/>
        <w:numId w:val="1"/>
      </w:numPr>
      <w:spacing w:before="40"/>
      <w:outlineLvl w:val="4"/>
    </w:pPr>
    <w:rPr>
      <w:rFonts w:asciiTheme="majorHAnsi" w:eastAsiaTheme="majorEastAsia" w:hAnsiTheme="majorHAnsi" w:cstheme="majorBidi"/>
      <w:color w:val="2F5496" w:themeColor="accent1" w:themeShade="BF"/>
      <w:szCs w:val="22"/>
      <w:lang w:eastAsia="en-US"/>
    </w:rPr>
  </w:style>
  <w:style w:type="paragraph" w:styleId="Heading6">
    <w:name w:val="heading 6"/>
    <w:basedOn w:val="Normal"/>
    <w:next w:val="Normal"/>
    <w:link w:val="Heading6Char"/>
    <w:uiPriority w:val="9"/>
    <w:semiHidden/>
    <w:unhideWhenUsed/>
    <w:qFormat/>
    <w:rsid w:val="000C369F"/>
    <w:pPr>
      <w:keepNext/>
      <w:keepLines/>
      <w:numPr>
        <w:ilvl w:val="5"/>
        <w:numId w:val="1"/>
      </w:numPr>
      <w:spacing w:before="40"/>
      <w:outlineLvl w:val="5"/>
    </w:pPr>
    <w:rPr>
      <w:rFonts w:asciiTheme="majorHAnsi" w:eastAsiaTheme="majorEastAsia" w:hAnsiTheme="majorHAnsi" w:cstheme="majorBidi"/>
      <w:color w:val="1F3763" w:themeColor="accent1" w:themeShade="7F"/>
      <w:szCs w:val="22"/>
      <w:lang w:eastAsia="en-US"/>
    </w:rPr>
  </w:style>
  <w:style w:type="paragraph" w:styleId="Heading7">
    <w:name w:val="heading 7"/>
    <w:basedOn w:val="Normal"/>
    <w:next w:val="Normal"/>
    <w:link w:val="Heading7Char"/>
    <w:uiPriority w:val="9"/>
    <w:semiHidden/>
    <w:unhideWhenUsed/>
    <w:qFormat/>
    <w:rsid w:val="000C369F"/>
    <w:pPr>
      <w:keepNext/>
      <w:keepLines/>
      <w:numPr>
        <w:ilvl w:val="6"/>
        <w:numId w:val="1"/>
      </w:numPr>
      <w:spacing w:before="40"/>
      <w:outlineLvl w:val="6"/>
    </w:pPr>
    <w:rPr>
      <w:rFonts w:asciiTheme="majorHAnsi" w:eastAsiaTheme="majorEastAsia" w:hAnsiTheme="majorHAnsi" w:cstheme="majorBidi"/>
      <w:i/>
      <w:iCs/>
      <w:color w:val="1F3763" w:themeColor="accent1" w:themeShade="7F"/>
      <w:szCs w:val="22"/>
      <w:lang w:eastAsia="en-US"/>
    </w:rPr>
  </w:style>
  <w:style w:type="paragraph" w:styleId="Heading8">
    <w:name w:val="heading 8"/>
    <w:basedOn w:val="Normal"/>
    <w:next w:val="Normal"/>
    <w:link w:val="Heading8Char"/>
    <w:uiPriority w:val="9"/>
    <w:semiHidden/>
    <w:unhideWhenUsed/>
    <w:qFormat/>
    <w:rsid w:val="000C369F"/>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0C369F"/>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69F"/>
    <w:rPr>
      <w:rFonts w:ascii="Times New Roman" w:eastAsia="Calibri" w:hAnsi="Times New Roman" w:cs="Arial"/>
      <w:b/>
      <w:iCs/>
      <w:sz w:val="24"/>
      <w:szCs w:val="28"/>
      <w:lang w:eastAsia="ar-SA"/>
    </w:rPr>
  </w:style>
  <w:style w:type="character" w:customStyle="1" w:styleId="Heading2Char">
    <w:name w:val="Heading 2 Char"/>
    <w:basedOn w:val="DefaultParagraphFont"/>
    <w:link w:val="Heading2"/>
    <w:uiPriority w:val="9"/>
    <w:rsid w:val="000C369F"/>
    <w:rPr>
      <w:rFonts w:ascii="Times New Roman" w:eastAsia="Calibri" w:hAnsi="Times New Roman" w:cs="Arial"/>
      <w:b/>
      <w:iCs/>
      <w:sz w:val="24"/>
      <w:szCs w:val="28"/>
      <w:lang w:eastAsia="ar-SA"/>
    </w:rPr>
  </w:style>
  <w:style w:type="character" w:customStyle="1" w:styleId="Heading3Char">
    <w:name w:val="Heading 3 Char"/>
    <w:basedOn w:val="DefaultParagraphFont"/>
    <w:link w:val="Heading3"/>
    <w:uiPriority w:val="9"/>
    <w:rsid w:val="000C369F"/>
    <w:rPr>
      <w:rFonts w:ascii="Times New Roman" w:eastAsia="Calibri" w:hAnsi="Times New Roman" w:cs="Arial"/>
      <w:b/>
      <w:i/>
      <w:sz w:val="24"/>
      <w:szCs w:val="28"/>
      <w:lang w:eastAsia="ar-SA"/>
    </w:rPr>
  </w:style>
  <w:style w:type="character" w:customStyle="1" w:styleId="Heading4Char">
    <w:name w:val="Heading 4 Char"/>
    <w:basedOn w:val="DefaultParagraphFont"/>
    <w:link w:val="Heading4"/>
    <w:uiPriority w:val="9"/>
    <w:semiHidden/>
    <w:rsid w:val="000C369F"/>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0C369F"/>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semiHidden/>
    <w:rsid w:val="000C369F"/>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0C369F"/>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0C369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C369F"/>
    <w:rPr>
      <w:rFonts w:asciiTheme="majorHAnsi" w:eastAsiaTheme="majorEastAsia" w:hAnsiTheme="majorHAnsi" w:cstheme="majorBidi"/>
      <w:i/>
      <w:iCs/>
      <w:color w:val="272727" w:themeColor="text1" w:themeTint="D8"/>
      <w:sz w:val="21"/>
      <w:szCs w:val="21"/>
    </w:rPr>
  </w:style>
  <w:style w:type="paragraph" w:styleId="BodyText">
    <w:name w:val="Body Text"/>
    <w:basedOn w:val="Normal"/>
    <w:link w:val="BodyTextChar"/>
    <w:uiPriority w:val="99"/>
    <w:unhideWhenUsed/>
    <w:rsid w:val="000C369F"/>
  </w:style>
  <w:style w:type="character" w:customStyle="1" w:styleId="BodyTextChar">
    <w:name w:val="Body Text Char"/>
    <w:basedOn w:val="DefaultParagraphFont"/>
    <w:link w:val="BodyText"/>
    <w:uiPriority w:val="99"/>
    <w:rsid w:val="000C369F"/>
    <w:rPr>
      <w:rFonts w:ascii="Times New Roman" w:eastAsia="Calibri" w:hAnsi="Times New Roman" w:cs="Times New Roman"/>
      <w:sz w:val="24"/>
      <w:szCs w:val="24"/>
      <w:lang w:eastAsia="ar-SA"/>
    </w:rPr>
  </w:style>
  <w:style w:type="paragraph" w:styleId="Footer">
    <w:name w:val="footer"/>
    <w:basedOn w:val="Normal"/>
    <w:link w:val="FooterChar"/>
    <w:uiPriority w:val="99"/>
    <w:unhideWhenUsed/>
    <w:rsid w:val="000C369F"/>
    <w:pPr>
      <w:tabs>
        <w:tab w:val="center" w:pos="4252"/>
        <w:tab w:val="right" w:pos="8504"/>
      </w:tabs>
    </w:pPr>
  </w:style>
  <w:style w:type="character" w:customStyle="1" w:styleId="FooterChar">
    <w:name w:val="Footer Char"/>
    <w:basedOn w:val="DefaultParagraphFont"/>
    <w:link w:val="Footer"/>
    <w:uiPriority w:val="99"/>
    <w:rsid w:val="000C369F"/>
    <w:rPr>
      <w:rFonts w:ascii="Times New Roman" w:eastAsia="Calibri" w:hAnsi="Times New Roman" w:cs="Times New Roman"/>
      <w:sz w:val="24"/>
      <w:szCs w:val="24"/>
      <w:lang w:eastAsia="ar-SA"/>
    </w:rPr>
  </w:style>
  <w:style w:type="paragraph" w:styleId="Caption">
    <w:name w:val="caption"/>
    <w:basedOn w:val="Normal"/>
    <w:next w:val="Normal"/>
    <w:link w:val="CaptionChar"/>
    <w:uiPriority w:val="35"/>
    <w:unhideWhenUsed/>
    <w:qFormat/>
    <w:rsid w:val="000C369F"/>
    <w:pPr>
      <w:spacing w:line="240" w:lineRule="auto"/>
    </w:pPr>
    <w:rPr>
      <w:i/>
      <w:iCs/>
    </w:rPr>
  </w:style>
  <w:style w:type="character" w:styleId="CommentReference">
    <w:name w:val="annotation reference"/>
    <w:basedOn w:val="DefaultParagraphFont"/>
    <w:uiPriority w:val="99"/>
    <w:unhideWhenUsed/>
    <w:rsid w:val="000C369F"/>
    <w:rPr>
      <w:sz w:val="16"/>
      <w:szCs w:val="16"/>
    </w:rPr>
  </w:style>
  <w:style w:type="paragraph" w:styleId="CommentText">
    <w:name w:val="annotation text"/>
    <w:basedOn w:val="Normal"/>
    <w:link w:val="CommentTextChar"/>
    <w:uiPriority w:val="99"/>
    <w:unhideWhenUsed/>
    <w:rsid w:val="000C369F"/>
    <w:pPr>
      <w:spacing w:line="240" w:lineRule="auto"/>
    </w:pPr>
    <w:rPr>
      <w:sz w:val="20"/>
      <w:szCs w:val="20"/>
    </w:rPr>
  </w:style>
  <w:style w:type="character" w:customStyle="1" w:styleId="CommentTextChar">
    <w:name w:val="Comment Text Char"/>
    <w:basedOn w:val="DefaultParagraphFont"/>
    <w:link w:val="CommentText"/>
    <w:uiPriority w:val="99"/>
    <w:rsid w:val="000C369F"/>
    <w:rPr>
      <w:rFonts w:ascii="Times New Roman" w:eastAsia="Calibri" w:hAnsi="Times New Roman" w:cs="Times New Roman"/>
      <w:sz w:val="20"/>
      <w:szCs w:val="20"/>
      <w:lang w:eastAsia="ar-SA"/>
    </w:rPr>
  </w:style>
  <w:style w:type="paragraph" w:styleId="CommentSubject">
    <w:name w:val="annotation subject"/>
    <w:basedOn w:val="CommentText"/>
    <w:next w:val="CommentText"/>
    <w:link w:val="CommentSubjectChar"/>
    <w:uiPriority w:val="99"/>
    <w:semiHidden/>
    <w:unhideWhenUsed/>
    <w:rsid w:val="000C369F"/>
    <w:rPr>
      <w:b/>
      <w:bCs/>
    </w:rPr>
  </w:style>
  <w:style w:type="character" w:customStyle="1" w:styleId="CommentSubjectChar">
    <w:name w:val="Comment Subject Char"/>
    <w:basedOn w:val="CommentTextChar"/>
    <w:link w:val="CommentSubject"/>
    <w:uiPriority w:val="99"/>
    <w:semiHidden/>
    <w:rsid w:val="000C369F"/>
    <w:rPr>
      <w:rFonts w:ascii="Times New Roman" w:eastAsia="Calibri" w:hAnsi="Times New Roman" w:cs="Times New Roman"/>
      <w:b/>
      <w:bCs/>
      <w:sz w:val="20"/>
      <w:szCs w:val="20"/>
      <w:lang w:eastAsia="ar-SA"/>
    </w:rPr>
  </w:style>
  <w:style w:type="character" w:styleId="LineNumber">
    <w:name w:val="line number"/>
    <w:basedOn w:val="DefaultParagraphFont"/>
    <w:uiPriority w:val="99"/>
    <w:semiHidden/>
    <w:unhideWhenUsed/>
    <w:rsid w:val="000C369F"/>
  </w:style>
  <w:style w:type="paragraph" w:styleId="ListParagraph">
    <w:name w:val="List Paragraph"/>
    <w:basedOn w:val="Normal"/>
    <w:uiPriority w:val="34"/>
    <w:qFormat/>
    <w:rsid w:val="000C369F"/>
    <w:pPr>
      <w:ind w:left="720"/>
      <w:contextualSpacing/>
    </w:pPr>
  </w:style>
  <w:style w:type="character" w:styleId="Hyperlink">
    <w:name w:val="Hyperlink"/>
    <w:basedOn w:val="DefaultParagraphFont"/>
    <w:uiPriority w:val="99"/>
    <w:unhideWhenUsed/>
    <w:rsid w:val="000C369F"/>
    <w:rPr>
      <w:color w:val="0563C1" w:themeColor="hyperlink"/>
      <w:u w:val="single"/>
    </w:rPr>
  </w:style>
  <w:style w:type="character" w:customStyle="1" w:styleId="UnresolvedMention1">
    <w:name w:val="Unresolved Mention1"/>
    <w:basedOn w:val="DefaultParagraphFont"/>
    <w:uiPriority w:val="99"/>
    <w:semiHidden/>
    <w:unhideWhenUsed/>
    <w:rsid w:val="000C369F"/>
    <w:rPr>
      <w:color w:val="605E5C"/>
      <w:shd w:val="clear" w:color="auto" w:fill="E1DFDD"/>
    </w:rPr>
  </w:style>
  <w:style w:type="paragraph" w:styleId="Title">
    <w:name w:val="Title"/>
    <w:basedOn w:val="Heading1"/>
    <w:next w:val="Normal"/>
    <w:link w:val="TitleChar"/>
    <w:uiPriority w:val="10"/>
    <w:qFormat/>
    <w:rsid w:val="000C369F"/>
    <w:pPr>
      <w:keepNext/>
      <w:suppressAutoHyphens/>
      <w:spacing w:after="0" w:line="480" w:lineRule="auto"/>
    </w:pPr>
  </w:style>
  <w:style w:type="character" w:customStyle="1" w:styleId="TitleChar">
    <w:name w:val="Title Char"/>
    <w:basedOn w:val="DefaultParagraphFont"/>
    <w:link w:val="Title"/>
    <w:uiPriority w:val="10"/>
    <w:rsid w:val="000C369F"/>
    <w:rPr>
      <w:rFonts w:ascii="Times New Roman" w:eastAsia="Calibri" w:hAnsi="Times New Roman" w:cs="Arial"/>
      <w:b/>
      <w:iCs/>
      <w:sz w:val="24"/>
      <w:szCs w:val="28"/>
      <w:lang w:eastAsia="ar-SA"/>
    </w:rPr>
  </w:style>
  <w:style w:type="paragraph" w:styleId="Revision">
    <w:name w:val="Revision"/>
    <w:hidden/>
    <w:uiPriority w:val="99"/>
    <w:semiHidden/>
    <w:rsid w:val="000C369F"/>
    <w:pPr>
      <w:spacing w:after="0" w:line="240" w:lineRule="auto"/>
    </w:pPr>
    <w:rPr>
      <w:rFonts w:ascii="Times New Roman" w:eastAsia="Calibri" w:hAnsi="Times New Roman" w:cs="Times New Roman"/>
      <w:sz w:val="24"/>
      <w:szCs w:val="24"/>
      <w:lang w:eastAsia="ar-SA"/>
    </w:rPr>
  </w:style>
  <w:style w:type="paragraph" w:styleId="Header">
    <w:name w:val="header"/>
    <w:basedOn w:val="Normal"/>
    <w:link w:val="HeaderChar"/>
    <w:uiPriority w:val="99"/>
    <w:unhideWhenUsed/>
    <w:rsid w:val="000C369F"/>
    <w:pPr>
      <w:tabs>
        <w:tab w:val="center" w:pos="4680"/>
        <w:tab w:val="right" w:pos="9360"/>
      </w:tabs>
      <w:spacing w:line="240" w:lineRule="auto"/>
    </w:pPr>
  </w:style>
  <w:style w:type="character" w:customStyle="1" w:styleId="HeaderChar">
    <w:name w:val="Header Char"/>
    <w:basedOn w:val="DefaultParagraphFont"/>
    <w:link w:val="Header"/>
    <w:uiPriority w:val="99"/>
    <w:rsid w:val="000C369F"/>
    <w:rPr>
      <w:rFonts w:ascii="Times New Roman" w:eastAsia="Calibri" w:hAnsi="Times New Roman" w:cs="Times New Roman"/>
      <w:sz w:val="24"/>
      <w:szCs w:val="24"/>
      <w:lang w:eastAsia="ar-SA"/>
    </w:rPr>
  </w:style>
  <w:style w:type="character" w:styleId="PlaceholderText">
    <w:name w:val="Placeholder Text"/>
    <w:basedOn w:val="DefaultParagraphFont"/>
    <w:uiPriority w:val="99"/>
    <w:semiHidden/>
    <w:rsid w:val="000C369F"/>
    <w:rPr>
      <w:color w:val="808080"/>
    </w:rPr>
  </w:style>
  <w:style w:type="paragraph" w:styleId="NormalWeb">
    <w:name w:val="Normal (Web)"/>
    <w:basedOn w:val="Normal"/>
    <w:uiPriority w:val="99"/>
    <w:semiHidden/>
    <w:unhideWhenUsed/>
    <w:rsid w:val="000C369F"/>
    <w:pPr>
      <w:spacing w:before="100" w:beforeAutospacing="1" w:after="100" w:afterAutospacing="1" w:line="240" w:lineRule="auto"/>
    </w:pPr>
    <w:rPr>
      <w:rFonts w:eastAsia="Times New Roman"/>
      <w:lang w:eastAsia="en-US"/>
    </w:rPr>
  </w:style>
  <w:style w:type="paragraph" w:styleId="Bibliography">
    <w:name w:val="Bibliography"/>
    <w:basedOn w:val="Normal"/>
    <w:next w:val="Normal"/>
    <w:uiPriority w:val="37"/>
    <w:unhideWhenUsed/>
    <w:rsid w:val="000C369F"/>
    <w:pPr>
      <w:tabs>
        <w:tab w:val="left" w:pos="384"/>
      </w:tabs>
      <w:ind w:left="384" w:hanging="384"/>
    </w:pPr>
  </w:style>
  <w:style w:type="paragraph" w:styleId="BalloonText">
    <w:name w:val="Balloon Text"/>
    <w:basedOn w:val="Normal"/>
    <w:link w:val="BalloonTextChar"/>
    <w:uiPriority w:val="99"/>
    <w:semiHidden/>
    <w:unhideWhenUsed/>
    <w:rsid w:val="000C369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369F"/>
    <w:rPr>
      <w:rFonts w:ascii="Segoe UI" w:eastAsia="Calibri" w:hAnsi="Segoe UI" w:cs="Segoe UI"/>
      <w:sz w:val="18"/>
      <w:szCs w:val="18"/>
      <w:lang w:eastAsia="ar-SA"/>
    </w:rPr>
  </w:style>
  <w:style w:type="character" w:customStyle="1" w:styleId="UnresolvedMention2">
    <w:name w:val="Unresolved Mention2"/>
    <w:basedOn w:val="DefaultParagraphFont"/>
    <w:uiPriority w:val="99"/>
    <w:semiHidden/>
    <w:unhideWhenUsed/>
    <w:rsid w:val="000C369F"/>
    <w:rPr>
      <w:color w:val="605E5C"/>
      <w:shd w:val="clear" w:color="auto" w:fill="E1DFDD"/>
    </w:rPr>
  </w:style>
  <w:style w:type="character" w:styleId="FollowedHyperlink">
    <w:name w:val="FollowedHyperlink"/>
    <w:basedOn w:val="DefaultParagraphFont"/>
    <w:uiPriority w:val="99"/>
    <w:semiHidden/>
    <w:unhideWhenUsed/>
    <w:rsid w:val="000C369F"/>
    <w:rPr>
      <w:color w:val="954F72" w:themeColor="followedHyperlink"/>
      <w:u w:val="single"/>
    </w:rPr>
  </w:style>
  <w:style w:type="paragraph" w:styleId="FootnoteText">
    <w:name w:val="footnote text"/>
    <w:basedOn w:val="Normal"/>
    <w:link w:val="FootnoteTextChar"/>
    <w:uiPriority w:val="99"/>
    <w:unhideWhenUsed/>
    <w:rsid w:val="000C369F"/>
    <w:pPr>
      <w:spacing w:line="240" w:lineRule="auto"/>
    </w:pPr>
    <w:rPr>
      <w:sz w:val="20"/>
      <w:szCs w:val="20"/>
    </w:rPr>
  </w:style>
  <w:style w:type="character" w:customStyle="1" w:styleId="FootnoteTextChar">
    <w:name w:val="Footnote Text Char"/>
    <w:basedOn w:val="DefaultParagraphFont"/>
    <w:link w:val="FootnoteText"/>
    <w:uiPriority w:val="99"/>
    <w:rsid w:val="000C369F"/>
    <w:rPr>
      <w:rFonts w:ascii="Times New Roman" w:eastAsia="Calibri" w:hAnsi="Times New Roman" w:cs="Times New Roman"/>
      <w:sz w:val="20"/>
      <w:szCs w:val="20"/>
      <w:lang w:eastAsia="ar-SA"/>
    </w:rPr>
  </w:style>
  <w:style w:type="character" w:styleId="FootnoteReference">
    <w:name w:val="footnote reference"/>
    <w:basedOn w:val="DefaultParagraphFont"/>
    <w:uiPriority w:val="99"/>
    <w:unhideWhenUsed/>
    <w:rsid w:val="000C369F"/>
    <w:rPr>
      <w:vertAlign w:val="superscript"/>
    </w:rPr>
  </w:style>
  <w:style w:type="paragraph" w:customStyle="1" w:styleId="TH1">
    <w:name w:val="TH1"/>
    <w:link w:val="TH1Char"/>
    <w:qFormat/>
    <w:rsid w:val="000C369F"/>
    <w:rPr>
      <w:rFonts w:ascii="Times New Roman" w:eastAsia="Calibri" w:hAnsi="Times New Roman" w:cs="Arial"/>
      <w:b/>
      <w:bCs/>
      <w:caps/>
      <w:sz w:val="24"/>
      <w:szCs w:val="28"/>
      <w:lang w:val="es-ES" w:eastAsia="ar-SA"/>
    </w:rPr>
  </w:style>
  <w:style w:type="paragraph" w:customStyle="1" w:styleId="TH2">
    <w:name w:val="TH2"/>
    <w:link w:val="TH2Char"/>
    <w:qFormat/>
    <w:rsid w:val="000C369F"/>
    <w:rPr>
      <w:rFonts w:ascii="Times New Roman" w:eastAsia="Calibri" w:hAnsi="Times New Roman" w:cs="Arial"/>
      <w:b/>
      <w:bCs/>
      <w:sz w:val="24"/>
      <w:szCs w:val="28"/>
      <w:lang w:val="es-ES" w:eastAsia="ar-SA"/>
    </w:rPr>
  </w:style>
  <w:style w:type="character" w:customStyle="1" w:styleId="TH1Char">
    <w:name w:val="TH1 Char"/>
    <w:basedOn w:val="Heading1Char"/>
    <w:link w:val="TH1"/>
    <w:rsid w:val="000C369F"/>
    <w:rPr>
      <w:rFonts w:ascii="Times New Roman" w:eastAsia="Calibri" w:hAnsi="Times New Roman" w:cs="Arial"/>
      <w:b/>
      <w:bCs/>
      <w:iCs w:val="0"/>
      <w:caps/>
      <w:sz w:val="24"/>
      <w:szCs w:val="28"/>
      <w:lang w:val="es-ES" w:eastAsia="ar-SA"/>
    </w:rPr>
  </w:style>
  <w:style w:type="paragraph" w:customStyle="1" w:styleId="THfig">
    <w:name w:val="THfig"/>
    <w:basedOn w:val="Caption"/>
    <w:link w:val="THfigChar"/>
    <w:qFormat/>
    <w:rsid w:val="000C369F"/>
    <w:pPr>
      <w:keepNext/>
    </w:pPr>
  </w:style>
  <w:style w:type="character" w:customStyle="1" w:styleId="TH2Char">
    <w:name w:val="TH2 Char"/>
    <w:basedOn w:val="Heading2Char"/>
    <w:link w:val="TH2"/>
    <w:rsid w:val="000C369F"/>
    <w:rPr>
      <w:rFonts w:ascii="Times New Roman" w:eastAsia="Calibri" w:hAnsi="Times New Roman" w:cs="Arial"/>
      <w:b/>
      <w:bCs/>
      <w:iCs w:val="0"/>
      <w:sz w:val="24"/>
      <w:szCs w:val="28"/>
      <w:lang w:val="es-ES" w:eastAsia="ar-SA"/>
    </w:rPr>
  </w:style>
  <w:style w:type="character" w:customStyle="1" w:styleId="CaptionChar">
    <w:name w:val="Caption Char"/>
    <w:basedOn w:val="DefaultParagraphFont"/>
    <w:link w:val="Caption"/>
    <w:uiPriority w:val="35"/>
    <w:rsid w:val="000C369F"/>
    <w:rPr>
      <w:rFonts w:ascii="Times New Roman" w:eastAsia="Calibri" w:hAnsi="Times New Roman" w:cs="Times New Roman"/>
      <w:i/>
      <w:iCs/>
      <w:sz w:val="24"/>
      <w:szCs w:val="24"/>
      <w:lang w:eastAsia="ar-SA"/>
    </w:rPr>
  </w:style>
  <w:style w:type="character" w:customStyle="1" w:styleId="THfigChar">
    <w:name w:val="THfig Char"/>
    <w:basedOn w:val="CaptionChar"/>
    <w:link w:val="THfig"/>
    <w:rsid w:val="000C369F"/>
    <w:rPr>
      <w:rFonts w:ascii="Times New Roman" w:eastAsia="Calibri" w:hAnsi="Times New Roman" w:cs="Times New Roman"/>
      <w:i/>
      <w:iCs/>
      <w:sz w:val="24"/>
      <w:szCs w:val="24"/>
      <w:lang w:eastAsia="ar-SA"/>
    </w:rPr>
  </w:style>
  <w:style w:type="character" w:customStyle="1" w:styleId="UnresolvedMention3">
    <w:name w:val="Unresolved Mention3"/>
    <w:basedOn w:val="DefaultParagraphFont"/>
    <w:uiPriority w:val="99"/>
    <w:semiHidden/>
    <w:unhideWhenUsed/>
    <w:rsid w:val="000C369F"/>
    <w:rPr>
      <w:color w:val="605E5C"/>
      <w:shd w:val="clear" w:color="auto" w:fill="E1DFDD"/>
    </w:rPr>
  </w:style>
  <w:style w:type="paragraph" w:styleId="ListBullet">
    <w:name w:val="List Bullet"/>
    <w:basedOn w:val="Normal"/>
    <w:uiPriority w:val="99"/>
    <w:unhideWhenUsed/>
    <w:rsid w:val="000C369F"/>
    <w:pPr>
      <w:numPr>
        <w:numId w:val="12"/>
      </w:numPr>
      <w:spacing w:after="120"/>
      <w:contextualSpacing/>
    </w:pPr>
  </w:style>
  <w:style w:type="paragraph" w:customStyle="1" w:styleId="MTDisplayEquation">
    <w:name w:val="MTDisplayEquation"/>
    <w:basedOn w:val="Normal"/>
    <w:next w:val="Normal"/>
    <w:link w:val="MTDisplayEquationChar"/>
    <w:rsid w:val="000C369F"/>
    <w:pPr>
      <w:tabs>
        <w:tab w:val="center" w:pos="4240"/>
        <w:tab w:val="right" w:pos="8500"/>
      </w:tabs>
      <w:spacing w:after="120"/>
    </w:pPr>
  </w:style>
  <w:style w:type="character" w:customStyle="1" w:styleId="MTDisplayEquationChar">
    <w:name w:val="MTDisplayEquation Char"/>
    <w:basedOn w:val="DefaultParagraphFont"/>
    <w:link w:val="MTDisplayEquation"/>
    <w:rsid w:val="000C369F"/>
    <w:rPr>
      <w:rFonts w:ascii="Times New Roman" w:eastAsia="Calibri" w:hAnsi="Times New Roman" w:cs="Times New Roman"/>
      <w:sz w:val="24"/>
      <w:szCs w:val="24"/>
      <w:lang w:eastAsia="ar-SA"/>
    </w:rPr>
  </w:style>
  <w:style w:type="character" w:customStyle="1" w:styleId="UnresolvedMention4">
    <w:name w:val="Unresolved Mention4"/>
    <w:basedOn w:val="DefaultParagraphFont"/>
    <w:uiPriority w:val="99"/>
    <w:semiHidden/>
    <w:unhideWhenUsed/>
    <w:rsid w:val="000C369F"/>
    <w:rPr>
      <w:color w:val="605E5C"/>
      <w:shd w:val="clear" w:color="auto" w:fill="E1DFDD"/>
    </w:rPr>
  </w:style>
  <w:style w:type="character" w:customStyle="1" w:styleId="UnresolvedMention5">
    <w:name w:val="Unresolved Mention5"/>
    <w:basedOn w:val="DefaultParagraphFont"/>
    <w:uiPriority w:val="99"/>
    <w:semiHidden/>
    <w:unhideWhenUsed/>
    <w:rsid w:val="000C369F"/>
    <w:rPr>
      <w:color w:val="605E5C"/>
      <w:shd w:val="clear" w:color="auto" w:fill="E1DFDD"/>
    </w:rPr>
  </w:style>
  <w:style w:type="character" w:styleId="PageNumber">
    <w:name w:val="page number"/>
    <w:basedOn w:val="DefaultParagraphFont"/>
    <w:unhideWhenUsed/>
    <w:rsid w:val="000C369F"/>
  </w:style>
  <w:style w:type="character" w:customStyle="1" w:styleId="UnresolvedMention6">
    <w:name w:val="Unresolved Mention6"/>
    <w:basedOn w:val="DefaultParagraphFont"/>
    <w:uiPriority w:val="99"/>
    <w:semiHidden/>
    <w:unhideWhenUsed/>
    <w:rsid w:val="000C369F"/>
    <w:rPr>
      <w:color w:val="605E5C"/>
      <w:shd w:val="clear" w:color="auto" w:fill="E1DFDD"/>
    </w:rPr>
  </w:style>
  <w:style w:type="character" w:customStyle="1" w:styleId="UnresolvedMention7">
    <w:name w:val="Unresolved Mention7"/>
    <w:basedOn w:val="DefaultParagraphFont"/>
    <w:uiPriority w:val="99"/>
    <w:semiHidden/>
    <w:unhideWhenUsed/>
    <w:rsid w:val="000C369F"/>
    <w:rPr>
      <w:color w:val="605E5C"/>
      <w:shd w:val="clear" w:color="auto" w:fill="E1DFDD"/>
    </w:rPr>
  </w:style>
  <w:style w:type="character" w:customStyle="1" w:styleId="Mencinsinresolver1">
    <w:name w:val="Mención sin resolver1"/>
    <w:basedOn w:val="DefaultParagraphFont"/>
    <w:uiPriority w:val="99"/>
    <w:semiHidden/>
    <w:unhideWhenUsed/>
    <w:rsid w:val="000C369F"/>
    <w:rPr>
      <w:color w:val="605E5C"/>
      <w:shd w:val="clear" w:color="auto" w:fill="E1DFDD"/>
    </w:rPr>
  </w:style>
  <w:style w:type="paragraph" w:styleId="EndnoteText">
    <w:name w:val="endnote text"/>
    <w:basedOn w:val="Normal"/>
    <w:link w:val="EndnoteTextChar"/>
    <w:uiPriority w:val="99"/>
    <w:semiHidden/>
    <w:unhideWhenUsed/>
    <w:rsid w:val="000C369F"/>
    <w:pPr>
      <w:spacing w:line="240" w:lineRule="auto"/>
    </w:pPr>
    <w:rPr>
      <w:sz w:val="20"/>
      <w:szCs w:val="20"/>
    </w:rPr>
  </w:style>
  <w:style w:type="character" w:customStyle="1" w:styleId="EndnoteTextChar">
    <w:name w:val="Endnote Text Char"/>
    <w:basedOn w:val="DefaultParagraphFont"/>
    <w:link w:val="EndnoteText"/>
    <w:uiPriority w:val="99"/>
    <w:semiHidden/>
    <w:rsid w:val="000C369F"/>
    <w:rPr>
      <w:rFonts w:ascii="Times New Roman" w:eastAsia="Calibri" w:hAnsi="Times New Roman" w:cs="Times New Roman"/>
      <w:sz w:val="20"/>
      <w:szCs w:val="20"/>
      <w:lang w:eastAsia="ar-SA"/>
    </w:rPr>
  </w:style>
  <w:style w:type="character" w:styleId="EndnoteReference">
    <w:name w:val="endnote reference"/>
    <w:basedOn w:val="DefaultParagraphFont"/>
    <w:uiPriority w:val="99"/>
    <w:semiHidden/>
    <w:unhideWhenUsed/>
    <w:rsid w:val="000C369F"/>
    <w:rPr>
      <w:vertAlign w:val="superscript"/>
    </w:rPr>
  </w:style>
  <w:style w:type="character" w:customStyle="1" w:styleId="UnresolvedMention8">
    <w:name w:val="Unresolved Mention8"/>
    <w:basedOn w:val="DefaultParagraphFont"/>
    <w:uiPriority w:val="99"/>
    <w:semiHidden/>
    <w:unhideWhenUsed/>
    <w:rsid w:val="000C369F"/>
    <w:rPr>
      <w:color w:val="605E5C"/>
      <w:shd w:val="clear" w:color="auto" w:fill="E1DFDD"/>
    </w:rPr>
  </w:style>
  <w:style w:type="character" w:customStyle="1" w:styleId="cf01">
    <w:name w:val="cf01"/>
    <w:basedOn w:val="DefaultParagraphFont"/>
    <w:rsid w:val="000C369F"/>
    <w:rPr>
      <w:rFonts w:ascii="Segoe UI" w:hAnsi="Segoe UI" w:cs="Segoe UI" w:hint="default"/>
      <w:sz w:val="18"/>
      <w:szCs w:val="18"/>
    </w:rPr>
  </w:style>
  <w:style w:type="character" w:customStyle="1" w:styleId="UnresolvedMention9">
    <w:name w:val="Unresolved Mention9"/>
    <w:basedOn w:val="DefaultParagraphFont"/>
    <w:uiPriority w:val="99"/>
    <w:semiHidden/>
    <w:unhideWhenUsed/>
    <w:rsid w:val="000C369F"/>
    <w:rPr>
      <w:color w:val="605E5C"/>
      <w:shd w:val="clear" w:color="auto" w:fill="E1DFDD"/>
    </w:rPr>
  </w:style>
  <w:style w:type="paragraph" w:styleId="NoSpacing">
    <w:name w:val="No Spacing"/>
    <w:uiPriority w:val="1"/>
    <w:qFormat/>
    <w:rsid w:val="000C369F"/>
    <w:pPr>
      <w:spacing w:after="0" w:line="240" w:lineRule="auto"/>
    </w:pPr>
    <w:rPr>
      <w:rFonts w:ascii="Times New Roman" w:eastAsia="Calibri" w:hAnsi="Times New Roman" w:cs="Times New Roman"/>
      <w:sz w:val="24"/>
      <w:szCs w:val="24"/>
      <w:lang w:eastAsia="ar-SA"/>
    </w:rPr>
  </w:style>
  <w:style w:type="paragraph" w:styleId="TOCHeading">
    <w:name w:val="TOC Heading"/>
    <w:basedOn w:val="Heading1"/>
    <w:next w:val="Normal"/>
    <w:uiPriority w:val="39"/>
    <w:unhideWhenUsed/>
    <w:qFormat/>
    <w:rsid w:val="000C369F"/>
    <w:pPr>
      <w:keepNext/>
      <w:keepLines/>
      <w:spacing w:before="240" w:after="0"/>
      <w:outlineLvl w:val="9"/>
    </w:pPr>
    <w:rPr>
      <w:rFonts w:asciiTheme="majorHAnsi" w:eastAsiaTheme="majorEastAsia" w:hAnsiTheme="majorHAnsi" w:cstheme="majorBidi"/>
      <w:b w:val="0"/>
      <w:iCs w:val="0"/>
      <w:color w:val="2F5496" w:themeColor="accent1" w:themeShade="BF"/>
      <w:sz w:val="32"/>
      <w:szCs w:val="32"/>
      <w:lang w:eastAsia="en-US"/>
    </w:rPr>
  </w:style>
  <w:style w:type="paragraph" w:styleId="TOC1">
    <w:name w:val="toc 1"/>
    <w:next w:val="Normal"/>
    <w:autoRedefine/>
    <w:uiPriority w:val="39"/>
    <w:unhideWhenUsed/>
    <w:rsid w:val="000C369F"/>
    <w:pPr>
      <w:spacing w:before="240" w:after="240" w:line="240" w:lineRule="auto"/>
    </w:pPr>
    <w:rPr>
      <w:rFonts w:ascii="Times New Roman" w:hAnsi="Times New Roman"/>
      <w:bCs/>
      <w:caps/>
      <w:sz w:val="24"/>
    </w:rPr>
  </w:style>
  <w:style w:type="paragraph" w:styleId="TOC2">
    <w:name w:val="toc 2"/>
    <w:next w:val="Normal"/>
    <w:autoRedefine/>
    <w:uiPriority w:val="39"/>
    <w:unhideWhenUsed/>
    <w:rsid w:val="000C369F"/>
    <w:pPr>
      <w:spacing w:after="0" w:line="240" w:lineRule="auto"/>
      <w:ind w:left="240"/>
    </w:pPr>
    <w:rPr>
      <w:rFonts w:ascii="Times New Roman" w:hAnsi="Times New Roman"/>
      <w:bCs/>
      <w:sz w:val="24"/>
    </w:rPr>
  </w:style>
  <w:style w:type="paragraph" w:styleId="TOC3">
    <w:name w:val="toc 3"/>
    <w:next w:val="Normal"/>
    <w:autoRedefine/>
    <w:uiPriority w:val="39"/>
    <w:unhideWhenUsed/>
    <w:rsid w:val="000C369F"/>
    <w:pPr>
      <w:spacing w:after="0" w:line="240" w:lineRule="auto"/>
      <w:ind w:left="480"/>
    </w:pPr>
    <w:rPr>
      <w:rFonts w:ascii="Times New Roman" w:eastAsiaTheme="majorEastAsia" w:hAnsi="Times New Roman" w:cs="Times New Roman"/>
      <w:bCs/>
      <w:sz w:val="24"/>
      <w:szCs w:val="24"/>
    </w:rPr>
  </w:style>
  <w:style w:type="paragraph" w:styleId="TableofFigures">
    <w:name w:val="table of figures"/>
    <w:aliases w:val="Table of tables"/>
    <w:basedOn w:val="Normal"/>
    <w:next w:val="Normal"/>
    <w:uiPriority w:val="99"/>
    <w:unhideWhenUsed/>
    <w:rsid w:val="000C369F"/>
    <w:pPr>
      <w:spacing w:before="240" w:after="240" w:line="240" w:lineRule="auto"/>
    </w:pPr>
    <w:rPr>
      <w:rFonts w:eastAsiaTheme="minorHAnsi" w:cstheme="minorBidi"/>
      <w:szCs w:val="22"/>
      <w:lang w:eastAsia="en-US"/>
    </w:rPr>
  </w:style>
  <w:style w:type="paragraph" w:customStyle="1" w:styleId="NormalIndented">
    <w:name w:val="Normal Indented"/>
    <w:basedOn w:val="Normal"/>
    <w:rsid w:val="000C369F"/>
    <w:pPr>
      <w:spacing w:line="480" w:lineRule="exact"/>
      <w:ind w:left="720" w:right="720"/>
    </w:pPr>
    <w:rPr>
      <w:rFonts w:eastAsia="Times New Roman"/>
      <w:szCs w:val="20"/>
      <w:lang w:eastAsia="en-US"/>
    </w:rPr>
  </w:style>
  <w:style w:type="paragraph" w:customStyle="1" w:styleId="NormalNoIndent">
    <w:name w:val="Normal No Indent"/>
    <w:basedOn w:val="Normal"/>
    <w:next w:val="Normal"/>
    <w:rsid w:val="000C369F"/>
    <w:pPr>
      <w:spacing w:line="480" w:lineRule="exact"/>
    </w:pPr>
    <w:rPr>
      <w:rFonts w:eastAsia="Times New Roman"/>
      <w:szCs w:val="20"/>
      <w:lang w:eastAsia="en-US"/>
    </w:rPr>
  </w:style>
  <w:style w:type="numbering" w:customStyle="1" w:styleId="NoList1">
    <w:name w:val="No List1"/>
    <w:next w:val="NoList"/>
    <w:uiPriority w:val="99"/>
    <w:semiHidden/>
    <w:unhideWhenUsed/>
    <w:rsid w:val="000C369F"/>
  </w:style>
  <w:style w:type="numbering" w:customStyle="1" w:styleId="NoList11">
    <w:name w:val="No List11"/>
    <w:next w:val="NoList"/>
    <w:uiPriority w:val="99"/>
    <w:semiHidden/>
    <w:unhideWhenUsed/>
    <w:rsid w:val="000C369F"/>
  </w:style>
  <w:style w:type="character" w:customStyle="1" w:styleId="UnresolvedMention10">
    <w:name w:val="Unresolved Mention10"/>
    <w:basedOn w:val="DefaultParagraphFont"/>
    <w:uiPriority w:val="99"/>
    <w:semiHidden/>
    <w:unhideWhenUsed/>
    <w:rsid w:val="000C36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2708</Words>
  <Characters>15436</Characters>
  <Application>Microsoft Office Word</Application>
  <DocSecurity>0</DocSecurity>
  <Lines>128</Lines>
  <Paragraphs>36</Paragraphs>
  <ScaleCrop>false</ScaleCrop>
  <Company>Springer Nature</Company>
  <LinksUpToDate>false</LinksUpToDate>
  <CharactersWithSpaces>18108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2023-10-13T02:50:00Z</dcterms:created>
  <dcterms:modified xsi:type="dcterms:W3CDTF">2023-10-13T02:50:00Z</dcterms:modified>
</cp:coreProperties>
</file>