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849A4" w14:textId="77777777" w:rsidR="00CA0E27" w:rsidRPr="00346C3D" w:rsidRDefault="00CA0E27" w:rsidP="00CA0E27">
      <w:pPr>
        <w:overflowPunct w:val="0"/>
        <w:spacing w:after="0" w:line="240" w:lineRule="auto"/>
        <w:rPr>
          <w:rFonts w:ascii="Calibri Light" w:eastAsia="DengXian Light" w:hAnsi="Calibri Light"/>
          <w:b/>
          <w:bCs/>
          <w:sz w:val="32"/>
          <w:szCs w:val="32"/>
        </w:rPr>
      </w:pPr>
      <w:r w:rsidRPr="00346C3D">
        <w:rPr>
          <w:rFonts w:ascii="Calibri Light" w:eastAsia="DengXian Light" w:hAnsi="Calibri Light"/>
          <w:b/>
          <w:bCs/>
          <w:sz w:val="32"/>
          <w:szCs w:val="32"/>
        </w:rPr>
        <w:t>Extended data figures &amp; tables</w:t>
      </w:r>
    </w:p>
    <w:p w14:paraId="748DD86A" w14:textId="77777777" w:rsidR="00CA0E27" w:rsidRDefault="00CA0E27" w:rsidP="00CA0E27"/>
    <w:p w14:paraId="00B4516C" w14:textId="77777777" w:rsidR="00CA0E27" w:rsidRDefault="00CA0E27" w:rsidP="00CA0E27">
      <w:r>
        <w:rPr>
          <w:noProof/>
        </w:rPr>
        <w:drawing>
          <wp:inline distT="0" distB="0" distL="0" distR="0" wp14:anchorId="2DE4D7B0" wp14:editId="3F33366E">
            <wp:extent cx="5936615" cy="3311525"/>
            <wp:effectExtent l="0" t="0" r="6985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31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459E7" w14:textId="77777777" w:rsidR="00CA0E27" w:rsidRDefault="00CA0E27" w:rsidP="00CA0E27">
      <w:pPr>
        <w:rPr>
          <w:rFonts w:cs="Calibri"/>
          <w:i/>
          <w:iCs/>
        </w:rPr>
      </w:pPr>
      <w:r>
        <w:rPr>
          <w:rFonts w:cs="Calibri"/>
          <w:b/>
          <w:bCs/>
        </w:rPr>
        <w:t xml:space="preserve">Extended Data Figure 1. Present diets in food protein consumption per capita. </w:t>
      </w:r>
      <w:r>
        <w:rPr>
          <w:rFonts w:cs="Calibri"/>
          <w:i/>
          <w:iCs/>
        </w:rPr>
        <w:t>Source: Authors’ calculations based on FAO data.</w:t>
      </w:r>
    </w:p>
    <w:p w14:paraId="5C19B933" w14:textId="77777777" w:rsidR="00CA0E27" w:rsidRDefault="00CA0E27" w:rsidP="00CA0E27"/>
    <w:p w14:paraId="61E2CD67" w14:textId="77777777" w:rsidR="00CA0E27" w:rsidRDefault="00CA0E27" w:rsidP="00CA0E27">
      <w:pPr>
        <w:jc w:val="center"/>
      </w:pPr>
      <w:r>
        <w:rPr>
          <w:noProof/>
        </w:rPr>
        <w:lastRenderedPageBreak/>
        <w:drawing>
          <wp:inline distT="0" distB="0" distL="0" distR="0" wp14:anchorId="2ABBFC58" wp14:editId="08CC8268">
            <wp:extent cx="5621020" cy="7491095"/>
            <wp:effectExtent l="0" t="0" r="0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749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ED1EB" w14:textId="77777777" w:rsidR="00CA0E27" w:rsidRPr="00F15390" w:rsidRDefault="00CA0E27" w:rsidP="00CA0E27">
      <w:pPr>
        <w:rPr>
          <w:b/>
          <w:bCs/>
        </w:rPr>
      </w:pPr>
      <w:r>
        <w:rPr>
          <w:b/>
          <w:bCs/>
        </w:rPr>
        <w:t xml:space="preserve">Extended Data Figure 2. Historical yield changes and future trends for the most grown crops in selected countries. </w:t>
      </w:r>
      <w:r w:rsidRPr="00B32F3D">
        <w:t>Solid line is based on FAO data; dotted line represents projection. Tons of crop are measured in harvested crops at typical moisture contents.</w:t>
      </w:r>
    </w:p>
    <w:p w14:paraId="68F7F49E" w14:textId="77777777" w:rsidR="00CA0E27" w:rsidRDefault="00CA0E27" w:rsidP="00CA0E27">
      <w:r>
        <w:rPr>
          <w:noProof/>
        </w:rPr>
        <w:lastRenderedPageBreak/>
        <w:drawing>
          <wp:inline distT="0" distB="0" distL="0" distR="0" wp14:anchorId="28B3795E" wp14:editId="0843DDB9">
            <wp:extent cx="5955030" cy="3686810"/>
            <wp:effectExtent l="0" t="0" r="762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030" cy="368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03FD9" w14:textId="77777777" w:rsidR="00CA0E27" w:rsidRDefault="00CA0E27" w:rsidP="00CA0E27">
      <w:pPr>
        <w:rPr>
          <w:b/>
          <w:bCs/>
        </w:rPr>
      </w:pPr>
      <w:r>
        <w:rPr>
          <w:b/>
          <w:bCs/>
        </w:rPr>
        <w:t>Extended Data Figure 3.  Production emissions for four SSA countries in 2010 and for all scenarios in 2050.</w:t>
      </w:r>
    </w:p>
    <w:p w14:paraId="6C4E1144" w14:textId="77777777" w:rsidR="00CA0E27" w:rsidRDefault="00CA0E27" w:rsidP="00CA0E27"/>
    <w:p w14:paraId="09F948B4" w14:textId="77777777" w:rsidR="00CA0E27" w:rsidRDefault="00CA0E27" w:rsidP="00CA0E27">
      <w:pPr>
        <w:spacing w:after="0" w:line="240" w:lineRule="auto"/>
        <w:rPr>
          <w:b/>
          <w:bCs/>
        </w:rPr>
      </w:pPr>
    </w:p>
    <w:p w14:paraId="3B66E38E" w14:textId="77777777" w:rsidR="00CA0E27" w:rsidRDefault="00CA0E27" w:rsidP="00CA0E27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753480F8" w14:textId="77777777" w:rsidR="00CA0E27" w:rsidRDefault="00CA0E27" w:rsidP="00CA0E27">
      <w:pPr>
        <w:spacing w:after="0" w:line="240" w:lineRule="auto"/>
        <w:rPr>
          <w:rFonts w:eastAsia="Times New Roman"/>
        </w:rPr>
      </w:pPr>
      <w:r>
        <w:rPr>
          <w:b/>
          <w:bCs/>
        </w:rPr>
        <w:lastRenderedPageBreak/>
        <w:t>Extended Data Table 1. Annual harvested areas and yields of the 10 most widely grown crops in SSA.</w:t>
      </w:r>
      <w:r>
        <w:rPr>
          <w:rFonts w:eastAsia="Times New Roman"/>
        </w:rPr>
        <w:t> </w:t>
      </w:r>
    </w:p>
    <w:p w14:paraId="7A44A7BF" w14:textId="77777777" w:rsidR="00CA0E27" w:rsidRDefault="00CA0E27" w:rsidP="00CA0E27">
      <w:pPr>
        <w:spacing w:after="0" w:line="240" w:lineRule="auto"/>
        <w:rPr>
          <w:rFonts w:eastAsia="Times New Roman"/>
        </w:rPr>
      </w:pPr>
    </w:p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1350"/>
        <w:gridCol w:w="3781"/>
        <w:gridCol w:w="1529"/>
        <w:gridCol w:w="2700"/>
      </w:tblGrid>
      <w:tr w:rsidR="00CA0E27" w14:paraId="73FDB21D" w14:textId="77777777" w:rsidTr="00527A15">
        <w:trPr>
          <w:trHeight w:val="359"/>
        </w:trPr>
        <w:tc>
          <w:tcPr>
            <w:tcW w:w="134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36E43BC1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</w:p>
        </w:tc>
        <w:tc>
          <w:tcPr>
            <w:tcW w:w="3781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6CD52E35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bidi="bn-IN"/>
              </w:rPr>
            </w:pPr>
            <w:r>
              <w:rPr>
                <w:rFonts w:eastAsia="Times New Roman" w:cs="Calibri"/>
                <w:b/>
                <w:bCs/>
                <w:color w:val="000000"/>
                <w:lang w:bidi="bn-IN"/>
              </w:rPr>
              <w:t>Average Harvested Area (2016-2020), Mha</w:t>
            </w:r>
          </w:p>
        </w:tc>
        <w:tc>
          <w:tcPr>
            <w:tcW w:w="1529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495A91F4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Area Share</w:t>
            </w:r>
          </w:p>
        </w:tc>
        <w:tc>
          <w:tcPr>
            <w:tcW w:w="2700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14:paraId="329E0A4B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vertAlign w:val="superscript"/>
                <w:lang w:bidi="bn-IN"/>
              </w:rPr>
            </w:pPr>
            <w:r>
              <w:rPr>
                <w:rFonts w:eastAsia="Times New Roman" w:cs="Calibri"/>
                <w:b/>
                <w:bCs/>
                <w:color w:val="000000"/>
                <w:lang w:bidi="bn-IN"/>
              </w:rPr>
              <w:t>Average Yield (2016-2020), t ha</w:t>
            </w:r>
            <w:r>
              <w:rPr>
                <w:rFonts w:eastAsia="Times New Roman" w:cs="Calibri"/>
                <w:b/>
                <w:bCs/>
                <w:color w:val="000000"/>
                <w:vertAlign w:val="superscript"/>
                <w:lang w:bidi="bn-IN"/>
              </w:rPr>
              <w:t>-1</w:t>
            </w:r>
          </w:p>
        </w:tc>
      </w:tr>
      <w:tr w:rsidR="00CA0E27" w14:paraId="2C467847" w14:textId="77777777" w:rsidTr="00527A15">
        <w:trPr>
          <w:trHeight w:val="288"/>
        </w:trPr>
        <w:tc>
          <w:tcPr>
            <w:tcW w:w="1349" w:type="dxa"/>
          </w:tcPr>
          <w:p w14:paraId="66A6FEB0" w14:textId="77777777" w:rsidR="00CA0E27" w:rsidRDefault="00CA0E27" w:rsidP="00527A15">
            <w:pPr>
              <w:widowControl w:val="0"/>
              <w:spacing w:after="0" w:line="240" w:lineRule="auto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Maize</w:t>
            </w:r>
          </w:p>
        </w:tc>
        <w:tc>
          <w:tcPr>
            <w:tcW w:w="3781" w:type="dxa"/>
          </w:tcPr>
          <w:p w14:paraId="2F85A564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39.8</w:t>
            </w:r>
          </w:p>
        </w:tc>
        <w:tc>
          <w:tcPr>
            <w:tcW w:w="1529" w:type="dxa"/>
          </w:tcPr>
          <w:p w14:paraId="3526C60B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17%</w:t>
            </w:r>
          </w:p>
        </w:tc>
        <w:tc>
          <w:tcPr>
            <w:tcW w:w="2700" w:type="dxa"/>
          </w:tcPr>
          <w:p w14:paraId="2B88703C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1.92</w:t>
            </w:r>
          </w:p>
        </w:tc>
      </w:tr>
      <w:tr w:rsidR="00CA0E27" w14:paraId="4029A716" w14:textId="77777777" w:rsidTr="00527A15">
        <w:trPr>
          <w:trHeight w:val="288"/>
        </w:trPr>
        <w:tc>
          <w:tcPr>
            <w:tcW w:w="1349" w:type="dxa"/>
          </w:tcPr>
          <w:p w14:paraId="26810466" w14:textId="77777777" w:rsidR="00CA0E27" w:rsidRDefault="00CA0E27" w:rsidP="00527A15">
            <w:pPr>
              <w:widowControl w:val="0"/>
              <w:spacing w:after="0" w:line="240" w:lineRule="auto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Cassava</w:t>
            </w:r>
          </w:p>
        </w:tc>
        <w:tc>
          <w:tcPr>
            <w:tcW w:w="3781" w:type="dxa"/>
          </w:tcPr>
          <w:p w14:paraId="3E929745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21.0</w:t>
            </w:r>
          </w:p>
        </w:tc>
        <w:tc>
          <w:tcPr>
            <w:tcW w:w="1529" w:type="dxa"/>
          </w:tcPr>
          <w:p w14:paraId="18C20038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9%</w:t>
            </w:r>
          </w:p>
        </w:tc>
        <w:tc>
          <w:tcPr>
            <w:tcW w:w="2700" w:type="dxa"/>
          </w:tcPr>
          <w:p w14:paraId="658F2920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8.64</w:t>
            </w:r>
          </w:p>
        </w:tc>
      </w:tr>
      <w:tr w:rsidR="00CA0E27" w14:paraId="21FA5F6F" w14:textId="77777777" w:rsidTr="00527A15">
        <w:trPr>
          <w:trHeight w:val="288"/>
        </w:trPr>
        <w:tc>
          <w:tcPr>
            <w:tcW w:w="1349" w:type="dxa"/>
          </w:tcPr>
          <w:p w14:paraId="18FBD781" w14:textId="77777777" w:rsidR="00CA0E27" w:rsidRDefault="00CA0E27" w:rsidP="00527A15">
            <w:pPr>
              <w:widowControl w:val="0"/>
              <w:spacing w:after="0" w:line="240" w:lineRule="auto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Sorghum</w:t>
            </w:r>
          </w:p>
        </w:tc>
        <w:tc>
          <w:tcPr>
            <w:tcW w:w="3781" w:type="dxa"/>
          </w:tcPr>
          <w:p w14:paraId="1087218B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20.3</w:t>
            </w:r>
          </w:p>
        </w:tc>
        <w:tc>
          <w:tcPr>
            <w:tcW w:w="1529" w:type="dxa"/>
          </w:tcPr>
          <w:p w14:paraId="2B1E9562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9%</w:t>
            </w:r>
          </w:p>
        </w:tc>
        <w:tc>
          <w:tcPr>
            <w:tcW w:w="2700" w:type="dxa"/>
          </w:tcPr>
          <w:p w14:paraId="4F5599CE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1.12</w:t>
            </w:r>
          </w:p>
        </w:tc>
      </w:tr>
      <w:tr w:rsidR="00CA0E27" w14:paraId="6262DAFD" w14:textId="77777777" w:rsidTr="00527A15">
        <w:trPr>
          <w:trHeight w:val="288"/>
        </w:trPr>
        <w:tc>
          <w:tcPr>
            <w:tcW w:w="1349" w:type="dxa"/>
          </w:tcPr>
          <w:p w14:paraId="1D2BF8DF" w14:textId="77777777" w:rsidR="00CA0E27" w:rsidRDefault="00CA0E27" w:rsidP="00527A15">
            <w:pPr>
              <w:widowControl w:val="0"/>
              <w:spacing w:after="0" w:line="240" w:lineRule="auto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Millet</w:t>
            </w:r>
          </w:p>
        </w:tc>
        <w:tc>
          <w:tcPr>
            <w:tcW w:w="3781" w:type="dxa"/>
          </w:tcPr>
          <w:p w14:paraId="3AF74ACB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17.0</w:t>
            </w:r>
          </w:p>
        </w:tc>
        <w:tc>
          <w:tcPr>
            <w:tcW w:w="1529" w:type="dxa"/>
          </w:tcPr>
          <w:p w14:paraId="3BFD2809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7%</w:t>
            </w:r>
          </w:p>
        </w:tc>
        <w:tc>
          <w:tcPr>
            <w:tcW w:w="2700" w:type="dxa"/>
          </w:tcPr>
          <w:p w14:paraId="79F5B663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0.74</w:t>
            </w:r>
          </w:p>
        </w:tc>
      </w:tr>
      <w:tr w:rsidR="00CA0E27" w14:paraId="7EEA9B9D" w14:textId="77777777" w:rsidTr="00527A15">
        <w:trPr>
          <w:trHeight w:val="288"/>
        </w:trPr>
        <w:tc>
          <w:tcPr>
            <w:tcW w:w="1349" w:type="dxa"/>
          </w:tcPr>
          <w:p w14:paraId="057812D3" w14:textId="77777777" w:rsidR="00CA0E27" w:rsidRDefault="00CA0E27" w:rsidP="00527A15">
            <w:pPr>
              <w:widowControl w:val="0"/>
              <w:spacing w:after="0" w:line="240" w:lineRule="auto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Rice</w:t>
            </w:r>
          </w:p>
        </w:tc>
        <w:tc>
          <w:tcPr>
            <w:tcW w:w="3781" w:type="dxa"/>
          </w:tcPr>
          <w:p w14:paraId="6A76E63E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16.1</w:t>
            </w:r>
          </w:p>
        </w:tc>
        <w:tc>
          <w:tcPr>
            <w:tcW w:w="1529" w:type="dxa"/>
          </w:tcPr>
          <w:p w14:paraId="6E6BBE33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7%</w:t>
            </w:r>
          </w:p>
        </w:tc>
        <w:tc>
          <w:tcPr>
            <w:tcW w:w="2700" w:type="dxa"/>
          </w:tcPr>
          <w:p w14:paraId="366C9706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1.88</w:t>
            </w:r>
          </w:p>
        </w:tc>
      </w:tr>
      <w:tr w:rsidR="00CA0E27" w14:paraId="1295DC4B" w14:textId="77777777" w:rsidTr="00527A15">
        <w:trPr>
          <w:trHeight w:val="288"/>
        </w:trPr>
        <w:tc>
          <w:tcPr>
            <w:tcW w:w="1349" w:type="dxa"/>
          </w:tcPr>
          <w:p w14:paraId="0960DF75" w14:textId="77777777" w:rsidR="00CA0E27" w:rsidRDefault="00CA0E27" w:rsidP="00527A15">
            <w:pPr>
              <w:widowControl w:val="0"/>
              <w:spacing w:after="0" w:line="240" w:lineRule="auto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Groundnuts</w:t>
            </w:r>
          </w:p>
        </w:tc>
        <w:tc>
          <w:tcPr>
            <w:tcW w:w="3781" w:type="dxa"/>
          </w:tcPr>
          <w:p w14:paraId="64694413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13.5</w:t>
            </w:r>
          </w:p>
        </w:tc>
        <w:tc>
          <w:tcPr>
            <w:tcW w:w="1529" w:type="dxa"/>
          </w:tcPr>
          <w:p w14:paraId="35656C10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6%</w:t>
            </w:r>
          </w:p>
        </w:tc>
        <w:tc>
          <w:tcPr>
            <w:tcW w:w="2700" w:type="dxa"/>
          </w:tcPr>
          <w:p w14:paraId="0EEF6F84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0.97</w:t>
            </w:r>
          </w:p>
        </w:tc>
      </w:tr>
      <w:tr w:rsidR="00CA0E27" w14:paraId="244F3289" w14:textId="77777777" w:rsidTr="00527A15">
        <w:trPr>
          <w:trHeight w:val="288"/>
        </w:trPr>
        <w:tc>
          <w:tcPr>
            <w:tcW w:w="1349" w:type="dxa"/>
          </w:tcPr>
          <w:p w14:paraId="1A30EBB6" w14:textId="77777777" w:rsidR="00CA0E27" w:rsidRDefault="00CA0E27" w:rsidP="00527A15">
            <w:pPr>
              <w:widowControl w:val="0"/>
              <w:spacing w:after="0" w:line="240" w:lineRule="auto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Cow peas</w:t>
            </w:r>
          </w:p>
        </w:tc>
        <w:tc>
          <w:tcPr>
            <w:tcW w:w="3781" w:type="dxa"/>
          </w:tcPr>
          <w:p w14:paraId="61CF5D03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13.2</w:t>
            </w:r>
          </w:p>
        </w:tc>
        <w:tc>
          <w:tcPr>
            <w:tcW w:w="1529" w:type="dxa"/>
          </w:tcPr>
          <w:p w14:paraId="6B302942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6%</w:t>
            </w:r>
          </w:p>
        </w:tc>
        <w:tc>
          <w:tcPr>
            <w:tcW w:w="2700" w:type="dxa"/>
          </w:tcPr>
          <w:p w14:paraId="31ABBBC5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0.57</w:t>
            </w:r>
          </w:p>
        </w:tc>
      </w:tr>
      <w:tr w:rsidR="00CA0E27" w14:paraId="3672B217" w14:textId="77777777" w:rsidTr="00527A15">
        <w:trPr>
          <w:trHeight w:val="288"/>
        </w:trPr>
        <w:tc>
          <w:tcPr>
            <w:tcW w:w="1349" w:type="dxa"/>
          </w:tcPr>
          <w:p w14:paraId="0D526D91" w14:textId="77777777" w:rsidR="00CA0E27" w:rsidRDefault="00CA0E27" w:rsidP="00527A15">
            <w:pPr>
              <w:widowControl w:val="0"/>
              <w:spacing w:after="0" w:line="240" w:lineRule="auto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Yams</w:t>
            </w:r>
          </w:p>
        </w:tc>
        <w:tc>
          <w:tcPr>
            <w:tcW w:w="3781" w:type="dxa"/>
          </w:tcPr>
          <w:p w14:paraId="2E420534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8.5</w:t>
            </w:r>
          </w:p>
        </w:tc>
        <w:tc>
          <w:tcPr>
            <w:tcW w:w="1529" w:type="dxa"/>
          </w:tcPr>
          <w:p w14:paraId="35CE7834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4%</w:t>
            </w:r>
          </w:p>
        </w:tc>
        <w:tc>
          <w:tcPr>
            <w:tcW w:w="2700" w:type="dxa"/>
          </w:tcPr>
          <w:p w14:paraId="4CE63456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8.54</w:t>
            </w:r>
          </w:p>
        </w:tc>
      </w:tr>
      <w:tr w:rsidR="00CA0E27" w14:paraId="77B9D534" w14:textId="77777777" w:rsidTr="00527A15">
        <w:trPr>
          <w:trHeight w:val="288"/>
        </w:trPr>
        <w:tc>
          <w:tcPr>
            <w:tcW w:w="1349" w:type="dxa"/>
          </w:tcPr>
          <w:p w14:paraId="6926F6F1" w14:textId="77777777" w:rsidR="00CA0E27" w:rsidRDefault="00CA0E27" w:rsidP="00527A15">
            <w:pPr>
              <w:widowControl w:val="0"/>
              <w:spacing w:after="0" w:line="240" w:lineRule="auto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Cocoa</w:t>
            </w:r>
          </w:p>
        </w:tc>
        <w:tc>
          <w:tcPr>
            <w:tcW w:w="3781" w:type="dxa"/>
          </w:tcPr>
          <w:p w14:paraId="16DC6C8C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8.1</w:t>
            </w:r>
          </w:p>
        </w:tc>
        <w:tc>
          <w:tcPr>
            <w:tcW w:w="1529" w:type="dxa"/>
          </w:tcPr>
          <w:p w14:paraId="213CE70A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3%</w:t>
            </w:r>
          </w:p>
        </w:tc>
        <w:tc>
          <w:tcPr>
            <w:tcW w:w="2700" w:type="dxa"/>
          </w:tcPr>
          <w:p w14:paraId="38783C9B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0.45</w:t>
            </w:r>
          </w:p>
        </w:tc>
      </w:tr>
      <w:tr w:rsidR="00CA0E27" w14:paraId="6A8E37D7" w14:textId="77777777" w:rsidTr="00527A15">
        <w:trPr>
          <w:trHeight w:val="288"/>
        </w:trPr>
        <w:tc>
          <w:tcPr>
            <w:tcW w:w="1349" w:type="dxa"/>
            <w:tcBorders>
              <w:bottom w:val="single" w:sz="4" w:space="0" w:color="7F7F7F"/>
            </w:tcBorders>
          </w:tcPr>
          <w:p w14:paraId="2F35365C" w14:textId="77777777" w:rsidR="00CA0E27" w:rsidRDefault="00CA0E27" w:rsidP="00527A15">
            <w:pPr>
              <w:widowControl w:val="0"/>
              <w:spacing w:after="0" w:line="240" w:lineRule="auto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Beans</w:t>
            </w:r>
          </w:p>
        </w:tc>
        <w:tc>
          <w:tcPr>
            <w:tcW w:w="3781" w:type="dxa"/>
            <w:tcBorders>
              <w:bottom w:val="single" w:sz="4" w:space="0" w:color="7F7F7F"/>
            </w:tcBorders>
          </w:tcPr>
          <w:p w14:paraId="277334AD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7.4</w:t>
            </w:r>
          </w:p>
        </w:tc>
        <w:tc>
          <w:tcPr>
            <w:tcW w:w="1529" w:type="dxa"/>
            <w:tcBorders>
              <w:bottom w:val="single" w:sz="4" w:space="0" w:color="7F7F7F"/>
            </w:tcBorders>
          </w:tcPr>
          <w:p w14:paraId="09B88EBE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3%</w:t>
            </w:r>
          </w:p>
        </w:tc>
        <w:tc>
          <w:tcPr>
            <w:tcW w:w="2700" w:type="dxa"/>
            <w:tcBorders>
              <w:bottom w:val="single" w:sz="4" w:space="0" w:color="7F7F7F"/>
            </w:tcBorders>
          </w:tcPr>
          <w:p w14:paraId="0848C3DA" w14:textId="77777777" w:rsidR="00CA0E27" w:rsidRDefault="00CA0E27" w:rsidP="00527A15">
            <w:pPr>
              <w:widowControl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0.86</w:t>
            </w:r>
          </w:p>
        </w:tc>
      </w:tr>
    </w:tbl>
    <w:p w14:paraId="6D013567" w14:textId="77777777" w:rsidR="00CA0E27" w:rsidRDefault="00CA0E27" w:rsidP="00CA0E27">
      <w:pPr>
        <w:spacing w:after="0" w:line="240" w:lineRule="auto"/>
        <w:rPr>
          <w:b/>
          <w:bCs/>
        </w:rPr>
      </w:pPr>
    </w:p>
    <w:p w14:paraId="626AABC0" w14:textId="77777777" w:rsidR="00CA0E27" w:rsidRDefault="00CA0E27" w:rsidP="00CA0E27">
      <w:pPr>
        <w:spacing w:after="0" w:line="240" w:lineRule="auto"/>
        <w:rPr>
          <w:i/>
          <w:iCs/>
        </w:rPr>
      </w:pPr>
      <w:r>
        <w:rPr>
          <w:i/>
          <w:iCs/>
        </w:rPr>
        <w:t xml:space="preserve">Note: Harvested area and yields are computed using the average of 2016-2020. The crops are sorted by harvested area. Tons of crop are measured in harvested crops at typical moisture contents. </w:t>
      </w:r>
    </w:p>
    <w:p w14:paraId="314BBDFE" w14:textId="77777777" w:rsidR="00CA0E27" w:rsidRDefault="00CA0E27" w:rsidP="00CA0E27">
      <w:pPr>
        <w:spacing w:after="0" w:line="240" w:lineRule="auto"/>
      </w:pPr>
      <w:r>
        <w:rPr>
          <w:i/>
          <w:iCs/>
        </w:rPr>
        <w:t>Source: FAOSTAT Food Balances 2021</w:t>
      </w:r>
    </w:p>
    <w:p w14:paraId="41C47990" w14:textId="77777777" w:rsidR="00CA0E27" w:rsidRDefault="00CA0E27" w:rsidP="00CA0E27">
      <w:pPr>
        <w:overflowPunct w:val="0"/>
        <w:spacing w:after="0" w:line="240" w:lineRule="auto"/>
      </w:pPr>
    </w:p>
    <w:p w14:paraId="29785D4F" w14:textId="77777777" w:rsidR="00CA0E27" w:rsidRDefault="00CA0E27" w:rsidP="00CA0E27">
      <w:pPr>
        <w:rPr>
          <w:b/>
          <w:bCs/>
        </w:rPr>
      </w:pPr>
      <w:r>
        <w:rPr>
          <w:b/>
          <w:bCs/>
        </w:rPr>
        <w:t>Extended Data Table 2. Yield gains in the Baseline and Yield Gap Closure scenarios for 10 common crops.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256"/>
        <w:gridCol w:w="1157"/>
        <w:gridCol w:w="1156"/>
        <w:gridCol w:w="1159"/>
        <w:gridCol w:w="1157"/>
        <w:gridCol w:w="1160"/>
        <w:gridCol w:w="1157"/>
        <w:gridCol w:w="1158"/>
      </w:tblGrid>
      <w:tr w:rsidR="00CA0E27" w14:paraId="4ABA99A3" w14:textId="77777777" w:rsidTr="00527A15">
        <w:trPr>
          <w:trHeight w:val="845"/>
        </w:trPr>
        <w:tc>
          <w:tcPr>
            <w:tcW w:w="12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06AEE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  <w:t>Crop</w:t>
            </w:r>
          </w:p>
        </w:tc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2EE05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  <w:t>2010</w:t>
            </w:r>
          </w:p>
        </w:tc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2338C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  <w:t>Baseline</w:t>
            </w:r>
          </w:p>
        </w:tc>
        <w:tc>
          <w:tcPr>
            <w:tcW w:w="11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053C3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  <w:t>% increase</w:t>
            </w:r>
          </w:p>
        </w:tc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A0168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  <w:t>50% GYGA Yield Gap Closure</w:t>
            </w:r>
          </w:p>
        </w:tc>
        <w:tc>
          <w:tcPr>
            <w:tcW w:w="11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4DB02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  <w:t>% increase</w:t>
            </w:r>
          </w:p>
        </w:tc>
        <w:tc>
          <w:tcPr>
            <w:tcW w:w="11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2A89A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  <w:t>90% Mueller Yield Gap Closure</w:t>
            </w:r>
          </w:p>
        </w:tc>
        <w:tc>
          <w:tcPr>
            <w:tcW w:w="1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B03B8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  <w:t>% increase</w:t>
            </w:r>
          </w:p>
        </w:tc>
      </w:tr>
      <w:tr w:rsidR="00CA0E27" w14:paraId="502C60EE" w14:textId="77777777" w:rsidTr="00527A15">
        <w:trPr>
          <w:trHeight w:val="288"/>
        </w:trPr>
        <w:tc>
          <w:tcPr>
            <w:tcW w:w="125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3A4DC5A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  <w:t>Maize</w:t>
            </w:r>
          </w:p>
        </w:tc>
        <w:tc>
          <w:tcPr>
            <w:tcW w:w="115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A6563E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1.82</w:t>
            </w:r>
          </w:p>
        </w:tc>
        <w:tc>
          <w:tcPr>
            <w:tcW w:w="115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475195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115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11786C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15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45C963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5.63</w:t>
            </w:r>
          </w:p>
        </w:tc>
        <w:tc>
          <w:tcPr>
            <w:tcW w:w="11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4BA212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209%</w:t>
            </w:r>
          </w:p>
        </w:tc>
        <w:tc>
          <w:tcPr>
            <w:tcW w:w="115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9574D6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4.95</w:t>
            </w:r>
          </w:p>
        </w:tc>
        <w:tc>
          <w:tcPr>
            <w:tcW w:w="115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B02FF4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171%</w:t>
            </w:r>
          </w:p>
        </w:tc>
      </w:tr>
      <w:tr w:rsidR="00CA0E27" w14:paraId="5103FF57" w14:textId="77777777" w:rsidTr="00527A15">
        <w:trPr>
          <w:trHeight w:val="288"/>
        </w:trPr>
        <w:tc>
          <w:tcPr>
            <w:tcW w:w="1255" w:type="dxa"/>
            <w:shd w:val="clear" w:color="auto" w:fill="auto"/>
            <w:vAlign w:val="bottom"/>
          </w:tcPr>
          <w:p w14:paraId="518F7AA1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  <w:t>Cassava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860491C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9.66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70E169BF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11.23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12A2B588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71AE0AD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20.78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2D29FE27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115%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3F07E593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28.79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2CFF1637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198%</w:t>
            </w:r>
          </w:p>
        </w:tc>
      </w:tr>
      <w:tr w:rsidR="00CA0E27" w14:paraId="3A9CADFF" w14:textId="77777777" w:rsidTr="00527A15">
        <w:trPr>
          <w:trHeight w:val="288"/>
        </w:trPr>
        <w:tc>
          <w:tcPr>
            <w:tcW w:w="1255" w:type="dxa"/>
            <w:shd w:val="clear" w:color="auto" w:fill="auto"/>
            <w:vAlign w:val="bottom"/>
          </w:tcPr>
          <w:p w14:paraId="216791C3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  <w:t>Sorghum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D4FA18F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12F5BBE0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8353A71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28%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2D0FF87D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8.18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58BC9B91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623%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56A8E071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4.95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27B735EE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338%</w:t>
            </w:r>
          </w:p>
        </w:tc>
      </w:tr>
      <w:tr w:rsidR="00CA0E27" w14:paraId="4766CF34" w14:textId="77777777" w:rsidTr="00527A15">
        <w:trPr>
          <w:trHeight w:val="288"/>
        </w:trPr>
        <w:tc>
          <w:tcPr>
            <w:tcW w:w="1255" w:type="dxa"/>
            <w:shd w:val="clear" w:color="auto" w:fill="auto"/>
            <w:vAlign w:val="bottom"/>
          </w:tcPr>
          <w:p w14:paraId="27CBF4DE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  <w:t>Millet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567DAB55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2E22CF0C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086DB9CF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27%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747DE162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3.48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1C3C6CBB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371%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55240CC9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630B6677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253%</w:t>
            </w:r>
          </w:p>
        </w:tc>
      </w:tr>
      <w:tr w:rsidR="00CA0E27" w14:paraId="4EDF0B67" w14:textId="77777777" w:rsidTr="00527A15">
        <w:trPr>
          <w:trHeight w:val="288"/>
        </w:trPr>
        <w:tc>
          <w:tcPr>
            <w:tcW w:w="1255" w:type="dxa"/>
            <w:shd w:val="clear" w:color="auto" w:fill="auto"/>
            <w:vAlign w:val="bottom"/>
          </w:tcPr>
          <w:p w14:paraId="4E27CDEA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  <w:t>Rice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6813638C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2.07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ADECE05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0927FB0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42%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6F397606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4.55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0A71C463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120%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4987B559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5.60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7644F7B0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171%</w:t>
            </w:r>
          </w:p>
        </w:tc>
      </w:tr>
      <w:tr w:rsidR="00CA0E27" w14:paraId="0C5B0D47" w14:textId="77777777" w:rsidTr="00527A15">
        <w:trPr>
          <w:trHeight w:val="288"/>
        </w:trPr>
        <w:tc>
          <w:tcPr>
            <w:tcW w:w="1255" w:type="dxa"/>
            <w:shd w:val="clear" w:color="auto" w:fill="auto"/>
            <w:vAlign w:val="bottom"/>
          </w:tcPr>
          <w:p w14:paraId="5DC560FB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  <w:t>Groundnuts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782672F8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7615829C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324097E1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19%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730F5A4B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4.83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2F07DAFF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405%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5B6923E7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6B9348C1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325%</w:t>
            </w:r>
          </w:p>
        </w:tc>
      </w:tr>
      <w:tr w:rsidR="00CA0E27" w14:paraId="6E3E505E" w14:textId="77777777" w:rsidTr="00527A15">
        <w:trPr>
          <w:trHeight w:val="288"/>
        </w:trPr>
        <w:tc>
          <w:tcPr>
            <w:tcW w:w="1255" w:type="dxa"/>
            <w:shd w:val="clear" w:color="auto" w:fill="auto"/>
            <w:vAlign w:val="bottom"/>
          </w:tcPr>
          <w:p w14:paraId="1C190555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  <w:t>Cow peas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6EE4BA0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7ED7E002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3AB9B758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56%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1BB864F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4.88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121C484A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698%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620DEC37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4B2BE6B3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165%</w:t>
            </w:r>
          </w:p>
        </w:tc>
      </w:tr>
      <w:tr w:rsidR="00CA0E27" w14:paraId="0FF8CC72" w14:textId="77777777" w:rsidTr="00527A15">
        <w:trPr>
          <w:trHeight w:val="288"/>
        </w:trPr>
        <w:tc>
          <w:tcPr>
            <w:tcW w:w="1255" w:type="dxa"/>
            <w:shd w:val="clear" w:color="auto" w:fill="auto"/>
            <w:vAlign w:val="bottom"/>
          </w:tcPr>
          <w:p w14:paraId="679E2334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  <w:t>Yams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38B961E0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9.78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3AEC9C00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10.64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22298CBC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9%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2F08CEE1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17.84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7FF56B9F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52EA375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29.00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69417A2C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196%</w:t>
            </w:r>
          </w:p>
        </w:tc>
      </w:tr>
      <w:tr w:rsidR="00CA0E27" w14:paraId="0DE91561" w14:textId="77777777" w:rsidTr="00527A15">
        <w:trPr>
          <w:trHeight w:val="288"/>
        </w:trPr>
        <w:tc>
          <w:tcPr>
            <w:tcW w:w="1255" w:type="dxa"/>
            <w:shd w:val="clear" w:color="auto" w:fill="auto"/>
            <w:vAlign w:val="bottom"/>
          </w:tcPr>
          <w:p w14:paraId="56C7D873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  <w:t>Cocoa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4BC7A5F8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156" w:type="dxa"/>
            <w:shd w:val="clear" w:color="auto" w:fill="auto"/>
            <w:vAlign w:val="center"/>
          </w:tcPr>
          <w:p w14:paraId="4536EE0A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756D264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22%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08D24197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052AE99E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83%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5A5108DF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158" w:type="dxa"/>
            <w:shd w:val="clear" w:color="auto" w:fill="auto"/>
            <w:vAlign w:val="center"/>
          </w:tcPr>
          <w:p w14:paraId="71CE2EDF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83%</w:t>
            </w:r>
          </w:p>
        </w:tc>
      </w:tr>
      <w:tr w:rsidR="00CA0E27" w14:paraId="70FDE736" w14:textId="77777777" w:rsidTr="00527A15">
        <w:trPr>
          <w:trHeight w:val="288"/>
        </w:trPr>
        <w:tc>
          <w:tcPr>
            <w:tcW w:w="125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1E5E129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bidi="bn-IN"/>
              </w:rPr>
              <w:t>Beans</w:t>
            </w:r>
          </w:p>
        </w:tc>
        <w:tc>
          <w:tcPr>
            <w:tcW w:w="115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FBC134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15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C388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6CF181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47%</w:t>
            </w:r>
          </w:p>
        </w:tc>
        <w:tc>
          <w:tcPr>
            <w:tcW w:w="115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79A513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5.39</w:t>
            </w:r>
          </w:p>
        </w:tc>
        <w:tc>
          <w:tcPr>
            <w:tcW w:w="11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BEA11E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613%</w:t>
            </w:r>
          </w:p>
        </w:tc>
        <w:tc>
          <w:tcPr>
            <w:tcW w:w="115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37E63A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115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87E8E1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bidi="bn-IN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162%</w:t>
            </w:r>
          </w:p>
        </w:tc>
      </w:tr>
    </w:tbl>
    <w:p w14:paraId="579C085D" w14:textId="77777777" w:rsidR="00CA0E27" w:rsidRDefault="00CA0E27" w:rsidP="00CA0E27">
      <w:pPr>
        <w:rPr>
          <w:b/>
          <w:bCs/>
        </w:rPr>
      </w:pPr>
    </w:p>
    <w:p w14:paraId="17F9BA78" w14:textId="77777777" w:rsidR="00CA0E27" w:rsidRDefault="00CA0E27" w:rsidP="00CA0E27">
      <w:pPr>
        <w:rPr>
          <w:b/>
          <w:bCs/>
        </w:rPr>
      </w:pPr>
      <w:r>
        <w:rPr>
          <w:b/>
          <w:bCs/>
        </w:rPr>
        <w:t>Extended Data Table 3. Average NUE for 2010 and 2050 Baseline and Improved Nitrogen Application scenarios.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3421"/>
        <w:gridCol w:w="1053"/>
        <w:gridCol w:w="1646"/>
        <w:gridCol w:w="3240"/>
      </w:tblGrid>
      <w:tr w:rsidR="00CA0E27" w14:paraId="27DF7CD5" w14:textId="77777777" w:rsidTr="00527A15">
        <w:trPr>
          <w:trHeight w:val="288"/>
        </w:trPr>
        <w:tc>
          <w:tcPr>
            <w:tcW w:w="34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734989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Region/Country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D8F298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bidi="bn-IN"/>
              </w:rPr>
            </w:pPr>
            <w:r>
              <w:rPr>
                <w:rFonts w:eastAsia="Times New Roman" w:cs="Calibri"/>
                <w:b/>
                <w:bCs/>
                <w:color w:val="000000"/>
                <w:lang w:bidi="bn-IN"/>
              </w:rPr>
              <w:t>2010</w:t>
            </w:r>
          </w:p>
        </w:tc>
        <w:tc>
          <w:tcPr>
            <w:tcW w:w="16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DFABA7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bidi="bn-IN"/>
              </w:rPr>
            </w:pPr>
            <w:r>
              <w:rPr>
                <w:rFonts w:eastAsia="Times New Roman" w:cs="Calibri"/>
                <w:b/>
                <w:bCs/>
                <w:color w:val="000000"/>
                <w:lang w:bidi="bn-IN"/>
              </w:rPr>
              <w:t>Baseline</w:t>
            </w:r>
          </w:p>
        </w:tc>
        <w:tc>
          <w:tcPr>
            <w:tcW w:w="32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C8F804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bidi="bn-IN"/>
              </w:rPr>
            </w:pPr>
            <w:r>
              <w:rPr>
                <w:rFonts w:eastAsia="Times New Roman" w:cs="Calibri"/>
                <w:b/>
                <w:bCs/>
                <w:color w:val="000000"/>
                <w:lang w:bidi="bn-IN"/>
              </w:rPr>
              <w:t>Improved Nitrogen Application</w:t>
            </w:r>
          </w:p>
        </w:tc>
      </w:tr>
      <w:tr w:rsidR="00CA0E27" w14:paraId="147F6C5E" w14:textId="77777777" w:rsidTr="00527A15">
        <w:trPr>
          <w:trHeight w:val="288"/>
        </w:trPr>
        <w:tc>
          <w:tcPr>
            <w:tcW w:w="3421" w:type="dxa"/>
            <w:shd w:val="clear" w:color="auto" w:fill="auto"/>
            <w:vAlign w:val="bottom"/>
          </w:tcPr>
          <w:p w14:paraId="43C4C6E1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bidi="bn-IN"/>
              </w:rPr>
            </w:pPr>
            <w:r>
              <w:rPr>
                <w:rFonts w:eastAsia="Times New Roman" w:cs="Calibri"/>
                <w:b/>
                <w:bCs/>
                <w:color w:val="000000"/>
                <w:lang w:bidi="bn-IN"/>
              </w:rPr>
              <w:t>Sub-Saharan Africa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6F0E74DC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cs="Calibri"/>
                <w:color w:val="000000"/>
              </w:rPr>
              <w:t>0.70</w:t>
            </w:r>
          </w:p>
        </w:tc>
        <w:tc>
          <w:tcPr>
            <w:tcW w:w="1646" w:type="dxa"/>
            <w:shd w:val="clear" w:color="auto" w:fill="auto"/>
            <w:vAlign w:val="bottom"/>
          </w:tcPr>
          <w:p w14:paraId="18A614EF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cs="Calibri"/>
                <w:color w:val="000000"/>
              </w:rPr>
              <w:t>0.55</w:t>
            </w:r>
          </w:p>
        </w:tc>
        <w:tc>
          <w:tcPr>
            <w:tcW w:w="3240" w:type="dxa"/>
            <w:shd w:val="clear" w:color="auto" w:fill="auto"/>
            <w:vAlign w:val="bottom"/>
          </w:tcPr>
          <w:p w14:paraId="367DD5CA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cs="Calibri"/>
                <w:color w:val="000000"/>
              </w:rPr>
              <w:t>0.76</w:t>
            </w:r>
          </w:p>
        </w:tc>
      </w:tr>
      <w:tr w:rsidR="00CA0E27" w14:paraId="27724392" w14:textId="77777777" w:rsidTr="00527A15">
        <w:trPr>
          <w:trHeight w:val="288"/>
        </w:trPr>
        <w:tc>
          <w:tcPr>
            <w:tcW w:w="3421" w:type="dxa"/>
            <w:shd w:val="clear" w:color="auto" w:fill="auto"/>
            <w:vAlign w:val="bottom"/>
          </w:tcPr>
          <w:p w14:paraId="776D1EA6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Ethiopia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303DB19A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cs="Calibri"/>
                <w:color w:val="000000"/>
              </w:rPr>
              <w:t>0.80</w:t>
            </w:r>
          </w:p>
        </w:tc>
        <w:tc>
          <w:tcPr>
            <w:tcW w:w="1646" w:type="dxa"/>
            <w:shd w:val="clear" w:color="auto" w:fill="auto"/>
            <w:vAlign w:val="bottom"/>
          </w:tcPr>
          <w:p w14:paraId="49D33EFB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cs="Calibri"/>
                <w:color w:val="000000"/>
              </w:rPr>
              <w:t>0.61</w:t>
            </w:r>
          </w:p>
        </w:tc>
        <w:tc>
          <w:tcPr>
            <w:tcW w:w="3240" w:type="dxa"/>
            <w:shd w:val="clear" w:color="auto" w:fill="auto"/>
            <w:vAlign w:val="bottom"/>
          </w:tcPr>
          <w:p w14:paraId="4823FB73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cs="Calibri"/>
                <w:color w:val="000000"/>
              </w:rPr>
              <w:t>0.81</w:t>
            </w:r>
          </w:p>
        </w:tc>
      </w:tr>
      <w:tr w:rsidR="00CA0E27" w14:paraId="185B9A55" w14:textId="77777777" w:rsidTr="00527A15">
        <w:trPr>
          <w:trHeight w:val="288"/>
        </w:trPr>
        <w:tc>
          <w:tcPr>
            <w:tcW w:w="3421" w:type="dxa"/>
            <w:shd w:val="clear" w:color="auto" w:fill="auto"/>
            <w:vAlign w:val="bottom"/>
          </w:tcPr>
          <w:p w14:paraId="6596F4E1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Nigeria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6B3D4875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cs="Calibri"/>
                <w:color w:val="000000"/>
              </w:rPr>
              <w:t>0.71</w:t>
            </w:r>
          </w:p>
        </w:tc>
        <w:tc>
          <w:tcPr>
            <w:tcW w:w="1646" w:type="dxa"/>
            <w:shd w:val="clear" w:color="auto" w:fill="auto"/>
            <w:vAlign w:val="bottom"/>
          </w:tcPr>
          <w:p w14:paraId="29119FD9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cs="Calibri"/>
                <w:color w:val="000000"/>
              </w:rPr>
              <w:t>0.70</w:t>
            </w:r>
          </w:p>
        </w:tc>
        <w:tc>
          <w:tcPr>
            <w:tcW w:w="3240" w:type="dxa"/>
            <w:shd w:val="clear" w:color="auto" w:fill="auto"/>
            <w:vAlign w:val="bottom"/>
          </w:tcPr>
          <w:p w14:paraId="242E1EAD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cs="Calibri"/>
                <w:color w:val="000000"/>
              </w:rPr>
              <w:t>0.81</w:t>
            </w:r>
          </w:p>
        </w:tc>
      </w:tr>
      <w:tr w:rsidR="00CA0E27" w14:paraId="02CE0BDE" w14:textId="77777777" w:rsidTr="00527A15">
        <w:trPr>
          <w:trHeight w:val="288"/>
        </w:trPr>
        <w:tc>
          <w:tcPr>
            <w:tcW w:w="3421" w:type="dxa"/>
            <w:shd w:val="clear" w:color="auto" w:fill="auto"/>
            <w:vAlign w:val="bottom"/>
          </w:tcPr>
          <w:p w14:paraId="0D3C6D4C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South Africa</w:t>
            </w:r>
          </w:p>
        </w:tc>
        <w:tc>
          <w:tcPr>
            <w:tcW w:w="1053" w:type="dxa"/>
            <w:shd w:val="clear" w:color="auto" w:fill="auto"/>
            <w:vAlign w:val="bottom"/>
          </w:tcPr>
          <w:p w14:paraId="6239BBD9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cs="Calibri"/>
                <w:color w:val="000000"/>
              </w:rPr>
              <w:t>0.54</w:t>
            </w:r>
          </w:p>
        </w:tc>
        <w:tc>
          <w:tcPr>
            <w:tcW w:w="1646" w:type="dxa"/>
            <w:shd w:val="clear" w:color="auto" w:fill="auto"/>
            <w:vAlign w:val="bottom"/>
          </w:tcPr>
          <w:p w14:paraId="5BE8595C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cs="Calibri"/>
                <w:color w:val="000000"/>
              </w:rPr>
              <w:t>0.31</w:t>
            </w:r>
          </w:p>
        </w:tc>
        <w:tc>
          <w:tcPr>
            <w:tcW w:w="3240" w:type="dxa"/>
            <w:shd w:val="clear" w:color="auto" w:fill="auto"/>
            <w:vAlign w:val="bottom"/>
          </w:tcPr>
          <w:p w14:paraId="7BB8FCFA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cs="Calibri"/>
                <w:color w:val="000000"/>
              </w:rPr>
              <w:t>0.56</w:t>
            </w:r>
          </w:p>
        </w:tc>
      </w:tr>
      <w:tr w:rsidR="00CA0E27" w14:paraId="7895D452" w14:textId="77777777" w:rsidTr="00527A15">
        <w:trPr>
          <w:trHeight w:val="288"/>
        </w:trPr>
        <w:tc>
          <w:tcPr>
            <w:tcW w:w="342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A9FFAB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eastAsia="Times New Roman" w:cs="Calibri"/>
                <w:color w:val="000000"/>
                <w:lang w:bidi="bn-IN"/>
              </w:rPr>
              <w:t>Tanzania</w:t>
            </w:r>
          </w:p>
        </w:tc>
        <w:tc>
          <w:tcPr>
            <w:tcW w:w="105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5C2098E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cs="Calibri"/>
                <w:color w:val="000000"/>
              </w:rPr>
              <w:t>0.83</w:t>
            </w:r>
          </w:p>
        </w:tc>
        <w:tc>
          <w:tcPr>
            <w:tcW w:w="164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FF5738A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cs="Calibri"/>
                <w:color w:val="000000"/>
              </w:rPr>
              <w:t>0.76</w:t>
            </w:r>
          </w:p>
        </w:tc>
        <w:tc>
          <w:tcPr>
            <w:tcW w:w="32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65E3EA3" w14:textId="77777777" w:rsidR="00CA0E27" w:rsidRDefault="00CA0E27" w:rsidP="00527A15">
            <w:pPr>
              <w:widowControl w:val="0"/>
              <w:suppressAutoHyphens w:val="0"/>
              <w:overflowPunct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bidi="bn-IN"/>
              </w:rPr>
            </w:pPr>
            <w:r>
              <w:rPr>
                <w:rFonts w:cs="Calibri"/>
                <w:color w:val="000000"/>
              </w:rPr>
              <w:t>0.90</w:t>
            </w:r>
          </w:p>
        </w:tc>
      </w:tr>
    </w:tbl>
    <w:p w14:paraId="26FF3737" w14:textId="77777777" w:rsidR="00CA0E27" w:rsidRPr="002F57B1" w:rsidRDefault="00CA0E27" w:rsidP="00CA0E27">
      <w:pPr>
        <w:rPr>
          <w:b/>
          <w:bCs/>
        </w:rPr>
      </w:pPr>
      <w:r>
        <w:rPr>
          <w:b/>
          <w:bCs/>
        </w:rPr>
        <w:lastRenderedPageBreak/>
        <w:t>Extended Data Table 4. Methane emissions of SSA by categories for 2010 and 2050 mitigation pathways.</w:t>
      </w:r>
    </w:p>
    <w:tbl>
      <w:tblPr>
        <w:tblW w:w="5002" w:type="pct"/>
        <w:tblInd w:w="-5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901"/>
        <w:gridCol w:w="1169"/>
        <w:gridCol w:w="1350"/>
        <w:gridCol w:w="993"/>
        <w:gridCol w:w="1111"/>
        <w:gridCol w:w="779"/>
      </w:tblGrid>
      <w:tr w:rsidR="00CA0E27" w:rsidRPr="00DF5E4D" w14:paraId="6885790E" w14:textId="77777777" w:rsidTr="00527A15">
        <w:trPr>
          <w:trHeight w:val="20"/>
        </w:trPr>
        <w:tc>
          <w:tcPr>
            <w:tcW w:w="1635" w:type="pct"/>
          </w:tcPr>
          <w:p w14:paraId="27F60256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  <w:lang w:bidi="bn-IN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4706A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  <w:t>Enteric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95DD0" w14:textId="77777777" w:rsidR="00CA0E27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  <w:t xml:space="preserve">Rice </w:t>
            </w:r>
          </w:p>
          <w:p w14:paraId="6230BD17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  <w:t>cultivation</w:t>
            </w:r>
          </w:p>
        </w:tc>
        <w:tc>
          <w:tcPr>
            <w:tcW w:w="72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314F8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  <w:t xml:space="preserve">Manure </w:t>
            </w:r>
          </w:p>
          <w:p w14:paraId="76D81A00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  <w:t>management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A5CC6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  <w:t>Energy for crops</w:t>
            </w:r>
          </w:p>
        </w:tc>
        <w:tc>
          <w:tcPr>
            <w:tcW w:w="5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6028E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  <w:t>Energy for livestock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CC745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  <w:t>Total</w:t>
            </w:r>
          </w:p>
        </w:tc>
      </w:tr>
      <w:tr w:rsidR="00CA0E27" w:rsidRPr="00DF5E4D" w14:paraId="2C79FF6E" w14:textId="77777777" w:rsidTr="00527A15">
        <w:trPr>
          <w:trHeight w:val="20"/>
        </w:trPr>
        <w:tc>
          <w:tcPr>
            <w:tcW w:w="1635" w:type="pct"/>
          </w:tcPr>
          <w:p w14:paraId="638209DE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bidi="bn-IN"/>
              </w:rPr>
            </w:pPr>
          </w:p>
        </w:tc>
        <w:tc>
          <w:tcPr>
            <w:tcW w:w="3365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16630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  <w:t>2010 CH</w:t>
            </w:r>
            <w:r w:rsidRPr="000F49AB">
              <w:rPr>
                <w:rFonts w:cs="Calibri"/>
                <w:b/>
                <w:bCs/>
                <w:color w:val="000000"/>
                <w:sz w:val="20"/>
                <w:szCs w:val="20"/>
                <w:vertAlign w:val="subscript"/>
                <w:lang w:bidi="bn-IN"/>
              </w:rPr>
              <w:t>4</w:t>
            </w:r>
            <w:r w:rsidRPr="00DF5E4D"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  <w:t xml:space="preserve"> Emissions (</w:t>
            </w:r>
            <w:r w:rsidRPr="000F49AB"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  <w:t>MtCO</w:t>
            </w:r>
            <w:r w:rsidRPr="000F49AB">
              <w:rPr>
                <w:rFonts w:cs="Calibri"/>
                <w:b/>
                <w:bCs/>
                <w:color w:val="000000"/>
                <w:sz w:val="20"/>
                <w:szCs w:val="20"/>
                <w:vertAlign w:val="subscript"/>
                <w:lang w:bidi="bn-IN"/>
              </w:rPr>
              <w:t>2</w:t>
            </w:r>
            <w:r w:rsidRPr="000F49AB"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  <w:t>e</w:t>
            </w:r>
            <w:r w:rsidRPr="00DF5E4D"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  <w:t>)</w:t>
            </w:r>
          </w:p>
        </w:tc>
      </w:tr>
      <w:tr w:rsidR="00CA0E27" w:rsidRPr="00DF5E4D" w14:paraId="79A5E1D3" w14:textId="77777777" w:rsidTr="00527A15">
        <w:trPr>
          <w:trHeight w:val="20"/>
        </w:trPr>
        <w:tc>
          <w:tcPr>
            <w:tcW w:w="1635" w:type="pct"/>
            <w:tcBorders>
              <w:bottom w:val="nil"/>
            </w:tcBorders>
          </w:tcPr>
          <w:p w14:paraId="5F48D715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  <w:lang w:bidi="bn-IN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  <w:vAlign w:val="center"/>
          </w:tcPr>
          <w:p w14:paraId="08701C58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437.78</w:t>
            </w:r>
          </w:p>
        </w:tc>
        <w:tc>
          <w:tcPr>
            <w:tcW w:w="624" w:type="pct"/>
            <w:tcBorders>
              <w:top w:val="single" w:sz="4" w:space="0" w:color="auto"/>
              <w:bottom w:val="nil"/>
            </w:tcBorders>
            <w:vAlign w:val="center"/>
          </w:tcPr>
          <w:p w14:paraId="4FFC1C08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55.09</w:t>
            </w:r>
          </w:p>
        </w:tc>
        <w:tc>
          <w:tcPr>
            <w:tcW w:w="721" w:type="pct"/>
            <w:tcBorders>
              <w:top w:val="single" w:sz="4" w:space="0" w:color="auto"/>
              <w:bottom w:val="nil"/>
            </w:tcBorders>
            <w:vAlign w:val="center"/>
          </w:tcPr>
          <w:p w14:paraId="15CC445D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22.14</w:t>
            </w:r>
          </w:p>
        </w:tc>
        <w:tc>
          <w:tcPr>
            <w:tcW w:w="530" w:type="pct"/>
            <w:tcBorders>
              <w:top w:val="single" w:sz="4" w:space="0" w:color="auto"/>
              <w:bottom w:val="nil"/>
            </w:tcBorders>
            <w:vAlign w:val="center"/>
          </w:tcPr>
          <w:p w14:paraId="58675503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0.77</w:t>
            </w:r>
          </w:p>
        </w:tc>
        <w:tc>
          <w:tcPr>
            <w:tcW w:w="593" w:type="pct"/>
            <w:tcBorders>
              <w:top w:val="single" w:sz="4" w:space="0" w:color="auto"/>
              <w:bottom w:val="nil"/>
            </w:tcBorders>
            <w:vAlign w:val="center"/>
          </w:tcPr>
          <w:p w14:paraId="0F353AE5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0.09</w:t>
            </w:r>
          </w:p>
        </w:tc>
        <w:tc>
          <w:tcPr>
            <w:tcW w:w="416" w:type="pct"/>
            <w:tcBorders>
              <w:top w:val="single" w:sz="4" w:space="0" w:color="auto"/>
              <w:bottom w:val="nil"/>
            </w:tcBorders>
            <w:vAlign w:val="center"/>
          </w:tcPr>
          <w:p w14:paraId="08211EC3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515.88</w:t>
            </w:r>
          </w:p>
        </w:tc>
      </w:tr>
      <w:tr w:rsidR="00CA0E27" w:rsidRPr="00DF5E4D" w14:paraId="1234591B" w14:textId="77777777" w:rsidTr="00527A15">
        <w:trPr>
          <w:trHeight w:val="20"/>
        </w:trPr>
        <w:tc>
          <w:tcPr>
            <w:tcW w:w="1635" w:type="pct"/>
            <w:tcBorders>
              <w:top w:val="nil"/>
              <w:bottom w:val="single" w:sz="4" w:space="0" w:color="auto"/>
            </w:tcBorders>
          </w:tcPr>
          <w:p w14:paraId="6BD54453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bidi="bn-IN"/>
              </w:rPr>
            </w:pPr>
            <w:r w:rsidRPr="00DF5E4D">
              <w:rPr>
                <w:rFonts w:cs="Calibri"/>
                <w:b/>
                <w:bCs/>
                <w:color w:val="000000"/>
                <w:sz w:val="18"/>
                <w:szCs w:val="18"/>
                <w:lang w:bidi="bn-IN"/>
              </w:rPr>
              <w:t>Scenarios</w:t>
            </w:r>
          </w:p>
        </w:tc>
        <w:tc>
          <w:tcPr>
            <w:tcW w:w="3365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6FAB1AE9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  <w:t>2050 CH</w:t>
            </w:r>
            <w:r w:rsidRPr="000F49AB">
              <w:rPr>
                <w:rFonts w:cs="Calibri"/>
                <w:b/>
                <w:bCs/>
                <w:color w:val="000000"/>
                <w:sz w:val="20"/>
                <w:szCs w:val="20"/>
                <w:vertAlign w:val="subscript"/>
                <w:lang w:bidi="bn-IN"/>
              </w:rPr>
              <w:t>4</w:t>
            </w:r>
            <w:r w:rsidRPr="00DF5E4D"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  <w:t xml:space="preserve"> Emissions </w:t>
            </w:r>
            <w:r w:rsidRPr="000F49AB"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  <w:t>(MtCO</w:t>
            </w:r>
            <w:r w:rsidRPr="000F49AB">
              <w:rPr>
                <w:rFonts w:cs="Calibri"/>
                <w:b/>
                <w:bCs/>
                <w:color w:val="000000"/>
                <w:sz w:val="20"/>
                <w:szCs w:val="20"/>
                <w:vertAlign w:val="subscript"/>
                <w:lang w:bidi="bn-IN"/>
              </w:rPr>
              <w:t>2</w:t>
            </w:r>
            <w:r w:rsidRPr="000F49AB">
              <w:rPr>
                <w:rFonts w:cs="Calibri"/>
                <w:b/>
                <w:bCs/>
                <w:color w:val="000000"/>
                <w:sz w:val="20"/>
                <w:szCs w:val="20"/>
                <w:lang w:bidi="bn-IN"/>
              </w:rPr>
              <w:t>e)</w:t>
            </w:r>
          </w:p>
        </w:tc>
      </w:tr>
      <w:tr w:rsidR="00CA0E27" w:rsidRPr="00DF5E4D" w14:paraId="26AC0BEE" w14:textId="77777777" w:rsidTr="00527A15">
        <w:trPr>
          <w:trHeight w:val="20"/>
        </w:trPr>
        <w:tc>
          <w:tcPr>
            <w:tcW w:w="1635" w:type="pct"/>
            <w:tcBorders>
              <w:top w:val="single" w:sz="4" w:space="0" w:color="auto"/>
            </w:tcBorders>
          </w:tcPr>
          <w:p w14:paraId="7D4B090B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bidi="bn-IN"/>
              </w:rPr>
            </w:pPr>
            <w:r w:rsidRPr="00DF5E4D">
              <w:rPr>
                <w:rFonts w:cs="Calibri"/>
                <w:b/>
                <w:bCs/>
                <w:color w:val="000000"/>
                <w:sz w:val="18"/>
                <w:szCs w:val="18"/>
                <w:lang w:bidi="bn-IN"/>
              </w:rPr>
              <w:t>Baseline</w:t>
            </w:r>
          </w:p>
        </w:tc>
        <w:tc>
          <w:tcPr>
            <w:tcW w:w="481" w:type="pct"/>
            <w:tcBorders>
              <w:top w:val="single" w:sz="4" w:space="0" w:color="auto"/>
            </w:tcBorders>
            <w:vAlign w:val="center"/>
          </w:tcPr>
          <w:p w14:paraId="42A6D997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724.75</w:t>
            </w:r>
          </w:p>
        </w:tc>
        <w:tc>
          <w:tcPr>
            <w:tcW w:w="624" w:type="pct"/>
            <w:tcBorders>
              <w:top w:val="single" w:sz="4" w:space="0" w:color="auto"/>
            </w:tcBorders>
            <w:vAlign w:val="center"/>
          </w:tcPr>
          <w:p w14:paraId="15F65398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105.37</w:t>
            </w:r>
          </w:p>
        </w:tc>
        <w:tc>
          <w:tcPr>
            <w:tcW w:w="721" w:type="pct"/>
            <w:tcBorders>
              <w:top w:val="single" w:sz="4" w:space="0" w:color="auto"/>
            </w:tcBorders>
            <w:vAlign w:val="center"/>
          </w:tcPr>
          <w:p w14:paraId="25F1AA9D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42.73</w:t>
            </w:r>
          </w:p>
        </w:tc>
        <w:tc>
          <w:tcPr>
            <w:tcW w:w="530" w:type="pct"/>
            <w:tcBorders>
              <w:top w:val="single" w:sz="4" w:space="0" w:color="auto"/>
            </w:tcBorders>
            <w:vAlign w:val="center"/>
          </w:tcPr>
          <w:p w14:paraId="432B0BF2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1.43</w:t>
            </w:r>
          </w:p>
        </w:tc>
        <w:tc>
          <w:tcPr>
            <w:tcW w:w="593" w:type="pct"/>
            <w:tcBorders>
              <w:top w:val="single" w:sz="4" w:space="0" w:color="auto"/>
            </w:tcBorders>
            <w:vAlign w:val="center"/>
          </w:tcPr>
          <w:p w14:paraId="6576249E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0.18</w:t>
            </w:r>
          </w:p>
        </w:tc>
        <w:tc>
          <w:tcPr>
            <w:tcW w:w="416" w:type="pct"/>
            <w:tcBorders>
              <w:top w:val="single" w:sz="4" w:space="0" w:color="auto"/>
            </w:tcBorders>
            <w:vAlign w:val="center"/>
          </w:tcPr>
          <w:p w14:paraId="0067BC36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874.45</w:t>
            </w:r>
          </w:p>
        </w:tc>
      </w:tr>
      <w:tr w:rsidR="00CA0E27" w:rsidRPr="00DF5E4D" w14:paraId="72DE522F" w14:textId="77777777" w:rsidTr="00527A15">
        <w:trPr>
          <w:trHeight w:val="20"/>
        </w:trPr>
        <w:tc>
          <w:tcPr>
            <w:tcW w:w="1635" w:type="pct"/>
          </w:tcPr>
          <w:p w14:paraId="315278AA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bidi="bn-IN"/>
              </w:rPr>
            </w:pPr>
            <w:r w:rsidRPr="00DF5E4D">
              <w:rPr>
                <w:rFonts w:cs="Calibri"/>
                <w:b/>
                <w:bCs/>
                <w:color w:val="000000"/>
                <w:sz w:val="18"/>
                <w:szCs w:val="18"/>
                <w:lang w:bidi="bn-IN"/>
              </w:rPr>
              <w:t>50% GYGA Yield Gap Closure</w:t>
            </w:r>
          </w:p>
        </w:tc>
        <w:tc>
          <w:tcPr>
            <w:tcW w:w="481" w:type="pct"/>
            <w:vAlign w:val="center"/>
          </w:tcPr>
          <w:p w14:paraId="43EBD365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724.75</w:t>
            </w:r>
          </w:p>
        </w:tc>
        <w:tc>
          <w:tcPr>
            <w:tcW w:w="624" w:type="pct"/>
            <w:vAlign w:val="center"/>
          </w:tcPr>
          <w:p w14:paraId="4919A807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65.13</w:t>
            </w:r>
          </w:p>
        </w:tc>
        <w:tc>
          <w:tcPr>
            <w:tcW w:w="721" w:type="pct"/>
            <w:vAlign w:val="center"/>
          </w:tcPr>
          <w:p w14:paraId="784FE251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42.73</w:t>
            </w:r>
          </w:p>
        </w:tc>
        <w:tc>
          <w:tcPr>
            <w:tcW w:w="530" w:type="pct"/>
            <w:vAlign w:val="center"/>
          </w:tcPr>
          <w:p w14:paraId="2BAA2C19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0.73</w:t>
            </w:r>
          </w:p>
        </w:tc>
        <w:tc>
          <w:tcPr>
            <w:tcW w:w="593" w:type="pct"/>
            <w:vAlign w:val="center"/>
          </w:tcPr>
          <w:p w14:paraId="3A6A797F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0.18</w:t>
            </w:r>
          </w:p>
        </w:tc>
        <w:tc>
          <w:tcPr>
            <w:tcW w:w="416" w:type="pct"/>
            <w:vAlign w:val="center"/>
          </w:tcPr>
          <w:p w14:paraId="21C3E2BE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833.51</w:t>
            </w:r>
          </w:p>
        </w:tc>
      </w:tr>
      <w:tr w:rsidR="00CA0E27" w:rsidRPr="00DF5E4D" w14:paraId="15D85DF0" w14:textId="77777777" w:rsidTr="00527A15">
        <w:trPr>
          <w:trHeight w:val="20"/>
        </w:trPr>
        <w:tc>
          <w:tcPr>
            <w:tcW w:w="1635" w:type="pct"/>
          </w:tcPr>
          <w:p w14:paraId="5603D9FF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bidi="bn-IN"/>
              </w:rPr>
            </w:pPr>
            <w:r w:rsidRPr="00DF5E4D">
              <w:rPr>
                <w:rFonts w:cs="Calibri"/>
                <w:b/>
                <w:bCs/>
                <w:color w:val="000000"/>
                <w:sz w:val="18"/>
                <w:szCs w:val="18"/>
                <w:lang w:bidi="bn-IN"/>
              </w:rPr>
              <w:t>90% Mueller Yield Gap Closure</w:t>
            </w:r>
          </w:p>
        </w:tc>
        <w:tc>
          <w:tcPr>
            <w:tcW w:w="481" w:type="pct"/>
            <w:vAlign w:val="center"/>
          </w:tcPr>
          <w:p w14:paraId="6CCEEE77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724.75</w:t>
            </w:r>
          </w:p>
        </w:tc>
        <w:tc>
          <w:tcPr>
            <w:tcW w:w="624" w:type="pct"/>
            <w:vAlign w:val="center"/>
          </w:tcPr>
          <w:p w14:paraId="599F3B79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53.87</w:t>
            </w:r>
          </w:p>
        </w:tc>
        <w:tc>
          <w:tcPr>
            <w:tcW w:w="721" w:type="pct"/>
            <w:vAlign w:val="center"/>
          </w:tcPr>
          <w:p w14:paraId="4CB96EB1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42.73</w:t>
            </w:r>
          </w:p>
        </w:tc>
        <w:tc>
          <w:tcPr>
            <w:tcW w:w="530" w:type="pct"/>
            <w:vAlign w:val="center"/>
          </w:tcPr>
          <w:p w14:paraId="00D85F0F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0.72</w:t>
            </w:r>
          </w:p>
        </w:tc>
        <w:tc>
          <w:tcPr>
            <w:tcW w:w="593" w:type="pct"/>
            <w:vAlign w:val="center"/>
          </w:tcPr>
          <w:p w14:paraId="07C3855D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0.18</w:t>
            </w:r>
          </w:p>
        </w:tc>
        <w:tc>
          <w:tcPr>
            <w:tcW w:w="416" w:type="pct"/>
            <w:vAlign w:val="center"/>
          </w:tcPr>
          <w:p w14:paraId="72DFFC20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822.25</w:t>
            </w:r>
          </w:p>
        </w:tc>
      </w:tr>
      <w:tr w:rsidR="00CA0E27" w:rsidRPr="00DF5E4D" w14:paraId="62B46407" w14:textId="77777777" w:rsidTr="00527A15">
        <w:trPr>
          <w:trHeight w:val="20"/>
        </w:trPr>
        <w:tc>
          <w:tcPr>
            <w:tcW w:w="1635" w:type="pct"/>
          </w:tcPr>
          <w:p w14:paraId="28987743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bidi="bn-IN"/>
              </w:rPr>
            </w:pPr>
            <w:r w:rsidRPr="00DF5E4D">
              <w:rPr>
                <w:rFonts w:cs="Calibri"/>
                <w:b/>
                <w:bCs/>
                <w:color w:val="000000"/>
                <w:sz w:val="18"/>
                <w:szCs w:val="18"/>
                <w:lang w:bidi="bn-IN"/>
              </w:rPr>
              <w:t>Improved Nitrogen Application</w:t>
            </w:r>
          </w:p>
        </w:tc>
        <w:tc>
          <w:tcPr>
            <w:tcW w:w="481" w:type="pct"/>
            <w:vAlign w:val="center"/>
          </w:tcPr>
          <w:p w14:paraId="7C240C38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724.75</w:t>
            </w:r>
          </w:p>
        </w:tc>
        <w:tc>
          <w:tcPr>
            <w:tcW w:w="624" w:type="pct"/>
            <w:vAlign w:val="center"/>
          </w:tcPr>
          <w:p w14:paraId="0DF5BA1B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105.37</w:t>
            </w:r>
          </w:p>
        </w:tc>
        <w:tc>
          <w:tcPr>
            <w:tcW w:w="721" w:type="pct"/>
            <w:vAlign w:val="center"/>
          </w:tcPr>
          <w:p w14:paraId="26F157BB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42.73</w:t>
            </w:r>
          </w:p>
        </w:tc>
        <w:tc>
          <w:tcPr>
            <w:tcW w:w="530" w:type="pct"/>
            <w:vAlign w:val="center"/>
          </w:tcPr>
          <w:p w14:paraId="13BF6413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1.43</w:t>
            </w:r>
          </w:p>
        </w:tc>
        <w:tc>
          <w:tcPr>
            <w:tcW w:w="593" w:type="pct"/>
            <w:vAlign w:val="center"/>
          </w:tcPr>
          <w:p w14:paraId="306ED6CA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0.18</w:t>
            </w:r>
          </w:p>
        </w:tc>
        <w:tc>
          <w:tcPr>
            <w:tcW w:w="416" w:type="pct"/>
            <w:vAlign w:val="center"/>
          </w:tcPr>
          <w:p w14:paraId="2732CB77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874.45</w:t>
            </w:r>
          </w:p>
        </w:tc>
      </w:tr>
      <w:tr w:rsidR="00CA0E27" w:rsidRPr="00DF5E4D" w14:paraId="7004E4D5" w14:textId="77777777" w:rsidTr="00527A15">
        <w:trPr>
          <w:trHeight w:val="20"/>
        </w:trPr>
        <w:tc>
          <w:tcPr>
            <w:tcW w:w="1635" w:type="pct"/>
          </w:tcPr>
          <w:p w14:paraId="3D6E4B8B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bidi="bn-IN"/>
              </w:rPr>
            </w:pPr>
            <w:r w:rsidRPr="00DF5E4D">
              <w:rPr>
                <w:rFonts w:cs="Calibri"/>
                <w:b/>
                <w:bCs/>
                <w:color w:val="000000"/>
                <w:sz w:val="18"/>
                <w:szCs w:val="18"/>
                <w:lang w:bidi="bn-IN"/>
              </w:rPr>
              <w:t>Urea Treatment of Crop Residues</w:t>
            </w:r>
          </w:p>
        </w:tc>
        <w:tc>
          <w:tcPr>
            <w:tcW w:w="481" w:type="pct"/>
            <w:vAlign w:val="center"/>
          </w:tcPr>
          <w:p w14:paraId="4B54D5A8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556.29</w:t>
            </w:r>
          </w:p>
        </w:tc>
        <w:tc>
          <w:tcPr>
            <w:tcW w:w="624" w:type="pct"/>
            <w:vAlign w:val="center"/>
          </w:tcPr>
          <w:p w14:paraId="109576C9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104.40</w:t>
            </w:r>
          </w:p>
        </w:tc>
        <w:tc>
          <w:tcPr>
            <w:tcW w:w="721" w:type="pct"/>
            <w:vAlign w:val="center"/>
          </w:tcPr>
          <w:p w14:paraId="50FAADF2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40.27</w:t>
            </w:r>
          </w:p>
        </w:tc>
        <w:tc>
          <w:tcPr>
            <w:tcW w:w="530" w:type="pct"/>
            <w:vAlign w:val="center"/>
          </w:tcPr>
          <w:p w14:paraId="3BF00E35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1.41</w:t>
            </w:r>
          </w:p>
        </w:tc>
        <w:tc>
          <w:tcPr>
            <w:tcW w:w="593" w:type="pct"/>
            <w:vAlign w:val="center"/>
          </w:tcPr>
          <w:p w14:paraId="035DD34F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0.18</w:t>
            </w:r>
          </w:p>
        </w:tc>
        <w:tc>
          <w:tcPr>
            <w:tcW w:w="416" w:type="pct"/>
            <w:vAlign w:val="center"/>
          </w:tcPr>
          <w:p w14:paraId="41803F30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702.56</w:t>
            </w:r>
          </w:p>
        </w:tc>
      </w:tr>
      <w:tr w:rsidR="00CA0E27" w:rsidRPr="00DF5E4D" w14:paraId="7F72BCC0" w14:textId="77777777" w:rsidTr="00527A15">
        <w:trPr>
          <w:trHeight w:val="20"/>
        </w:trPr>
        <w:tc>
          <w:tcPr>
            <w:tcW w:w="1635" w:type="pct"/>
          </w:tcPr>
          <w:p w14:paraId="06CBBBC4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bidi="bn-IN"/>
              </w:rPr>
            </w:pPr>
            <w:r w:rsidRPr="00DF5E4D">
              <w:rPr>
                <w:rFonts w:cs="Calibri"/>
                <w:b/>
                <w:bCs/>
                <w:color w:val="000000"/>
                <w:sz w:val="18"/>
                <w:szCs w:val="18"/>
                <w:lang w:bidi="bn-IN"/>
              </w:rPr>
              <w:t>Urea Treatment Plus Concentrates</w:t>
            </w:r>
          </w:p>
        </w:tc>
        <w:tc>
          <w:tcPr>
            <w:tcW w:w="481" w:type="pct"/>
            <w:vAlign w:val="center"/>
          </w:tcPr>
          <w:p w14:paraId="50EEEF65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482.07</w:t>
            </w:r>
          </w:p>
        </w:tc>
        <w:tc>
          <w:tcPr>
            <w:tcW w:w="624" w:type="pct"/>
            <w:vAlign w:val="center"/>
          </w:tcPr>
          <w:p w14:paraId="7962E16F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104.01</w:t>
            </w:r>
          </w:p>
        </w:tc>
        <w:tc>
          <w:tcPr>
            <w:tcW w:w="721" w:type="pct"/>
            <w:vAlign w:val="center"/>
          </w:tcPr>
          <w:p w14:paraId="616F672B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38.77</w:t>
            </w:r>
          </w:p>
        </w:tc>
        <w:tc>
          <w:tcPr>
            <w:tcW w:w="530" w:type="pct"/>
            <w:vAlign w:val="center"/>
          </w:tcPr>
          <w:p w14:paraId="09D5C29A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1.55</w:t>
            </w:r>
          </w:p>
        </w:tc>
        <w:tc>
          <w:tcPr>
            <w:tcW w:w="593" w:type="pct"/>
            <w:vAlign w:val="center"/>
          </w:tcPr>
          <w:p w14:paraId="68974996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0.18</w:t>
            </w:r>
          </w:p>
        </w:tc>
        <w:tc>
          <w:tcPr>
            <w:tcW w:w="416" w:type="pct"/>
            <w:vAlign w:val="center"/>
          </w:tcPr>
          <w:p w14:paraId="0EEEEFD0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626.58</w:t>
            </w:r>
          </w:p>
        </w:tc>
      </w:tr>
      <w:tr w:rsidR="00CA0E27" w:rsidRPr="00DF5E4D" w14:paraId="563E8CDD" w14:textId="77777777" w:rsidTr="00527A15">
        <w:trPr>
          <w:trHeight w:val="20"/>
        </w:trPr>
        <w:tc>
          <w:tcPr>
            <w:tcW w:w="1635" w:type="pct"/>
          </w:tcPr>
          <w:p w14:paraId="6FC008CF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bidi="bn-IN"/>
              </w:rPr>
            </w:pPr>
            <w:r w:rsidRPr="00DF5E4D">
              <w:rPr>
                <w:rFonts w:cs="Calibri"/>
                <w:b/>
                <w:bCs/>
                <w:color w:val="000000"/>
                <w:sz w:val="18"/>
                <w:szCs w:val="18"/>
                <w:lang w:bidi="bn-IN"/>
              </w:rPr>
              <w:t>More Monogastric Focused Diets</w:t>
            </w:r>
          </w:p>
        </w:tc>
        <w:tc>
          <w:tcPr>
            <w:tcW w:w="481" w:type="pct"/>
            <w:vAlign w:val="center"/>
          </w:tcPr>
          <w:p w14:paraId="351EDF2B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402.02</w:t>
            </w:r>
          </w:p>
        </w:tc>
        <w:tc>
          <w:tcPr>
            <w:tcW w:w="624" w:type="pct"/>
            <w:vAlign w:val="center"/>
          </w:tcPr>
          <w:p w14:paraId="7C6432BC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107.77</w:t>
            </w:r>
          </w:p>
        </w:tc>
        <w:tc>
          <w:tcPr>
            <w:tcW w:w="721" w:type="pct"/>
            <w:vAlign w:val="center"/>
          </w:tcPr>
          <w:p w14:paraId="2AFB4664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29.80</w:t>
            </w:r>
          </w:p>
        </w:tc>
        <w:tc>
          <w:tcPr>
            <w:tcW w:w="530" w:type="pct"/>
            <w:vAlign w:val="center"/>
          </w:tcPr>
          <w:p w14:paraId="04C839FB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1.55</w:t>
            </w:r>
          </w:p>
        </w:tc>
        <w:tc>
          <w:tcPr>
            <w:tcW w:w="593" w:type="pct"/>
            <w:vAlign w:val="center"/>
          </w:tcPr>
          <w:p w14:paraId="106508E2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0.17</w:t>
            </w:r>
          </w:p>
        </w:tc>
        <w:tc>
          <w:tcPr>
            <w:tcW w:w="416" w:type="pct"/>
            <w:vAlign w:val="center"/>
          </w:tcPr>
          <w:p w14:paraId="0F129082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541.30</w:t>
            </w:r>
          </w:p>
        </w:tc>
      </w:tr>
      <w:tr w:rsidR="00CA0E27" w:rsidRPr="00DF5E4D" w14:paraId="3B69FB6B" w14:textId="77777777" w:rsidTr="00527A15">
        <w:trPr>
          <w:trHeight w:val="20"/>
        </w:trPr>
        <w:tc>
          <w:tcPr>
            <w:tcW w:w="1635" w:type="pct"/>
          </w:tcPr>
          <w:p w14:paraId="38AED89F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bidi="bn-IN"/>
              </w:rPr>
            </w:pPr>
            <w:r w:rsidRPr="00DF5E4D">
              <w:rPr>
                <w:rFonts w:cs="Calibri"/>
                <w:b/>
                <w:bCs/>
                <w:color w:val="000000"/>
                <w:sz w:val="18"/>
                <w:szCs w:val="18"/>
                <w:lang w:bidi="bn-IN"/>
              </w:rPr>
              <w:t>50% Waste Reduction</w:t>
            </w:r>
          </w:p>
        </w:tc>
        <w:tc>
          <w:tcPr>
            <w:tcW w:w="481" w:type="pct"/>
            <w:vAlign w:val="center"/>
          </w:tcPr>
          <w:p w14:paraId="26B9198A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693.49</w:t>
            </w:r>
          </w:p>
        </w:tc>
        <w:tc>
          <w:tcPr>
            <w:tcW w:w="624" w:type="pct"/>
            <w:vAlign w:val="center"/>
          </w:tcPr>
          <w:p w14:paraId="26158B71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101.17</w:t>
            </w:r>
          </w:p>
        </w:tc>
        <w:tc>
          <w:tcPr>
            <w:tcW w:w="721" w:type="pct"/>
            <w:vAlign w:val="center"/>
          </w:tcPr>
          <w:p w14:paraId="23932C65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40.73</w:t>
            </w:r>
          </w:p>
        </w:tc>
        <w:tc>
          <w:tcPr>
            <w:tcW w:w="530" w:type="pct"/>
            <w:vAlign w:val="center"/>
          </w:tcPr>
          <w:p w14:paraId="601AD6F6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1.31</w:t>
            </w:r>
          </w:p>
        </w:tc>
        <w:tc>
          <w:tcPr>
            <w:tcW w:w="593" w:type="pct"/>
            <w:vAlign w:val="center"/>
          </w:tcPr>
          <w:p w14:paraId="00B58505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0.17</w:t>
            </w:r>
          </w:p>
        </w:tc>
        <w:tc>
          <w:tcPr>
            <w:tcW w:w="416" w:type="pct"/>
            <w:vAlign w:val="center"/>
          </w:tcPr>
          <w:p w14:paraId="4EBCC8A3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836.87</w:t>
            </w:r>
          </w:p>
        </w:tc>
      </w:tr>
      <w:tr w:rsidR="00CA0E27" w:rsidRPr="00DF5E4D" w14:paraId="5A79456B" w14:textId="77777777" w:rsidTr="00527A15">
        <w:trPr>
          <w:trHeight w:val="20"/>
        </w:trPr>
        <w:tc>
          <w:tcPr>
            <w:tcW w:w="1635" w:type="pct"/>
          </w:tcPr>
          <w:p w14:paraId="6BDF13E1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  <w:lang w:bidi="bn-IN"/>
              </w:rPr>
            </w:pPr>
            <w:r w:rsidRPr="00DF5E4D">
              <w:rPr>
                <w:rFonts w:cs="Calibri"/>
                <w:b/>
                <w:bCs/>
                <w:color w:val="000000"/>
                <w:sz w:val="18"/>
                <w:szCs w:val="18"/>
                <w:lang w:bidi="bn-IN"/>
              </w:rPr>
              <w:t>Combined Options</w:t>
            </w:r>
          </w:p>
        </w:tc>
        <w:tc>
          <w:tcPr>
            <w:tcW w:w="481" w:type="pct"/>
            <w:vAlign w:val="center"/>
          </w:tcPr>
          <w:p w14:paraId="680AA109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214.41</w:t>
            </w:r>
          </w:p>
        </w:tc>
        <w:tc>
          <w:tcPr>
            <w:tcW w:w="624" w:type="pct"/>
            <w:vAlign w:val="center"/>
          </w:tcPr>
          <w:p w14:paraId="7AD0D1AC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52.98</w:t>
            </w:r>
          </w:p>
        </w:tc>
        <w:tc>
          <w:tcPr>
            <w:tcW w:w="721" w:type="pct"/>
            <w:vAlign w:val="center"/>
          </w:tcPr>
          <w:p w14:paraId="3808B9E8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23.77</w:t>
            </w:r>
          </w:p>
        </w:tc>
        <w:tc>
          <w:tcPr>
            <w:tcW w:w="530" w:type="pct"/>
            <w:vAlign w:val="center"/>
          </w:tcPr>
          <w:p w14:paraId="41D0CE06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0.74</w:t>
            </w:r>
          </w:p>
        </w:tc>
        <w:tc>
          <w:tcPr>
            <w:tcW w:w="593" w:type="pct"/>
            <w:vAlign w:val="center"/>
          </w:tcPr>
          <w:p w14:paraId="027CA6BB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0.17</w:t>
            </w:r>
          </w:p>
        </w:tc>
        <w:tc>
          <w:tcPr>
            <w:tcW w:w="416" w:type="pct"/>
            <w:vAlign w:val="center"/>
          </w:tcPr>
          <w:p w14:paraId="031512A7" w14:textId="77777777" w:rsidR="00CA0E27" w:rsidRPr="00DF5E4D" w:rsidRDefault="00CA0E27" w:rsidP="00527A15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  <w:lang w:bidi="bn-IN"/>
              </w:rPr>
            </w:pPr>
            <w:r w:rsidRPr="00DF5E4D">
              <w:rPr>
                <w:rFonts w:cs="Calibri"/>
                <w:color w:val="000000"/>
                <w:sz w:val="20"/>
                <w:szCs w:val="20"/>
                <w:lang w:bidi="bn-IN"/>
              </w:rPr>
              <w:t>292.07</w:t>
            </w:r>
          </w:p>
        </w:tc>
      </w:tr>
    </w:tbl>
    <w:p w14:paraId="796905E9" w14:textId="77777777" w:rsidR="00CA0E27" w:rsidRPr="00DF5E4D" w:rsidRDefault="00CA0E27" w:rsidP="00CA0E27">
      <w:pPr>
        <w:overflowPunct w:val="0"/>
        <w:spacing w:after="0" w:line="240" w:lineRule="auto"/>
        <w:rPr>
          <w:rFonts w:asciiTheme="minorHAnsi" w:eastAsia="DengXian Light" w:hAnsiTheme="minorHAnsi" w:cstheme="minorHAnsi"/>
        </w:rPr>
      </w:pPr>
    </w:p>
    <w:p w14:paraId="447D605A" w14:textId="4A6DAD82" w:rsidR="002F0F5E" w:rsidRPr="00CA0E27" w:rsidRDefault="00CA0E27" w:rsidP="00CA0E27">
      <w:pPr>
        <w:spacing w:after="0" w:line="240" w:lineRule="auto"/>
        <w:rPr>
          <w:rFonts w:ascii="Calibri Light" w:eastAsia="DengXian Light" w:hAnsi="Calibri Light"/>
          <w:sz w:val="32"/>
          <w:szCs w:val="32"/>
          <w:lang w:val="pt-BR"/>
        </w:rPr>
      </w:pPr>
    </w:p>
    <w:sectPr w:rsidR="002F0F5E" w:rsidRPr="00CA0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E27"/>
    <w:rsid w:val="0021090F"/>
    <w:rsid w:val="003A76DF"/>
    <w:rsid w:val="00C52827"/>
    <w:rsid w:val="00CA0E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C19B2"/>
  <w15:chartTrackingRefBased/>
  <w15:docId w15:val="{B0BCC22F-4A11-4D3E-BFC2-98C48778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E27"/>
    <w:pPr>
      <w:suppressAutoHyphens/>
    </w:pPr>
    <w:rPr>
      <w:rFonts w:ascii="Calibri" w:eastAsia="DengXian" w:hAnsi="Calibri" w:cs="Vrind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444</Words>
  <Characters>2531</Characters>
  <Application>Microsoft Office Word</Application>
  <DocSecurity>0</DocSecurity>
  <Lines>21</Lines>
  <Paragraphs>5</Paragraphs>
  <ScaleCrop>false</ScaleCrop>
  <Company>Springer Nature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2023-09-15T14:59:00Z</dcterms:created>
  <dcterms:modified xsi:type="dcterms:W3CDTF">2023-09-15T15:00:00Z</dcterms:modified>
</cp:coreProperties>
</file>