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75A9E6" w14:textId="77777777" w:rsidR="004A28DE" w:rsidRPr="00717739" w:rsidRDefault="004A28DE" w:rsidP="004A28DE">
      <w:pPr>
        <w:pStyle w:val="Paragraph"/>
        <w:spacing w:line="480" w:lineRule="auto"/>
        <w:ind w:firstLine="0"/>
        <w:jc w:val="both"/>
        <w:rPr>
          <w:rFonts w:ascii="SimSun" w:eastAsia="SimSun" w:hAnsi="SimSun" w:cs="SimSun"/>
          <w:lang w:eastAsia="zh-CN"/>
        </w:rPr>
      </w:pPr>
      <w:r w:rsidRPr="007A05F5">
        <w:rPr>
          <w:b/>
        </w:rPr>
        <w:t>Table of Contents</w:t>
      </w:r>
      <w:r w:rsidRPr="00D72B2C">
        <w:rPr>
          <w:b/>
        </w:rPr>
        <w:t>:</w:t>
      </w:r>
      <w:r w:rsidRPr="00175CBB">
        <w:rPr>
          <w:b/>
        </w:rPr>
        <w:t xml:space="preserve"> </w:t>
      </w:r>
      <w:r w:rsidRPr="005B7E06">
        <w:t xml:space="preserve">The EBNA1-YAP-CD276 axis </w:t>
      </w:r>
      <w:r>
        <w:t>drives</w:t>
      </w:r>
      <w:r w:rsidRPr="005B7E06">
        <w:t xml:space="preserve"> immune escape</w:t>
      </w:r>
      <w:r>
        <w:t xml:space="preserve"> </w:t>
      </w:r>
      <w:r w:rsidRPr="005B7E06">
        <w:t xml:space="preserve">in </w:t>
      </w:r>
      <w:r w:rsidRPr="00AB136A">
        <w:t>Epstein-Barr virus-associated gastric cancer (EBVaGC)</w:t>
      </w:r>
      <w:r>
        <w:t xml:space="preserve"> and causes a low response rate to anti-PD1 immunotherapy. T</w:t>
      </w:r>
      <w:r w:rsidRPr="005B7E06">
        <w:t xml:space="preserve">argeting </w:t>
      </w:r>
      <w:r>
        <w:t xml:space="preserve">both </w:t>
      </w:r>
      <w:r w:rsidRPr="005B7E06">
        <w:t>CD276 and PD1</w:t>
      </w:r>
      <w:r>
        <w:t xml:space="preserve"> in EBVaGC could</w:t>
      </w:r>
      <w:r w:rsidRPr="005B7E06">
        <w:t xml:space="preserve"> </w:t>
      </w:r>
      <w:r>
        <w:t>effectively improve</w:t>
      </w:r>
      <w:r w:rsidRPr="005B7E06">
        <w:t xml:space="preserve"> </w:t>
      </w:r>
      <w:r>
        <w:t>the immunotherapeutic</w:t>
      </w:r>
      <w:r w:rsidRPr="00EB3B2F">
        <w:t xml:space="preserve"> </w:t>
      </w:r>
      <w:r w:rsidRPr="005B7E06">
        <w:t>efficacy</w:t>
      </w:r>
      <w:r>
        <w:t xml:space="preserve"> thereby as a promising treatment strategy</w:t>
      </w:r>
      <w:r>
        <w:rPr>
          <w:rFonts w:ascii="SimSun" w:eastAsia="SimSun" w:hAnsi="SimSun" w:cs="SimSun" w:hint="eastAsia"/>
          <w:lang w:eastAsia="zh-CN"/>
        </w:rPr>
        <w:t>.</w:t>
      </w:r>
    </w:p>
    <w:p w14:paraId="47954B46" w14:textId="77777777" w:rsidR="004A28DE" w:rsidRDefault="004A28DE" w:rsidP="002D57CC">
      <w:pPr>
        <w:spacing w:before="120" w:line="480" w:lineRule="auto"/>
        <w:jc w:val="both"/>
        <w:rPr>
          <w:b/>
          <w:bCs/>
          <w:sz w:val="24"/>
          <w:szCs w:val="24"/>
        </w:rPr>
      </w:pPr>
    </w:p>
    <w:p w14:paraId="7C7B6771" w14:textId="0DD88C91" w:rsidR="002D57CC" w:rsidRPr="002F46EA" w:rsidRDefault="002D57CC" w:rsidP="002D57CC">
      <w:pPr>
        <w:spacing w:before="120" w:line="480" w:lineRule="auto"/>
        <w:jc w:val="both"/>
        <w:rPr>
          <w:b/>
          <w:bCs/>
          <w:sz w:val="24"/>
          <w:szCs w:val="24"/>
        </w:rPr>
      </w:pPr>
      <w:r w:rsidRPr="002F46EA">
        <w:rPr>
          <w:b/>
          <w:bCs/>
          <w:sz w:val="24"/>
          <w:szCs w:val="24"/>
        </w:rPr>
        <w:t>Supplementary Figures</w:t>
      </w:r>
    </w:p>
    <w:p w14:paraId="253C63B2" w14:textId="77777777" w:rsidR="002D57CC" w:rsidRPr="00F776C0" w:rsidRDefault="002D57CC" w:rsidP="002D57CC">
      <w:pPr>
        <w:spacing w:before="120" w:line="480" w:lineRule="auto"/>
        <w:jc w:val="both"/>
        <w:rPr>
          <w:sz w:val="24"/>
          <w:szCs w:val="24"/>
        </w:rPr>
      </w:pPr>
      <w:r w:rsidRPr="002F46EA">
        <w:rPr>
          <w:b/>
          <w:bCs/>
          <w:sz w:val="24"/>
          <w:szCs w:val="24"/>
        </w:rPr>
        <w:t>Supplementary Figure 1. The specific effects of CD276 on immune cell components</w:t>
      </w:r>
      <w:r>
        <w:rPr>
          <w:b/>
          <w:bCs/>
          <w:sz w:val="24"/>
          <w:szCs w:val="24"/>
        </w:rPr>
        <w:t xml:space="preserve">. </w:t>
      </w:r>
      <w:r w:rsidRPr="002F46EA">
        <w:rPr>
          <w:sz w:val="24"/>
          <w:szCs w:val="24"/>
        </w:rPr>
        <w:t>Effects of CD276 on indicated immune cell types (</w:t>
      </w:r>
      <w:r w:rsidRPr="00D53ED8">
        <w:rPr>
          <w:b/>
          <w:bCs/>
          <w:sz w:val="24"/>
          <w:szCs w:val="24"/>
        </w:rPr>
        <w:t>A</w:t>
      </w:r>
      <w:r w:rsidRPr="002F46EA">
        <w:rPr>
          <w:sz w:val="24"/>
          <w:szCs w:val="24"/>
        </w:rPr>
        <w:t>). CD276 high expression showed no obvious correlation with other types of immune cells (</w:t>
      </w:r>
      <w:r w:rsidRPr="00D53ED8">
        <w:rPr>
          <w:b/>
          <w:bCs/>
          <w:sz w:val="24"/>
          <w:szCs w:val="24"/>
        </w:rPr>
        <w:t>B</w:t>
      </w:r>
      <w:r w:rsidRPr="002F46EA">
        <w:rPr>
          <w:sz w:val="24"/>
          <w:szCs w:val="24"/>
        </w:rPr>
        <w:t>).</w:t>
      </w:r>
    </w:p>
    <w:p w14:paraId="18C97111" w14:textId="77777777" w:rsidR="002D57CC" w:rsidRPr="002F46EA" w:rsidRDefault="002D57CC" w:rsidP="002D57CC">
      <w:pPr>
        <w:spacing w:before="120" w:line="480" w:lineRule="auto"/>
        <w:jc w:val="both"/>
        <w:rPr>
          <w:sz w:val="24"/>
          <w:szCs w:val="24"/>
        </w:rPr>
      </w:pPr>
      <w:r w:rsidRPr="0049451D">
        <w:rPr>
          <w:b/>
          <w:bCs/>
          <w:sz w:val="24"/>
          <w:szCs w:val="24"/>
        </w:rPr>
        <w:t>Supplementa</w:t>
      </w:r>
      <w:r w:rsidRPr="002F46EA">
        <w:rPr>
          <w:b/>
          <w:bCs/>
          <w:sz w:val="24"/>
          <w:szCs w:val="24"/>
        </w:rPr>
        <w:t xml:space="preserve">ry Figure 2. Analysis of differentially expressed genes and pathways between </w:t>
      </w:r>
      <w:r w:rsidRPr="00F776C0">
        <w:rPr>
          <w:b/>
          <w:bCs/>
          <w:sz w:val="24"/>
          <w:szCs w:val="24"/>
        </w:rPr>
        <w:t>CD276 high and low group</w:t>
      </w:r>
      <w:r>
        <w:rPr>
          <w:b/>
          <w:bCs/>
          <w:sz w:val="24"/>
          <w:szCs w:val="24"/>
        </w:rPr>
        <w:t xml:space="preserve">. </w:t>
      </w:r>
      <w:r w:rsidRPr="002F46EA">
        <w:rPr>
          <w:sz w:val="24"/>
          <w:szCs w:val="24"/>
        </w:rPr>
        <w:t>Differentially expressed genes (</w:t>
      </w:r>
      <w:r w:rsidRPr="0049451D">
        <w:rPr>
          <w:b/>
          <w:bCs/>
          <w:sz w:val="24"/>
          <w:szCs w:val="24"/>
        </w:rPr>
        <w:t>A</w:t>
      </w:r>
      <w:r w:rsidRPr="002F46EA">
        <w:rPr>
          <w:sz w:val="24"/>
          <w:szCs w:val="24"/>
        </w:rPr>
        <w:t>) and enriched pathways (</w:t>
      </w:r>
      <w:r w:rsidRPr="0049451D">
        <w:rPr>
          <w:b/>
          <w:bCs/>
          <w:sz w:val="24"/>
          <w:szCs w:val="24"/>
        </w:rPr>
        <w:t>B, C</w:t>
      </w:r>
      <w:r w:rsidRPr="002F46EA">
        <w:rPr>
          <w:sz w:val="24"/>
          <w:szCs w:val="24"/>
        </w:rPr>
        <w:t>) between CD276 high and low group.</w:t>
      </w:r>
    </w:p>
    <w:p w14:paraId="03036502" w14:textId="77777777" w:rsidR="002D57CC" w:rsidRPr="00F776C0" w:rsidRDefault="002D57CC" w:rsidP="002D57CC">
      <w:pPr>
        <w:spacing w:before="120" w:line="480" w:lineRule="auto"/>
        <w:jc w:val="both"/>
        <w:rPr>
          <w:sz w:val="24"/>
          <w:szCs w:val="24"/>
        </w:rPr>
      </w:pPr>
      <w:r w:rsidRPr="002F46EA">
        <w:rPr>
          <w:b/>
          <w:bCs/>
          <w:sz w:val="24"/>
          <w:szCs w:val="24"/>
        </w:rPr>
        <w:t>Supplementary Figure 3. The determination of CD276 prognostic value</w:t>
      </w:r>
      <w:r>
        <w:rPr>
          <w:b/>
          <w:bCs/>
          <w:sz w:val="24"/>
          <w:szCs w:val="24"/>
        </w:rPr>
        <w:t xml:space="preserve">. </w:t>
      </w:r>
      <w:r w:rsidRPr="002F46EA">
        <w:rPr>
          <w:sz w:val="24"/>
          <w:szCs w:val="24"/>
        </w:rPr>
        <w:t>Distribution of CD276 expression values (upper), and the cutoff threshold selection for prognostic role of CD276 (lower). The value with maximal standardized Log-Rank statistic was chosen as cutoff point</w:t>
      </w:r>
      <w:r>
        <w:rPr>
          <w:sz w:val="24"/>
          <w:szCs w:val="24"/>
        </w:rPr>
        <w:t>.</w:t>
      </w:r>
    </w:p>
    <w:p w14:paraId="3446AA4F" w14:textId="77777777" w:rsidR="002D57CC" w:rsidRPr="00F776C0" w:rsidRDefault="002D57CC" w:rsidP="002D57CC">
      <w:pPr>
        <w:spacing w:before="120" w:line="480" w:lineRule="auto"/>
        <w:jc w:val="both"/>
        <w:rPr>
          <w:sz w:val="24"/>
          <w:szCs w:val="24"/>
        </w:rPr>
      </w:pPr>
      <w:r w:rsidRPr="002F46EA">
        <w:rPr>
          <w:b/>
          <w:bCs/>
          <w:sz w:val="24"/>
          <w:szCs w:val="24"/>
        </w:rPr>
        <w:t>Supplementary Figure 4. The efficiency test establishment for immune humanized mice.</w:t>
      </w:r>
      <w:r>
        <w:rPr>
          <w:b/>
          <w:bCs/>
          <w:sz w:val="24"/>
          <w:szCs w:val="24"/>
        </w:rPr>
        <w:t xml:space="preserve"> </w:t>
      </w:r>
      <w:r w:rsidRPr="002F46EA">
        <w:rPr>
          <w:sz w:val="24"/>
          <w:szCs w:val="24"/>
        </w:rPr>
        <w:t>The lymphocyte components in peripheral blood of mice were assessed by flow cytometry (</w:t>
      </w:r>
      <w:r w:rsidRPr="00013BAD">
        <w:rPr>
          <w:b/>
          <w:bCs/>
          <w:sz w:val="24"/>
          <w:szCs w:val="24"/>
        </w:rPr>
        <w:t>A</w:t>
      </w:r>
      <w:r w:rsidRPr="002F46EA">
        <w:rPr>
          <w:sz w:val="24"/>
          <w:szCs w:val="24"/>
        </w:rPr>
        <w:t>). Body weight was examined weekly to detect severe graft-related rejection (</w:t>
      </w:r>
      <w:r w:rsidRPr="00013BAD">
        <w:rPr>
          <w:b/>
          <w:bCs/>
          <w:sz w:val="24"/>
          <w:szCs w:val="24"/>
        </w:rPr>
        <w:t>B</w:t>
      </w:r>
      <w:r w:rsidRPr="002F46EA">
        <w:rPr>
          <w:sz w:val="24"/>
          <w:szCs w:val="24"/>
        </w:rPr>
        <w:t>).</w:t>
      </w:r>
    </w:p>
    <w:p w14:paraId="16007577" w14:textId="77777777" w:rsidR="002D57CC" w:rsidRPr="002F46EA" w:rsidRDefault="002D57CC" w:rsidP="002D57CC">
      <w:pPr>
        <w:spacing w:before="120" w:line="480" w:lineRule="auto"/>
        <w:jc w:val="both"/>
        <w:rPr>
          <w:sz w:val="24"/>
          <w:szCs w:val="24"/>
        </w:rPr>
      </w:pPr>
      <w:r w:rsidRPr="002F46EA">
        <w:rPr>
          <w:b/>
          <w:bCs/>
          <w:sz w:val="24"/>
          <w:szCs w:val="24"/>
        </w:rPr>
        <w:t>Supplementary Figure 5. The prognostic value of YAP1 expression</w:t>
      </w:r>
      <w:r>
        <w:rPr>
          <w:b/>
          <w:bCs/>
          <w:sz w:val="24"/>
          <w:szCs w:val="24"/>
        </w:rPr>
        <w:t xml:space="preserve">. </w:t>
      </w:r>
      <w:r w:rsidRPr="002F46EA">
        <w:rPr>
          <w:sz w:val="24"/>
          <w:szCs w:val="24"/>
        </w:rPr>
        <w:t>The distribution of YAP1 expression values and the cutoff point selection (upper). Prognostic value of YAP1 (lower). Note that higher expression of YAP indicated worse OS and DFS (n=50, p=0.028 and 0.017, respectively).</w:t>
      </w:r>
    </w:p>
    <w:p w14:paraId="2AA71BC4" w14:textId="77777777" w:rsidR="002D57CC" w:rsidRPr="00F776C0" w:rsidRDefault="002D57CC" w:rsidP="002D57CC">
      <w:pPr>
        <w:spacing w:before="120" w:line="480" w:lineRule="auto"/>
        <w:jc w:val="both"/>
        <w:rPr>
          <w:sz w:val="24"/>
          <w:szCs w:val="24"/>
        </w:rPr>
      </w:pPr>
      <w:r w:rsidRPr="002F46EA">
        <w:rPr>
          <w:b/>
          <w:bCs/>
          <w:sz w:val="24"/>
          <w:szCs w:val="24"/>
        </w:rPr>
        <w:lastRenderedPageBreak/>
        <w:t>Supplementary Figure 6. The potential significance of YAP1 expression</w:t>
      </w:r>
      <w:r>
        <w:rPr>
          <w:b/>
          <w:bCs/>
          <w:sz w:val="24"/>
          <w:szCs w:val="24"/>
        </w:rPr>
        <w:t xml:space="preserve">. </w:t>
      </w:r>
      <w:r w:rsidRPr="002F46EA">
        <w:rPr>
          <w:sz w:val="24"/>
          <w:szCs w:val="24"/>
        </w:rPr>
        <w:t>Apparent enrichment of “Hippo signaling” and “YAP conserved signature” pathway was observed in YAP1 highly expressed group (</w:t>
      </w:r>
      <w:r w:rsidRPr="00013BAD">
        <w:rPr>
          <w:b/>
          <w:bCs/>
          <w:sz w:val="24"/>
          <w:szCs w:val="24"/>
        </w:rPr>
        <w:t>A, B</w:t>
      </w:r>
      <w:r w:rsidRPr="002F46EA">
        <w:rPr>
          <w:sz w:val="24"/>
          <w:szCs w:val="24"/>
        </w:rPr>
        <w:t xml:space="preserve">). Heatmap for immune checkpoints and </w:t>
      </w:r>
      <w:r w:rsidRPr="002F46EA">
        <w:rPr>
          <w:rFonts w:eastAsia="DengXian"/>
          <w:sz w:val="24"/>
          <w:szCs w:val="24"/>
        </w:rPr>
        <w:t>YAP1 with</w:t>
      </w:r>
      <w:r w:rsidRPr="002F46EA">
        <w:rPr>
          <w:sz w:val="24"/>
          <w:szCs w:val="24"/>
        </w:rPr>
        <w:t xml:space="preserve"> unsupervised clustering (</w:t>
      </w:r>
      <w:r w:rsidRPr="00013BAD">
        <w:rPr>
          <w:b/>
          <w:bCs/>
          <w:sz w:val="24"/>
          <w:szCs w:val="24"/>
        </w:rPr>
        <w:t>C</w:t>
      </w:r>
      <w:r w:rsidRPr="002F46EA">
        <w:rPr>
          <w:sz w:val="24"/>
          <w:szCs w:val="24"/>
        </w:rPr>
        <w:t>). The CD276 could effectively predict the expression of YAP1 (AUC=0.858, sensitivity=64.7%, specificity=93.6%) (</w:t>
      </w:r>
      <w:r w:rsidRPr="00013BAD">
        <w:rPr>
          <w:b/>
          <w:bCs/>
          <w:sz w:val="24"/>
          <w:szCs w:val="24"/>
        </w:rPr>
        <w:t>D</w:t>
      </w:r>
      <w:r w:rsidRPr="002F46EA">
        <w:rPr>
          <w:sz w:val="24"/>
          <w:szCs w:val="24"/>
        </w:rPr>
        <w:t xml:space="preserve">). </w:t>
      </w:r>
    </w:p>
    <w:p w14:paraId="67E0F742" w14:textId="77777777" w:rsidR="002D57CC" w:rsidRPr="002F46EA" w:rsidRDefault="002D57CC" w:rsidP="002D57CC">
      <w:pPr>
        <w:spacing w:before="120" w:line="480" w:lineRule="auto"/>
        <w:jc w:val="both"/>
        <w:rPr>
          <w:sz w:val="24"/>
          <w:szCs w:val="24"/>
        </w:rPr>
      </w:pPr>
      <w:r w:rsidRPr="002F46EA">
        <w:rPr>
          <w:b/>
          <w:bCs/>
          <w:sz w:val="24"/>
          <w:szCs w:val="24"/>
        </w:rPr>
        <w:t>Supplementary Figure 7. The immune regulaotry function of CD276 was validated in TCGA datasets</w:t>
      </w:r>
      <w:r>
        <w:rPr>
          <w:b/>
          <w:bCs/>
          <w:sz w:val="24"/>
          <w:szCs w:val="24"/>
        </w:rPr>
        <w:t xml:space="preserve">. </w:t>
      </w:r>
      <w:r w:rsidRPr="002F46EA">
        <w:rPr>
          <w:sz w:val="24"/>
          <w:szCs w:val="24"/>
        </w:rPr>
        <w:t>CD276 is regulated independently of other immune checkpoints (</w:t>
      </w:r>
      <w:r w:rsidRPr="00013BAD">
        <w:rPr>
          <w:b/>
          <w:bCs/>
          <w:sz w:val="24"/>
          <w:szCs w:val="24"/>
        </w:rPr>
        <w:t>A, B</w:t>
      </w:r>
      <w:r w:rsidRPr="002F46EA">
        <w:rPr>
          <w:sz w:val="24"/>
          <w:szCs w:val="24"/>
        </w:rPr>
        <w:t>). Tumor of lymphocyte depleted type had the highest level of CD276 and YAP1 expression (</w:t>
      </w:r>
      <w:r w:rsidRPr="00013BAD">
        <w:rPr>
          <w:b/>
          <w:bCs/>
          <w:sz w:val="24"/>
          <w:szCs w:val="24"/>
        </w:rPr>
        <w:t>C, D</w:t>
      </w:r>
      <w:r w:rsidRPr="002F46EA">
        <w:rPr>
          <w:sz w:val="24"/>
          <w:szCs w:val="24"/>
        </w:rPr>
        <w:t>)</w:t>
      </w:r>
    </w:p>
    <w:p w14:paraId="3C7A7CA3" w14:textId="77777777" w:rsidR="002D57CC" w:rsidRPr="00F776C0" w:rsidRDefault="002D57CC" w:rsidP="002D57CC">
      <w:pPr>
        <w:spacing w:before="120" w:line="480" w:lineRule="auto"/>
        <w:jc w:val="both"/>
        <w:rPr>
          <w:sz w:val="24"/>
          <w:szCs w:val="24"/>
        </w:rPr>
      </w:pPr>
      <w:r w:rsidRPr="002F46EA">
        <w:rPr>
          <w:b/>
          <w:bCs/>
          <w:sz w:val="24"/>
          <w:szCs w:val="24"/>
        </w:rPr>
        <w:t>Supplementary Figure 8. The potential expression correlation between CD276 and TEAD family of transcription factors</w:t>
      </w:r>
      <w:r>
        <w:rPr>
          <w:b/>
          <w:bCs/>
          <w:sz w:val="24"/>
          <w:szCs w:val="24"/>
        </w:rPr>
        <w:t xml:space="preserve">. </w:t>
      </w:r>
      <w:r w:rsidRPr="002F46EA">
        <w:rPr>
          <w:sz w:val="24"/>
          <w:szCs w:val="24"/>
        </w:rPr>
        <w:t>Note that TEAD3 or TEAD4 highly expression group showed higher level of CD276 expression.</w:t>
      </w:r>
    </w:p>
    <w:p w14:paraId="420C5501" w14:textId="77777777" w:rsidR="002D57CC" w:rsidRDefault="002D57CC" w:rsidP="002D57CC">
      <w:pPr>
        <w:autoSpaceDE w:val="0"/>
        <w:autoSpaceDN w:val="0"/>
        <w:adjustRightInd w:val="0"/>
        <w:spacing w:before="120" w:line="480" w:lineRule="auto"/>
        <w:jc w:val="both"/>
        <w:rPr>
          <w:sz w:val="28"/>
          <w:szCs w:val="28"/>
        </w:rPr>
      </w:pPr>
      <w:r w:rsidRPr="002F46EA">
        <w:rPr>
          <w:b/>
          <w:bCs/>
          <w:sz w:val="24"/>
          <w:szCs w:val="24"/>
        </w:rPr>
        <w:t xml:space="preserve">Supplementary Figure 9. </w:t>
      </w:r>
      <w:r w:rsidRPr="002F46EA">
        <w:rPr>
          <w:sz w:val="24"/>
          <w:szCs w:val="24"/>
        </w:rPr>
        <w:t>Sanger sequencing validation of CRISPR cutting efficiency</w:t>
      </w:r>
      <w:r w:rsidRPr="000B6098">
        <w:rPr>
          <w:sz w:val="28"/>
          <w:szCs w:val="28"/>
        </w:rPr>
        <w:t>.</w:t>
      </w:r>
      <w:r w:rsidRPr="000E7A1D">
        <w:rPr>
          <w:sz w:val="28"/>
          <w:szCs w:val="28"/>
        </w:rPr>
        <w:t xml:space="preserve"> </w:t>
      </w:r>
    </w:p>
    <w:p w14:paraId="6E25CE65" w14:textId="77777777" w:rsidR="002D57CC" w:rsidRDefault="002D57CC" w:rsidP="002D57CC">
      <w:pPr>
        <w:autoSpaceDE w:val="0"/>
        <w:autoSpaceDN w:val="0"/>
        <w:adjustRightInd w:val="0"/>
        <w:spacing w:before="120" w:line="480" w:lineRule="auto"/>
        <w:jc w:val="both"/>
        <w:rPr>
          <w:b/>
          <w:bCs/>
          <w:sz w:val="24"/>
          <w:szCs w:val="24"/>
        </w:rPr>
      </w:pPr>
      <w:r w:rsidRPr="002F46EA">
        <w:rPr>
          <w:b/>
          <w:bCs/>
          <w:sz w:val="24"/>
          <w:szCs w:val="24"/>
        </w:rPr>
        <w:t>Supplementary</w:t>
      </w:r>
      <w:r w:rsidRPr="002771FA">
        <w:rPr>
          <w:b/>
          <w:bCs/>
          <w:sz w:val="24"/>
          <w:szCs w:val="24"/>
        </w:rPr>
        <w:t xml:space="preserve"> Table 1. Summary of clinical characteristics of patients with EBVaGC</w:t>
      </w:r>
      <w:r>
        <w:rPr>
          <w:b/>
          <w:bCs/>
          <w:sz w:val="24"/>
          <w:szCs w:val="24"/>
        </w:rPr>
        <w:t>.</w:t>
      </w:r>
    </w:p>
    <w:p w14:paraId="3B6BDA06" w14:textId="77777777" w:rsidR="002D57CC" w:rsidRPr="002771FA" w:rsidRDefault="002D57CC" w:rsidP="002D57CC">
      <w:pPr>
        <w:autoSpaceDE w:val="0"/>
        <w:autoSpaceDN w:val="0"/>
        <w:adjustRightInd w:val="0"/>
        <w:spacing w:before="120" w:line="480" w:lineRule="auto"/>
        <w:jc w:val="both"/>
        <w:rPr>
          <w:b/>
          <w:bCs/>
          <w:sz w:val="24"/>
          <w:szCs w:val="24"/>
        </w:rPr>
      </w:pPr>
      <w:r w:rsidRPr="002F46EA">
        <w:rPr>
          <w:b/>
          <w:bCs/>
          <w:sz w:val="24"/>
          <w:szCs w:val="24"/>
        </w:rPr>
        <w:t>Supplementary</w:t>
      </w:r>
      <w:r w:rsidRPr="002771FA">
        <w:rPr>
          <w:b/>
          <w:bCs/>
          <w:sz w:val="24"/>
          <w:szCs w:val="24"/>
        </w:rPr>
        <w:t xml:space="preserve"> Table 2. Antibodies for western blotting and immunohistochemistry</w:t>
      </w:r>
      <w:r>
        <w:rPr>
          <w:b/>
          <w:bCs/>
          <w:sz w:val="24"/>
          <w:szCs w:val="24"/>
        </w:rPr>
        <w:t>.</w:t>
      </w:r>
    </w:p>
    <w:p w14:paraId="3397F039" w14:textId="77777777" w:rsidR="002D57CC" w:rsidRPr="002771FA" w:rsidRDefault="002D57CC" w:rsidP="002D57CC">
      <w:pPr>
        <w:autoSpaceDE w:val="0"/>
        <w:autoSpaceDN w:val="0"/>
        <w:adjustRightInd w:val="0"/>
        <w:spacing w:before="120" w:line="480" w:lineRule="auto"/>
        <w:jc w:val="both"/>
        <w:rPr>
          <w:b/>
          <w:bCs/>
          <w:sz w:val="24"/>
          <w:szCs w:val="24"/>
        </w:rPr>
      </w:pPr>
      <w:r w:rsidRPr="002771FA">
        <w:rPr>
          <w:b/>
          <w:bCs/>
          <w:sz w:val="24"/>
          <w:szCs w:val="24"/>
        </w:rPr>
        <w:t>Supplementary Table 3: Oligonucleotide sequences</w:t>
      </w:r>
    </w:p>
    <w:p w14:paraId="7454431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7CC"/>
    <w:rsid w:val="002D57CC"/>
    <w:rsid w:val="004A28DE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39474"/>
  <w15:chartTrackingRefBased/>
  <w15:docId w15:val="{55A72396-B345-47B3-89A5-C3943F865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57CC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4A28DE"/>
    <w:pPr>
      <w:spacing w:before="120"/>
      <w:ind w:firstLine="720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409</Words>
  <Characters>2336</Characters>
  <Application>Microsoft Office Word</Application>
  <DocSecurity>0</DocSecurity>
  <Lines>19</Lines>
  <Paragraphs>5</Paragraphs>
  <ScaleCrop>false</ScaleCrop>
  <Company>Springer Nature</Company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2024-01-19T07:46:00Z</dcterms:created>
  <dcterms:modified xsi:type="dcterms:W3CDTF">2024-01-19T07:48:00Z</dcterms:modified>
</cp:coreProperties>
</file>