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C9F71" w14:textId="77777777" w:rsidR="0004636F" w:rsidRDefault="0004636F" w:rsidP="0004636F">
      <w:pPr>
        <w:rPr>
          <w:rFonts w:ascii="Arial" w:hAnsi="Arial" w:cs="Arial"/>
          <w:b/>
          <w:bCs/>
        </w:rPr>
      </w:pPr>
      <w:r w:rsidRPr="00963F42">
        <w:rPr>
          <w:rFonts w:ascii="Arial" w:hAnsi="Arial" w:cs="Arial"/>
          <w:b/>
          <w:bCs/>
        </w:rPr>
        <w:t>Supplementary Information</w:t>
      </w:r>
    </w:p>
    <w:p w14:paraId="0F4D921D" w14:textId="77777777" w:rsidR="0004636F" w:rsidRPr="00D17AEB" w:rsidRDefault="0004636F" w:rsidP="0004636F">
      <w:pPr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1AA052B" wp14:editId="7294F1AC">
            <wp:simplePos x="0" y="0"/>
            <wp:positionH relativeFrom="column">
              <wp:posOffset>-41910</wp:posOffset>
            </wp:positionH>
            <wp:positionV relativeFrom="paragraph">
              <wp:posOffset>264160</wp:posOffset>
            </wp:positionV>
            <wp:extent cx="6035040" cy="3248347"/>
            <wp:effectExtent l="0" t="0" r="0" b="3175"/>
            <wp:wrapTight wrapText="bothSides">
              <wp:wrapPolygon edited="0">
                <wp:start x="0" y="0"/>
                <wp:lineTo x="0" y="21537"/>
                <wp:lineTo x="21545" y="21537"/>
                <wp:lineTo x="21545" y="0"/>
                <wp:lineTo x="0" y="0"/>
              </wp:wrapPolygon>
            </wp:wrapTight>
            <wp:docPr id="2000859176" name="Picture 3" descr="A diagram of a drug c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59176" name="Picture 3" descr="A diagram of a drug cur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24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AEB">
        <w:rPr>
          <w:rFonts w:ascii="Arial" w:hAnsi="Arial" w:cs="Arial"/>
          <w:b/>
          <w:bCs/>
          <w:sz w:val="20"/>
          <w:szCs w:val="20"/>
        </w:rPr>
        <w:t>Supp</w:t>
      </w:r>
      <w:r>
        <w:rPr>
          <w:rFonts w:ascii="Arial" w:hAnsi="Arial" w:cs="Arial"/>
          <w:b/>
          <w:bCs/>
          <w:sz w:val="20"/>
          <w:szCs w:val="20"/>
        </w:rPr>
        <w:t>lementary</w:t>
      </w:r>
      <w:r w:rsidRPr="00D17AEB">
        <w:rPr>
          <w:rFonts w:ascii="Arial" w:hAnsi="Arial" w:cs="Arial"/>
          <w:b/>
          <w:bCs/>
          <w:sz w:val="20"/>
          <w:szCs w:val="20"/>
        </w:rPr>
        <w:t xml:space="preserve"> Figure 1. Study design. </w:t>
      </w:r>
      <w:r w:rsidRPr="00D17AEB">
        <w:rPr>
          <w:rFonts w:ascii="Arial" w:hAnsi="Arial" w:cs="Arial"/>
          <w:sz w:val="20"/>
          <w:szCs w:val="20"/>
        </w:rPr>
        <w:t xml:space="preserve">The period of daily observations and blood collection for thin blood smears and </w:t>
      </w:r>
      <w:r w:rsidRPr="00D17AEB">
        <w:rPr>
          <w:rFonts w:ascii="Arial" w:hAnsi="Arial" w:cs="Arial"/>
          <w:i/>
          <w:iCs/>
          <w:sz w:val="20"/>
          <w:szCs w:val="20"/>
        </w:rPr>
        <w:t>Plasmodium</w:t>
      </w:r>
      <w:r w:rsidRPr="00D17AEB">
        <w:rPr>
          <w:rFonts w:ascii="Arial" w:hAnsi="Arial" w:cs="Arial"/>
          <w:sz w:val="20"/>
          <w:szCs w:val="20"/>
        </w:rPr>
        <w:t xml:space="preserve"> 18S rRNA RT-PCR are indicated by bars beneath the study timeline. For cohort </w:t>
      </w:r>
      <w:r>
        <w:rPr>
          <w:rFonts w:ascii="Arial" w:hAnsi="Arial" w:cs="Arial"/>
          <w:sz w:val="20"/>
          <w:szCs w:val="20"/>
        </w:rPr>
        <w:t>2</w:t>
      </w:r>
      <w:r w:rsidRPr="00D17AEB">
        <w:rPr>
          <w:rFonts w:ascii="Arial" w:hAnsi="Arial" w:cs="Arial"/>
          <w:sz w:val="20"/>
          <w:szCs w:val="20"/>
        </w:rPr>
        <w:t xml:space="preserve">, the schedule for sedated blood draws and procedures </w:t>
      </w:r>
      <w:r>
        <w:rPr>
          <w:rFonts w:ascii="Arial" w:hAnsi="Arial" w:cs="Arial"/>
          <w:sz w:val="20"/>
          <w:szCs w:val="20"/>
        </w:rPr>
        <w:t>are</w:t>
      </w:r>
      <w:r w:rsidRPr="00D17AEB">
        <w:rPr>
          <w:rFonts w:ascii="Arial" w:hAnsi="Arial" w:cs="Arial"/>
          <w:sz w:val="20"/>
          <w:szCs w:val="20"/>
        </w:rPr>
        <w:t xml:space="preserve"> indicated by crosses beneath the study timeline. Animals in cohort</w:t>
      </w:r>
      <w:r>
        <w:rPr>
          <w:rFonts w:ascii="Arial" w:hAnsi="Arial" w:cs="Arial"/>
          <w:sz w:val="20"/>
          <w:szCs w:val="20"/>
        </w:rPr>
        <w:t xml:space="preserve"> 2</w:t>
      </w:r>
      <w:r w:rsidRPr="00D17AEB">
        <w:rPr>
          <w:rFonts w:ascii="Arial" w:hAnsi="Arial" w:cs="Arial"/>
          <w:sz w:val="20"/>
          <w:szCs w:val="20"/>
        </w:rPr>
        <w:t xml:space="preserve"> were rested for approximately two-months between the first and second PkSPZ challenge. Th</w:t>
      </w:r>
      <w:r>
        <w:rPr>
          <w:rFonts w:ascii="Arial" w:hAnsi="Arial" w:cs="Arial"/>
          <w:sz w:val="20"/>
          <w:szCs w:val="20"/>
        </w:rPr>
        <w:t>e</w:t>
      </w:r>
      <w:r w:rsidRPr="00D17AEB">
        <w:rPr>
          <w:rFonts w:ascii="Arial" w:hAnsi="Arial" w:cs="Arial"/>
          <w:sz w:val="20"/>
          <w:szCs w:val="20"/>
        </w:rPr>
        <w:t xml:space="preserve"> rest is indicated by</w:t>
      </w:r>
      <w:r>
        <w:rPr>
          <w:rFonts w:ascii="Arial" w:hAnsi="Arial" w:cs="Arial"/>
          <w:sz w:val="20"/>
          <w:szCs w:val="20"/>
        </w:rPr>
        <w:t xml:space="preserve"> a</w:t>
      </w:r>
      <w:r w:rsidRPr="00D17AEB">
        <w:rPr>
          <w:rFonts w:ascii="Arial" w:hAnsi="Arial" w:cs="Arial"/>
          <w:sz w:val="20"/>
          <w:szCs w:val="20"/>
        </w:rPr>
        <w:t xml:space="preserve"> double slash in the timeline. Abbreviations: PkSPZ; </w:t>
      </w:r>
      <w:r w:rsidRPr="00D17AEB">
        <w:rPr>
          <w:rFonts w:ascii="Arial" w:hAnsi="Arial" w:cs="Arial"/>
          <w:i/>
          <w:iCs/>
          <w:sz w:val="20"/>
          <w:szCs w:val="20"/>
        </w:rPr>
        <w:t xml:space="preserve">Plasmodium knowlesi </w:t>
      </w:r>
      <w:r w:rsidRPr="00D17AEB">
        <w:rPr>
          <w:rFonts w:ascii="Arial" w:hAnsi="Arial" w:cs="Arial"/>
          <w:sz w:val="20"/>
          <w:szCs w:val="20"/>
        </w:rPr>
        <w:t>sporozoites; p.i</w:t>
      </w:r>
      <w:r>
        <w:rPr>
          <w:rFonts w:ascii="Arial" w:hAnsi="Arial" w:cs="Arial"/>
          <w:sz w:val="20"/>
          <w:szCs w:val="20"/>
        </w:rPr>
        <w:t>.</w:t>
      </w:r>
      <w:r w:rsidRPr="00D17AEB">
        <w:rPr>
          <w:rFonts w:ascii="Arial" w:hAnsi="Arial" w:cs="Arial"/>
          <w:sz w:val="20"/>
          <w:szCs w:val="20"/>
        </w:rPr>
        <w:t xml:space="preserve">, post-infection. </w:t>
      </w:r>
    </w:p>
    <w:p w14:paraId="2DEB1F27" w14:textId="77777777" w:rsidR="0004636F" w:rsidRPr="00693ECE" w:rsidRDefault="0004636F" w:rsidP="000463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016F2FC" w14:textId="77777777" w:rsidR="0004636F" w:rsidRDefault="0004636F" w:rsidP="0004636F">
      <w:pPr>
        <w:rPr>
          <w:rFonts w:ascii="Arial" w:hAnsi="Arial" w:cs="Arial"/>
          <w:b/>
          <w:bCs/>
        </w:rPr>
      </w:pPr>
    </w:p>
    <w:p w14:paraId="7B7482E3" w14:textId="77777777" w:rsidR="0004636F" w:rsidRDefault="0004636F" w:rsidP="0004636F">
      <w:pPr>
        <w:rPr>
          <w:rFonts w:ascii="Arial" w:hAnsi="Arial" w:cs="Arial"/>
          <w:b/>
          <w:bCs/>
        </w:rPr>
      </w:pPr>
      <w:r w:rsidRPr="000D5233">
        <w:rPr>
          <w:rFonts w:ascii="Arial" w:hAnsi="Arial" w:cs="Arial"/>
          <w:b/>
          <w:bCs/>
          <w:noProof/>
        </w:rPr>
        <w:drawing>
          <wp:inline distT="0" distB="0" distL="0" distR="0" wp14:anchorId="57085662" wp14:editId="75E6DF91">
            <wp:extent cx="3657600" cy="2286000"/>
            <wp:effectExtent l="0" t="0" r="0" b="0"/>
            <wp:docPr id="13" name="Picture 13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252B75-E1BD-6DB0-C6F1-8F4359212F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5D252B75-E1BD-6DB0-C6F1-8F4359212F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E3A66" w14:textId="77777777" w:rsidR="0004636F" w:rsidRDefault="0004636F" w:rsidP="0004636F">
      <w:pPr>
        <w:jc w:val="both"/>
        <w:rPr>
          <w:rFonts w:ascii="Arial" w:hAnsi="Arial" w:cs="Arial"/>
          <w:sz w:val="20"/>
          <w:szCs w:val="20"/>
        </w:rPr>
      </w:pPr>
      <w:r w:rsidRPr="00963F42">
        <w:rPr>
          <w:rFonts w:ascii="Arial" w:hAnsi="Arial" w:cs="Arial"/>
          <w:b/>
          <w:bCs/>
          <w:sz w:val="20"/>
          <w:szCs w:val="20"/>
        </w:rPr>
        <w:t>Supp</w:t>
      </w:r>
      <w:r>
        <w:rPr>
          <w:rFonts w:ascii="Arial" w:hAnsi="Arial" w:cs="Arial"/>
          <w:b/>
          <w:bCs/>
          <w:sz w:val="20"/>
          <w:szCs w:val="20"/>
        </w:rPr>
        <w:t>lementary</w:t>
      </w:r>
      <w:r w:rsidRPr="00963F42">
        <w:rPr>
          <w:rFonts w:ascii="Arial" w:hAnsi="Arial" w:cs="Arial"/>
          <w:b/>
          <w:bCs/>
          <w:sz w:val="20"/>
          <w:szCs w:val="20"/>
        </w:rPr>
        <w:t xml:space="preserve"> Figure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963F42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63F42">
        <w:rPr>
          <w:rFonts w:ascii="Arial" w:hAnsi="Arial" w:cs="Arial"/>
          <w:sz w:val="20"/>
          <w:szCs w:val="20"/>
        </w:rPr>
        <w:t>Principal Component (PC) Analysis</w:t>
      </w:r>
      <w:r>
        <w:rPr>
          <w:rFonts w:ascii="Arial" w:hAnsi="Arial" w:cs="Arial"/>
          <w:sz w:val="20"/>
          <w:szCs w:val="20"/>
        </w:rPr>
        <w:t xml:space="preserve"> of whole blood gene expression data. Analysis performed </w:t>
      </w:r>
      <w:r w:rsidRPr="0024720A">
        <w:rPr>
          <w:rFonts w:ascii="Arial" w:hAnsi="Arial" w:cs="Arial"/>
          <w:sz w:val="20"/>
          <w:szCs w:val="20"/>
        </w:rPr>
        <w:t>for the most variably expressed genes (420 genes under an FDR &lt;0.2</w:t>
      </w:r>
      <w:r>
        <w:rPr>
          <w:rFonts w:ascii="Arial" w:hAnsi="Arial" w:cs="Arial"/>
          <w:sz w:val="20"/>
          <w:szCs w:val="20"/>
        </w:rPr>
        <w:t xml:space="preserve"> for at least one comparison</w:t>
      </w:r>
      <w:r w:rsidRPr="0024720A">
        <w:rPr>
          <w:rFonts w:ascii="Arial" w:hAnsi="Arial" w:cs="Arial"/>
          <w:sz w:val="20"/>
          <w:szCs w:val="20"/>
        </w:rPr>
        <w:t>).</w:t>
      </w:r>
    </w:p>
    <w:p w14:paraId="65A31F50" w14:textId="77777777" w:rsidR="0004636F" w:rsidRPr="00963F42" w:rsidRDefault="0004636F" w:rsidP="0004636F">
      <w:pPr>
        <w:jc w:val="both"/>
        <w:rPr>
          <w:rFonts w:ascii="Arial" w:hAnsi="Arial" w:cs="Arial"/>
          <w:sz w:val="20"/>
          <w:szCs w:val="20"/>
        </w:rPr>
      </w:pPr>
    </w:p>
    <w:p w14:paraId="3DF52C1C" w14:textId="77777777" w:rsidR="0004636F" w:rsidRPr="00963F42" w:rsidRDefault="0004636F" w:rsidP="000463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82DBECE" w14:textId="77777777" w:rsidR="002F0F5E" w:rsidRDefault="0004636F"/>
    <w:sectPr w:rsidR="002F0F5E" w:rsidSect="0028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6F"/>
    <w:rsid w:val="0004636F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7F25"/>
  <w15:chartTrackingRefBased/>
  <w15:docId w15:val="{0DE5F9F2-C203-44B3-A271-D7914B1C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684</Characters>
  <Application>Microsoft Office Word</Application>
  <DocSecurity>0</DocSecurity>
  <Lines>5</Lines>
  <Paragraphs>1</Paragraphs>
  <ScaleCrop>false</ScaleCrop>
  <Company>Springer Nature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2023-08-25T08:38:00Z</dcterms:created>
  <dcterms:modified xsi:type="dcterms:W3CDTF">2023-08-25T08:39:00Z</dcterms:modified>
</cp:coreProperties>
</file>