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9B01" w14:textId="77777777" w:rsidR="00320E75" w:rsidRDefault="00320E75" w:rsidP="00320E75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Section:</w:t>
      </w:r>
    </w:p>
    <w:p w14:paraId="34C14A55" w14:textId="77777777" w:rsidR="00320E75" w:rsidRDefault="00320E75" w:rsidP="00320E75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Clinical Efficacy Fine Lines: </w:t>
      </w:r>
    </w:p>
    <w:p w14:paraId="764D77F7" w14:textId="77777777" w:rsidR="00320E75" w:rsidRPr="009A2707" w:rsidRDefault="00320E75" w:rsidP="00320E75">
      <w:pPr>
        <w:pStyle w:val="Heading1"/>
        <w:numPr>
          <w:ilvl w:val="0"/>
          <w:numId w:val="0"/>
        </w:num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Investigator clinical grading of fine lines in the periorbital eye area was performed at baseline, weeks 4, 8 and 12 using the modified Griffiths scale. Mean percent improvement was calculated at week 4, 8, and 12 from baseline. The MTEC statistically significantly improved periorbital fine lines with a progressive increase from week 4 to week 12 </w:t>
      </w:r>
      <w:r w:rsidRPr="009A270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(*** p &lt; 0.001).</w:t>
      </w:r>
      <w:r w:rsidRPr="009A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003DD0" w14:textId="77777777" w:rsidR="00320E75" w:rsidRPr="009A2707" w:rsidRDefault="00320E75" w:rsidP="00320E75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Clinical Efficacy: Sub-analysis </w:t>
      </w:r>
    </w:p>
    <w:p w14:paraId="45500A70" w14:textId="77777777" w:rsidR="00320E75" w:rsidRDefault="00320E75" w:rsidP="00320E75">
      <w:pPr>
        <w:ind w:firstLine="720"/>
        <w:rPr>
          <w:color w:val="000000" w:themeColor="text1"/>
        </w:rPr>
      </w:pPr>
    </w:p>
    <w:p w14:paraId="2AAD352B" w14:textId="77777777" w:rsidR="00320E75" w:rsidRDefault="00320E75" w:rsidP="00320E75">
      <w:pPr>
        <w:ind w:firstLine="720"/>
        <w:rPr>
          <w:color w:val="FF0000"/>
        </w:rPr>
      </w:pPr>
      <w:r w:rsidRPr="009A2707">
        <w:rPr>
          <w:color w:val="000000" w:themeColor="text1"/>
        </w:rPr>
        <w:t xml:space="preserve">Additionally, Pearson’s chi-square test was </w:t>
      </w:r>
      <w:r w:rsidRPr="001F0C15">
        <w:t xml:space="preserve">performed to determine the independence between FSTs and ethnicity, and the effects of the product, which was defined as Severe, No Change, and Improve. A rejection of the null hypothesis of no association indicates that there is sufficient evidence that a trend exists for either FST or ethnicity. Due to multiple tests and the familywise error rate issue, all p values were adjusted using the </w:t>
      </w:r>
      <w:proofErr w:type="spellStart"/>
      <w:r w:rsidRPr="001F0C15">
        <w:t>Benjamini</w:t>
      </w:r>
      <w:proofErr w:type="spellEnd"/>
      <w:r w:rsidRPr="001F0C15">
        <w:t xml:space="preserve">-Hochberg procedure to control for the false discovery rate [4].   </w:t>
      </w:r>
      <w:r w:rsidRPr="001F0C15">
        <w:rPr>
          <w:color w:val="FF0000"/>
        </w:rPr>
        <w:t xml:space="preserve"> </w:t>
      </w:r>
    </w:p>
    <w:p w14:paraId="51DD7B3A" w14:textId="77777777" w:rsidR="00320E75" w:rsidRDefault="00320E75" w:rsidP="00320E75">
      <w:pPr>
        <w:ind w:firstLine="720"/>
        <w:jc w:val="both"/>
      </w:pPr>
    </w:p>
    <w:p w14:paraId="38CD3A49" w14:textId="77777777" w:rsidR="00320E75" w:rsidRPr="001F0C15" w:rsidRDefault="00320E75" w:rsidP="00320E75">
      <w:pPr>
        <w:ind w:firstLine="720"/>
        <w:jc w:val="both"/>
      </w:pPr>
      <w:r w:rsidRPr="001F0C15">
        <w:t>Subjects were divided into FSTs I – III, and IV – V in the FST group and divided into Caucasian, Hispanic, Black, and Asian in the ethnic group</w:t>
      </w:r>
      <w:r>
        <w:t xml:space="preserve"> </w:t>
      </w:r>
      <w:r w:rsidRPr="001F0C15">
        <w:t>(</w:t>
      </w:r>
      <w:r>
        <w:t xml:space="preserve">Sup. </w:t>
      </w:r>
      <w:r w:rsidRPr="001F0C15">
        <w:t>Fig.</w:t>
      </w:r>
      <w:r>
        <w:t xml:space="preserve"> I</w:t>
      </w:r>
      <w:r w:rsidRPr="001F0C15">
        <w:t xml:space="preserve">).  Statistical analysis between </w:t>
      </w:r>
      <w:r>
        <w:t xml:space="preserve">FST and </w:t>
      </w:r>
      <w:r w:rsidRPr="001F0C15">
        <w:t>ethnic groups revealed that the MTEC was equally effective across ethnicities and FSTs I – V.</w:t>
      </w:r>
    </w:p>
    <w:p w14:paraId="3441D0AC" w14:textId="77777777" w:rsidR="00320E75" w:rsidRPr="001F0C15" w:rsidRDefault="00320E75" w:rsidP="00320E75">
      <w:pPr>
        <w:ind w:firstLine="720"/>
        <w:jc w:val="both"/>
      </w:pPr>
    </w:p>
    <w:p w14:paraId="5BEF1B44" w14:textId="77777777" w:rsidR="00320E75" w:rsidRPr="001F0C15" w:rsidRDefault="00320E75" w:rsidP="00320E75">
      <w:pPr>
        <w:ind w:firstLine="720"/>
        <w:jc w:val="both"/>
      </w:pPr>
      <w:r w:rsidRPr="001F0C15">
        <w:t>Under-eye dark circles and under-eye puffiness demonstrated statistically significant improvement in Fitzpatrick I-III and IV-V groups (</w:t>
      </w:r>
      <w:r>
        <w:t xml:space="preserve">Sup. </w:t>
      </w:r>
      <w:r w:rsidRPr="001F0C15">
        <w:t>Fig</w:t>
      </w:r>
      <w:r>
        <w:t>.</w:t>
      </w:r>
      <w:r w:rsidRPr="001F0C15">
        <w:t xml:space="preserve"> </w:t>
      </w:r>
      <w:proofErr w:type="spellStart"/>
      <w:r>
        <w:t>Ia</w:t>
      </w:r>
      <w:proofErr w:type="spellEnd"/>
      <w:r w:rsidRPr="001F0C15">
        <w:t xml:space="preserve">, </w:t>
      </w:r>
      <w:r>
        <w:t>b</w:t>
      </w:r>
      <w:r w:rsidRPr="001F0C15">
        <w:t>).  Subjects with FST I – III demonstrated a 25% median improvement in under-eye dark circles and 16.7% median improvement in under-eye puffiness at week 12, while subjects with FST IV – V demonstrated a 12.5% median improvement in under-eye dark circles and a 20% median improvement in under-eye puffiness at week 12 compared to baseline (</w:t>
      </w:r>
      <w:r>
        <w:t xml:space="preserve">Sup. </w:t>
      </w:r>
      <w:r w:rsidRPr="001F0C15">
        <w:t>Fig</w:t>
      </w:r>
      <w:r>
        <w:t>.</w:t>
      </w:r>
      <w:r w:rsidRPr="001F0C15">
        <w:t xml:space="preserve"> </w:t>
      </w:r>
      <w:r>
        <w:t>I</w:t>
      </w:r>
      <w:r w:rsidRPr="001F0C15">
        <w:t xml:space="preserve">).  </w:t>
      </w:r>
    </w:p>
    <w:p w14:paraId="7EF5F629" w14:textId="77777777" w:rsidR="00320E75" w:rsidRDefault="00320E75" w:rsidP="00320E75">
      <w:pPr>
        <w:ind w:firstLine="720"/>
        <w:jc w:val="both"/>
      </w:pPr>
    </w:p>
    <w:p w14:paraId="3CF189C4" w14:textId="77777777" w:rsidR="00320E75" w:rsidRPr="001F0C15" w:rsidRDefault="00320E75" w:rsidP="00320E75">
      <w:pPr>
        <w:ind w:firstLine="720"/>
        <w:jc w:val="both"/>
      </w:pPr>
      <w:r w:rsidRPr="001F0C15">
        <w:t>Under-eye dark circles was improved in Asian, Hispanic, and Caucasian subjects’</w:t>
      </w:r>
      <w:r>
        <w:t xml:space="preserve"> </w:t>
      </w:r>
      <w:r w:rsidRPr="001F0C15">
        <w:t>(</w:t>
      </w:r>
      <w:r>
        <w:t xml:space="preserve">Sup. </w:t>
      </w:r>
      <w:r w:rsidRPr="001F0C15">
        <w:t>Fig</w:t>
      </w:r>
      <w:r>
        <w:t>.</w:t>
      </w:r>
      <w:r w:rsidRPr="001F0C15">
        <w:t xml:space="preserve"> </w:t>
      </w:r>
      <w:proofErr w:type="spellStart"/>
      <w:r>
        <w:t>Ic</w:t>
      </w:r>
      <w:proofErr w:type="spellEnd"/>
      <w:r w:rsidRPr="001F0C15">
        <w:t xml:space="preserve">). Caucasian subjects saw the highest improvement of 25.0% (median change) denoting MTEC ability to resolve dark circles due micro-vasculature congestion and decreasing hemoglobin accumulation in the surrounding tissue. Under-eye puffiness was improved across Hispanic, Asian, Caucasian, and Black ethnicities at week 12 compared to baseline. Black subjects saw the highest improvement in under-eye puffiness of 29.2% median improvement at week 12 indicating resolution of congested tissue. </w:t>
      </w:r>
    </w:p>
    <w:p w14:paraId="193EFC3F" w14:textId="77777777" w:rsidR="00320E75" w:rsidRPr="001F0C15" w:rsidRDefault="00320E75" w:rsidP="00320E75">
      <w:pPr>
        <w:ind w:firstLine="720"/>
        <w:rPr>
          <w:color w:val="FF0000"/>
        </w:rPr>
      </w:pPr>
    </w:p>
    <w:p w14:paraId="205FC0C6" w14:textId="77777777" w:rsidR="00320E75" w:rsidRPr="00E30253" w:rsidRDefault="00320E75" w:rsidP="00320E7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Pr="00EA6962">
        <w:rPr>
          <w:rFonts w:asciiTheme="majorBidi" w:hAnsiTheme="majorBidi" w:cstheme="majorBidi"/>
          <w:b/>
          <w:bCs/>
        </w:rPr>
        <w:t>Fi</w:t>
      </w:r>
      <w:r>
        <w:rPr>
          <w:rFonts w:asciiTheme="majorBidi" w:hAnsiTheme="majorBidi" w:cstheme="majorBidi"/>
          <w:b/>
          <w:bCs/>
        </w:rPr>
        <w:t>g.</w:t>
      </w:r>
      <w:r w:rsidRPr="00EA6962">
        <w:rPr>
          <w:rFonts w:asciiTheme="majorBidi" w:hAnsiTheme="majorBidi" w:cstheme="majorBidi"/>
          <w:b/>
          <w:bCs/>
        </w:rPr>
        <w:t xml:space="preserve"> </w:t>
      </w:r>
      <w:r w:rsidDel="00E954E6">
        <w:rPr>
          <w:rFonts w:asciiTheme="majorBidi" w:hAnsiTheme="majorBidi" w:cstheme="majorBidi"/>
          <w:b/>
          <w:bCs/>
        </w:rPr>
        <w:t>I</w:t>
      </w:r>
      <w:r w:rsidRPr="00EA6962">
        <w:rPr>
          <w:rFonts w:asciiTheme="majorBidi" w:hAnsiTheme="majorBidi" w:cstheme="majorBidi"/>
          <w:b/>
          <w:bCs/>
        </w:rPr>
        <w:t xml:space="preserve"> </w:t>
      </w:r>
      <w:r w:rsidRPr="00E30253">
        <w:rPr>
          <w:rFonts w:asciiTheme="majorBidi" w:hAnsiTheme="majorBidi" w:cstheme="majorBidi"/>
        </w:rPr>
        <w:t>Median Percent Improvement at Week 12 compared Baseline in a) Under-eye dark circle by Fitzpatrick Skin Type, b) Under-eye dark circle by ethnicity, c) Under-eye puffiness by Fitzpatrick Skin Type, and d) Under-eye puffiness by ethnicity. Statistical significance was achieved at *</w:t>
      </w:r>
      <w:r>
        <w:rPr>
          <w:rFonts w:asciiTheme="majorBidi" w:hAnsiTheme="majorBidi" w:cstheme="majorBidi"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p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&lt;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0.05</w:t>
      </w:r>
      <w:r w:rsidRPr="00E30253">
        <w:rPr>
          <w:rFonts w:asciiTheme="majorBidi" w:hAnsiTheme="majorBidi" w:cstheme="majorBidi"/>
        </w:rPr>
        <w:t>, **</w:t>
      </w:r>
      <w:r>
        <w:rPr>
          <w:rFonts w:asciiTheme="majorBidi" w:hAnsiTheme="majorBidi" w:cstheme="majorBidi"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p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&lt;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0.01, ***p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&lt;</w:t>
      </w:r>
      <w:r>
        <w:rPr>
          <w:rFonts w:asciiTheme="majorBidi" w:hAnsiTheme="majorBidi" w:cstheme="majorBidi"/>
          <w:i/>
          <w:iCs/>
        </w:rPr>
        <w:t xml:space="preserve"> </w:t>
      </w:r>
      <w:r w:rsidRPr="00E30253">
        <w:rPr>
          <w:rFonts w:asciiTheme="majorBidi" w:hAnsiTheme="majorBidi" w:cstheme="majorBidi"/>
          <w:i/>
          <w:iCs/>
        </w:rPr>
        <w:t>0.001</w:t>
      </w:r>
      <w:r>
        <w:rPr>
          <w:rFonts w:asciiTheme="majorBidi" w:hAnsiTheme="majorBidi" w:cstheme="majorBidi"/>
          <w:i/>
          <w:iCs/>
        </w:rPr>
        <w:t>.</w:t>
      </w:r>
    </w:p>
    <w:p w14:paraId="14733523" w14:textId="77777777" w:rsidR="00320E75" w:rsidRPr="00443578" w:rsidRDefault="00320E75" w:rsidP="00320E75">
      <w:pPr>
        <w:jc w:val="both"/>
        <w:rPr>
          <w:rFonts w:asciiTheme="majorBidi" w:hAnsiTheme="majorBidi" w:cstheme="majorBidi"/>
        </w:rPr>
      </w:pPr>
    </w:p>
    <w:p w14:paraId="39DC51AF" w14:textId="77777777" w:rsidR="00320E75" w:rsidRDefault="00320E75"/>
    <w:sectPr w:rsidR="0032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65E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58361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75"/>
    <w:rsid w:val="0032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6F44"/>
  <w15:chartTrackingRefBased/>
  <w15:docId w15:val="{E8968111-E4D2-4CCE-A8AB-B03BE362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E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E75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E75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E75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20E75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E7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E7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E7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E7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E7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E7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20E7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E7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20E75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E7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E7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E75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E7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E7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Iglesia</dc:creator>
  <cp:keywords/>
  <dc:description/>
  <cp:lastModifiedBy>Sofia Iglesia</cp:lastModifiedBy>
  <cp:revision>1</cp:revision>
  <dcterms:created xsi:type="dcterms:W3CDTF">2023-07-27T13:58:00Z</dcterms:created>
  <dcterms:modified xsi:type="dcterms:W3CDTF">2023-07-27T14:00:00Z</dcterms:modified>
</cp:coreProperties>
</file>