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48F3F" w14:textId="35B6FBA7" w:rsidR="006B5A2D" w:rsidRDefault="00000000">
      <w:pPr>
        <w:widowControl w:val="0"/>
        <w:pBdr>
          <w:top w:val="nil"/>
          <w:left w:val="nil"/>
          <w:bottom w:val="nil"/>
          <w:right w:val="nil"/>
          <w:between w:val="nil"/>
        </w:pBdr>
        <w:spacing w:line="276" w:lineRule="auto"/>
        <w:jc w:val="left"/>
      </w:pPr>
      <w:r>
        <w:t>Protocol version 2.0 (</w:t>
      </w:r>
      <w:r w:rsidR="009C5812">
        <w:t xml:space="preserve">15 </w:t>
      </w:r>
      <w:r>
        <w:t>September 2021)</w:t>
      </w:r>
    </w:p>
    <w:p w14:paraId="6D483A5A" w14:textId="77777777" w:rsidR="006B5A2D" w:rsidRDefault="006B5A2D">
      <w:pPr>
        <w:widowControl w:val="0"/>
        <w:pBdr>
          <w:top w:val="nil"/>
          <w:left w:val="nil"/>
          <w:bottom w:val="nil"/>
          <w:right w:val="nil"/>
          <w:between w:val="nil"/>
        </w:pBdr>
        <w:spacing w:line="276" w:lineRule="auto"/>
        <w:jc w:val="left"/>
      </w:pPr>
    </w:p>
    <w:p w14:paraId="06F38011" w14:textId="77777777" w:rsidR="006B5A2D" w:rsidRDefault="00000000">
      <w:pPr>
        <w:spacing w:line="276" w:lineRule="auto"/>
        <w:rPr>
          <w:b/>
          <w:sz w:val="40"/>
          <w:szCs w:val="40"/>
        </w:rPr>
      </w:pPr>
      <w:r>
        <w:rPr>
          <w:b/>
          <w:sz w:val="40"/>
          <w:szCs w:val="40"/>
        </w:rPr>
        <w:t>Can video clips improve patient comprehension at the Emergency Department? Protocol of a Multicenter Randomized Controlled Trial.</w:t>
      </w:r>
    </w:p>
    <w:p w14:paraId="4684B8E8" w14:textId="77777777" w:rsidR="006B5A2D" w:rsidRDefault="006B5A2D">
      <w:pPr>
        <w:widowControl w:val="0"/>
        <w:pBdr>
          <w:top w:val="nil"/>
          <w:left w:val="nil"/>
          <w:bottom w:val="nil"/>
          <w:right w:val="nil"/>
          <w:between w:val="nil"/>
        </w:pBdr>
        <w:spacing w:before="240" w:after="240" w:line="360" w:lineRule="auto"/>
        <w:rPr>
          <w:rFonts w:ascii="Arial" w:eastAsia="Arial" w:hAnsi="Arial" w:cs="Arial"/>
          <w:b/>
          <w:color w:val="000000"/>
          <w:sz w:val="28"/>
        </w:rPr>
      </w:pPr>
    </w:p>
    <w:p w14:paraId="6CB686FA" w14:textId="77777777" w:rsidR="006B5A2D" w:rsidRDefault="00000000">
      <w:pPr>
        <w:widowControl w:val="0"/>
        <w:pBdr>
          <w:top w:val="nil"/>
          <w:left w:val="nil"/>
          <w:bottom w:val="nil"/>
          <w:right w:val="nil"/>
          <w:between w:val="nil"/>
        </w:pBdr>
        <w:spacing w:before="240" w:after="240" w:line="360" w:lineRule="auto"/>
        <w:rPr>
          <w:rFonts w:ascii="Arial" w:eastAsia="Arial" w:hAnsi="Arial" w:cs="Arial"/>
          <w:b/>
          <w:color w:val="000000"/>
          <w:sz w:val="28"/>
        </w:rPr>
      </w:pPr>
      <w:r>
        <w:rPr>
          <w:rFonts w:ascii="Arial" w:eastAsia="Arial" w:hAnsi="Arial" w:cs="Arial"/>
          <w:b/>
          <w:color w:val="000000"/>
          <w:sz w:val="28"/>
        </w:rPr>
        <w:t xml:space="preserve">Name and affiliations of Sub-investigators </w:t>
      </w:r>
    </w:p>
    <w:p w14:paraId="316517D6" w14:textId="77777777" w:rsidR="006B5A2D" w:rsidRDefault="00000000">
      <w:pPr>
        <w:spacing w:line="360" w:lineRule="auto"/>
      </w:pPr>
      <w:r>
        <w:t xml:space="preserve">The definitive list of sub-investigators will be available when patients’ enrolment will be completed. In fact, as patient recruitment proceeds more sub-investigators are supporting the enrolment process. </w:t>
      </w:r>
    </w:p>
    <w:p w14:paraId="0E503FB1" w14:textId="77777777" w:rsidR="006B5A2D" w:rsidRDefault="00000000">
      <w:pPr>
        <w:widowControl w:val="0"/>
        <w:pBdr>
          <w:top w:val="nil"/>
          <w:left w:val="nil"/>
          <w:bottom w:val="nil"/>
          <w:right w:val="nil"/>
          <w:between w:val="nil"/>
        </w:pBdr>
        <w:spacing w:before="240" w:after="240" w:line="360" w:lineRule="auto"/>
        <w:rPr>
          <w:rFonts w:ascii="Arial" w:eastAsia="Arial" w:hAnsi="Arial" w:cs="Arial"/>
          <w:b/>
          <w:color w:val="000000"/>
          <w:sz w:val="28"/>
        </w:rPr>
      </w:pPr>
      <w:r>
        <w:rPr>
          <w:rFonts w:ascii="Arial" w:eastAsia="Arial" w:hAnsi="Arial" w:cs="Arial"/>
          <w:b/>
          <w:color w:val="000000"/>
          <w:sz w:val="28"/>
        </w:rPr>
        <w:t xml:space="preserve">Roles and Responsibilities </w:t>
      </w:r>
    </w:p>
    <w:p w14:paraId="37A81FB3" w14:textId="77777777" w:rsidR="006B5A2D" w:rsidRDefault="00000000">
      <w:pPr>
        <w:widowControl w:val="0"/>
        <w:pBdr>
          <w:top w:val="nil"/>
          <w:left w:val="nil"/>
          <w:bottom w:val="nil"/>
          <w:right w:val="nil"/>
          <w:between w:val="nil"/>
        </w:pBdr>
        <w:spacing w:line="360" w:lineRule="auto"/>
        <w:rPr>
          <w:color w:val="000000"/>
        </w:rPr>
      </w:pPr>
      <w:r>
        <w:rPr>
          <w:color w:val="000000"/>
        </w:rPr>
        <w:t xml:space="preserve">We appointed a 'Principal Investigator' (PI), for each </w:t>
      </w:r>
      <w:proofErr w:type="spellStart"/>
      <w:r>
        <w:rPr>
          <w:color w:val="000000"/>
        </w:rPr>
        <w:t>centre</w:t>
      </w:r>
      <w:proofErr w:type="spellEnd"/>
      <w:r>
        <w:rPr>
          <w:color w:val="000000"/>
        </w:rPr>
        <w:t xml:space="preserve"> involved in the study, and a Clinical Research Coordinator (CRC); they will coordinate the enrolment process at their </w:t>
      </w:r>
      <w:proofErr w:type="spellStart"/>
      <w:r>
        <w:rPr>
          <w:color w:val="000000"/>
        </w:rPr>
        <w:t>centre</w:t>
      </w:r>
      <w:proofErr w:type="spellEnd"/>
      <w:r>
        <w:rPr>
          <w:color w:val="000000"/>
        </w:rPr>
        <w:t xml:space="preserve"> and guarantee the safekeeping of patient’s files (the informed consents obtained and patient’s discharge letters).</w:t>
      </w:r>
    </w:p>
    <w:p w14:paraId="47D4EAEC" w14:textId="77777777" w:rsidR="006B5A2D" w:rsidRDefault="00000000">
      <w:pPr>
        <w:widowControl w:val="0"/>
        <w:pBdr>
          <w:top w:val="nil"/>
          <w:left w:val="nil"/>
          <w:bottom w:val="nil"/>
          <w:right w:val="nil"/>
          <w:between w:val="nil"/>
        </w:pBdr>
        <w:spacing w:line="360" w:lineRule="auto"/>
        <w:rPr>
          <w:color w:val="000000"/>
        </w:rPr>
      </w:pPr>
      <w:r>
        <w:rPr>
          <w:color w:val="000000"/>
        </w:rPr>
        <w:t>The PI of the study in Pavia is IF, whereas the CRC is SDP; the PI of the study in Brescia is MLM whereas GB is the CRC.</w:t>
      </w:r>
    </w:p>
    <w:p w14:paraId="4E4531DB" w14:textId="77777777" w:rsidR="006B5A2D" w:rsidRDefault="00000000">
      <w:pPr>
        <w:widowControl w:val="0"/>
        <w:pBdr>
          <w:top w:val="nil"/>
          <w:left w:val="nil"/>
          <w:bottom w:val="nil"/>
          <w:right w:val="nil"/>
          <w:between w:val="nil"/>
        </w:pBdr>
        <w:spacing w:line="360" w:lineRule="auto"/>
        <w:rPr>
          <w:color w:val="000000"/>
        </w:rPr>
      </w:pPr>
      <w:r>
        <w:rPr>
          <w:color w:val="000000"/>
        </w:rPr>
        <w:t xml:space="preserve">'Sub-investigators' (SI) are consultant and resident physicians working in the Emergency Department (ED), who have accepted to participate </w:t>
      </w:r>
      <w:r>
        <w:t>in the</w:t>
      </w:r>
      <w:r>
        <w:rPr>
          <w:color w:val="000000"/>
        </w:rPr>
        <w:t xml:space="preserve"> study. SIs are responsible for the enrolment and the randomization of patients in the emergency department with the modalities described in the protocol. All patients enrolled in the study group, will be shown by SIs the interventional video related to their medical condition, using SI’s personal device (tablet / smartphone / notebook) or computers in use within the Department. Moreover, SIs oversee collecting and safekeeping patient’s personal data, which are kept in a safe place within their institution agreed with the local PI. </w:t>
      </w:r>
    </w:p>
    <w:p w14:paraId="4F967B65" w14:textId="77777777" w:rsidR="006B5A2D" w:rsidRDefault="00000000">
      <w:pPr>
        <w:widowControl w:val="0"/>
        <w:pBdr>
          <w:top w:val="nil"/>
          <w:left w:val="nil"/>
          <w:bottom w:val="nil"/>
          <w:right w:val="nil"/>
          <w:between w:val="nil"/>
        </w:pBdr>
        <w:spacing w:line="360" w:lineRule="auto"/>
        <w:rPr>
          <w:color w:val="000000"/>
        </w:rPr>
      </w:pPr>
      <w:r>
        <w:rPr>
          <w:color w:val="000000"/>
        </w:rPr>
        <w:t xml:space="preserve">The SIs attend a preliminary training session conducted by PI and CRC in the participating </w:t>
      </w:r>
      <w:proofErr w:type="spellStart"/>
      <w:r>
        <w:rPr>
          <w:color w:val="000000"/>
        </w:rPr>
        <w:t>centres</w:t>
      </w:r>
      <w:proofErr w:type="spellEnd"/>
      <w:r>
        <w:rPr>
          <w:color w:val="000000"/>
        </w:rPr>
        <w:t xml:space="preserve">. Several training sessions have been organized at each </w:t>
      </w:r>
      <w:proofErr w:type="spellStart"/>
      <w:r>
        <w:rPr>
          <w:color w:val="000000"/>
        </w:rPr>
        <w:t>centre</w:t>
      </w:r>
      <w:proofErr w:type="spellEnd"/>
      <w:r>
        <w:rPr>
          <w:color w:val="000000"/>
        </w:rPr>
        <w:t>, to allow all consultants and residents to take part during their time off from clinical duties.</w:t>
      </w:r>
    </w:p>
    <w:p w14:paraId="5B08AD8D" w14:textId="77777777" w:rsidR="006B5A2D" w:rsidRDefault="00000000">
      <w:pPr>
        <w:widowControl w:val="0"/>
        <w:pBdr>
          <w:top w:val="nil"/>
          <w:left w:val="nil"/>
          <w:bottom w:val="nil"/>
          <w:right w:val="nil"/>
          <w:between w:val="nil"/>
        </w:pBdr>
        <w:spacing w:line="360" w:lineRule="auto"/>
        <w:rPr>
          <w:color w:val="000000"/>
        </w:rPr>
      </w:pPr>
      <w:r>
        <w:rPr>
          <w:color w:val="000000"/>
        </w:rPr>
        <w:t xml:space="preserve">The preliminary training is intended to instruct SIs in all aspects of the protocol, including study </w:t>
      </w:r>
      <w:r>
        <w:t>proposals</w:t>
      </w:r>
      <w:r>
        <w:rPr>
          <w:color w:val="000000"/>
        </w:rPr>
        <w:t xml:space="preserve"> to the patients, appropriate use of the videos and sensitive data storage. </w:t>
      </w:r>
    </w:p>
    <w:p w14:paraId="76F6EE95" w14:textId="77777777" w:rsidR="006B5A2D" w:rsidRDefault="00000000">
      <w:pPr>
        <w:widowControl w:val="0"/>
        <w:pBdr>
          <w:top w:val="nil"/>
          <w:left w:val="nil"/>
          <w:bottom w:val="nil"/>
          <w:right w:val="nil"/>
          <w:between w:val="nil"/>
        </w:pBdr>
        <w:spacing w:line="360" w:lineRule="auto"/>
        <w:rPr>
          <w:color w:val="000000"/>
        </w:rPr>
      </w:pPr>
      <w:r>
        <w:rPr>
          <w:color w:val="000000"/>
        </w:rPr>
        <w:t xml:space="preserve">The efficacy of the interventional videos will be assessed through telephone </w:t>
      </w:r>
      <w:r>
        <w:t>interviews that</w:t>
      </w:r>
      <w:r>
        <w:rPr>
          <w:color w:val="000000"/>
        </w:rPr>
        <w:t xml:space="preserve"> are </w:t>
      </w:r>
      <w:r>
        <w:rPr>
          <w:color w:val="000000"/>
        </w:rPr>
        <w:lastRenderedPageBreak/>
        <w:t xml:space="preserve">conducted within 48 hours from patient’s discharge from the ED. </w:t>
      </w:r>
      <w:bookmarkStart w:id="0" w:name="bookmark=id.gjdgxs" w:colFirst="0" w:colLast="0"/>
      <w:bookmarkEnd w:id="0"/>
      <w:r>
        <w:rPr>
          <w:color w:val="000000"/>
        </w:rPr>
        <w:t xml:space="preserve">All telephone interviews are conducted by the PI or the CRC in Pavia. </w:t>
      </w:r>
    </w:p>
    <w:p w14:paraId="7A2BCDB3" w14:textId="77777777" w:rsidR="006B5A2D" w:rsidRDefault="00000000">
      <w:pPr>
        <w:widowControl w:val="0"/>
        <w:pBdr>
          <w:top w:val="nil"/>
          <w:left w:val="nil"/>
          <w:bottom w:val="nil"/>
          <w:right w:val="nil"/>
          <w:between w:val="nil"/>
        </w:pBdr>
        <w:spacing w:line="360" w:lineRule="auto"/>
        <w:rPr>
          <w:color w:val="000000"/>
        </w:rPr>
      </w:pPr>
      <w:r>
        <w:rPr>
          <w:color w:val="000000"/>
        </w:rPr>
        <w:t xml:space="preserve">Before the beginning of the study, the two researchers have defined and standardized the communication strategy to adopt during interviews, paying particular attention not to influence the opinion of the respondents. The exact content of the interview is not shared with SIs, to avoid </w:t>
      </w:r>
      <w:r>
        <w:t>them</w:t>
      </w:r>
      <w:r>
        <w:rPr>
          <w:color w:val="000000"/>
        </w:rPr>
        <w:t xml:space="preserve"> involuntarily </w:t>
      </w:r>
      <w:r>
        <w:t>preparing</w:t>
      </w:r>
      <w:r>
        <w:rPr>
          <w:color w:val="000000"/>
        </w:rPr>
        <w:t xml:space="preserve"> patients for the questions they will be asked during the interview.</w:t>
      </w:r>
    </w:p>
    <w:p w14:paraId="7D7F4ABA" w14:textId="77777777" w:rsidR="006B5A2D" w:rsidRDefault="00000000">
      <w:pPr>
        <w:widowControl w:val="0"/>
        <w:pBdr>
          <w:top w:val="nil"/>
          <w:left w:val="nil"/>
          <w:bottom w:val="nil"/>
          <w:right w:val="nil"/>
          <w:between w:val="nil"/>
        </w:pBdr>
        <w:spacing w:line="360" w:lineRule="auto"/>
        <w:rPr>
          <w:color w:val="000000"/>
        </w:rPr>
      </w:pPr>
      <w:r>
        <w:rPr>
          <w:color w:val="000000"/>
        </w:rPr>
        <w:t>The two interviewers store the recordings of telephone calls onto an institutional computer, where they will be available for the review process.</w:t>
      </w:r>
    </w:p>
    <w:p w14:paraId="1762C7C5" w14:textId="77777777" w:rsidR="006B5A2D" w:rsidRDefault="00000000">
      <w:pPr>
        <w:widowControl w:val="0"/>
        <w:pBdr>
          <w:top w:val="nil"/>
          <w:left w:val="nil"/>
          <w:bottom w:val="nil"/>
          <w:right w:val="nil"/>
          <w:between w:val="nil"/>
        </w:pBdr>
        <w:spacing w:line="360" w:lineRule="auto"/>
        <w:rPr>
          <w:color w:val="000000"/>
        </w:rPr>
      </w:pPr>
      <w:r>
        <w:rPr>
          <w:color w:val="000000"/>
        </w:rPr>
        <w:t xml:space="preserve">Each telephone interview will be reviewed by two independent physicians (FF and FS). Both will process </w:t>
      </w:r>
      <w:r>
        <w:t>all interviews independently</w:t>
      </w:r>
      <w:r>
        <w:rPr>
          <w:color w:val="000000"/>
        </w:rPr>
        <w:t xml:space="preserve">, assigning scores </w:t>
      </w:r>
      <w:r>
        <w:t>to the patient's</w:t>
      </w:r>
      <w:r>
        <w:rPr>
          <w:color w:val="000000"/>
        </w:rPr>
        <w:t xml:space="preserve"> answers based on their level of comprehension. </w:t>
      </w:r>
    </w:p>
    <w:p w14:paraId="43969055" w14:textId="77777777" w:rsidR="006B5A2D" w:rsidRDefault="00000000">
      <w:pPr>
        <w:widowControl w:val="0"/>
        <w:pBdr>
          <w:top w:val="nil"/>
          <w:left w:val="nil"/>
          <w:bottom w:val="nil"/>
          <w:right w:val="nil"/>
          <w:between w:val="nil"/>
        </w:pBdr>
        <w:spacing w:line="360" w:lineRule="auto"/>
        <w:rPr>
          <w:color w:val="000000"/>
        </w:rPr>
      </w:pPr>
      <w:r>
        <w:rPr>
          <w:color w:val="000000"/>
        </w:rPr>
        <w:t xml:space="preserve">Reviewers will report these data on a paper form and then transfer them onto the collection software. </w:t>
      </w:r>
    </w:p>
    <w:p w14:paraId="022BD676" w14:textId="77777777" w:rsidR="006B5A2D" w:rsidRDefault="00000000">
      <w:pPr>
        <w:widowControl w:val="0"/>
        <w:pBdr>
          <w:top w:val="nil"/>
          <w:left w:val="nil"/>
          <w:bottom w:val="nil"/>
          <w:right w:val="nil"/>
          <w:between w:val="nil"/>
        </w:pBdr>
        <w:spacing w:line="360" w:lineRule="auto"/>
        <w:rPr>
          <w:color w:val="000000"/>
        </w:rPr>
      </w:pPr>
      <w:r>
        <w:rPr>
          <w:color w:val="000000"/>
        </w:rPr>
        <w:t>IF and SDP have instructed the reviewers, as well as all other researchers involved in the study.</w:t>
      </w:r>
    </w:p>
    <w:p w14:paraId="66CF2E94" w14:textId="77777777" w:rsidR="006B5A2D" w:rsidRDefault="00000000">
      <w:pPr>
        <w:widowControl w:val="0"/>
        <w:pBdr>
          <w:top w:val="nil"/>
          <w:left w:val="nil"/>
          <w:bottom w:val="nil"/>
          <w:right w:val="nil"/>
          <w:between w:val="nil"/>
        </w:pBdr>
        <w:spacing w:before="240" w:after="240" w:line="360" w:lineRule="auto"/>
        <w:rPr>
          <w:rFonts w:ascii="Arial" w:eastAsia="Arial" w:hAnsi="Arial" w:cs="Arial"/>
          <w:b/>
          <w:color w:val="000000"/>
          <w:sz w:val="32"/>
          <w:szCs w:val="32"/>
        </w:rPr>
      </w:pPr>
      <w:r>
        <w:rPr>
          <w:rFonts w:ascii="Arial" w:eastAsia="Arial" w:hAnsi="Arial" w:cs="Arial"/>
          <w:b/>
          <w:color w:val="000000"/>
          <w:sz w:val="32"/>
          <w:szCs w:val="32"/>
        </w:rPr>
        <w:t>Introduction</w:t>
      </w:r>
    </w:p>
    <w:p w14:paraId="353AC912" w14:textId="77777777" w:rsidR="006B5A2D" w:rsidRDefault="00000000">
      <w:pPr>
        <w:widowControl w:val="0"/>
        <w:pBdr>
          <w:top w:val="nil"/>
          <w:left w:val="nil"/>
          <w:bottom w:val="nil"/>
          <w:right w:val="nil"/>
          <w:between w:val="nil"/>
        </w:pBdr>
        <w:spacing w:before="120" w:after="120" w:line="360" w:lineRule="auto"/>
        <w:rPr>
          <w:rFonts w:ascii="Arial" w:eastAsia="Arial" w:hAnsi="Arial" w:cs="Arial"/>
          <w:b/>
          <w:color w:val="000000"/>
          <w:sz w:val="28"/>
        </w:rPr>
      </w:pPr>
      <w:r>
        <w:rPr>
          <w:rFonts w:ascii="Arial" w:eastAsia="Arial" w:hAnsi="Arial" w:cs="Arial"/>
          <w:b/>
          <w:color w:val="000000"/>
          <w:sz w:val="28"/>
        </w:rPr>
        <w:t>Background and rationale</w:t>
      </w:r>
    </w:p>
    <w:p w14:paraId="2B409833" w14:textId="77777777" w:rsidR="006B5A2D" w:rsidRDefault="00000000">
      <w:pPr>
        <w:spacing w:line="360" w:lineRule="auto"/>
        <w:ind w:right="160"/>
      </w:pPr>
      <w:r>
        <w:t>Despite the remarkable technological progress of modern medicine, communication between patients and doctors is still an issue today. Trying to guarantee a concise, complete and transparent communication of information, possibly appropriate to the educational level of the patient, remains nowadays as in the past, a complex challenge for the clinician.</w:t>
      </w:r>
    </w:p>
    <w:p w14:paraId="681B9C24" w14:textId="23C64653" w:rsidR="000D701A" w:rsidRDefault="00000000">
      <w:pPr>
        <w:spacing w:line="360" w:lineRule="auto"/>
      </w:pPr>
      <w:r>
        <w:t>In the context of Emergency Departments (EDs), this challenge is made even more difficult due to the presence of various factors</w:t>
      </w:r>
      <w:r w:rsidRPr="009E0FF6">
        <w:t xml:space="preserve">: overcrowding, simultaneous management of multiple patients, lack of privacy, noise, </w:t>
      </w:r>
      <w:r w:rsidR="009E0FF6" w:rsidRPr="009E0FF6">
        <w:t>interruptions,</w:t>
      </w:r>
      <w:r w:rsidRPr="009E0FF6">
        <w:t xml:space="preserve"> and time constraints</w:t>
      </w:r>
      <w:r>
        <w:t xml:space="preserve"> [</w:t>
      </w:r>
      <w:r w:rsidR="000D701A">
        <w:rPr>
          <w:sz w:val="28"/>
          <w:vertAlign w:val="superscript"/>
        </w:rPr>
        <w:endnoteReference w:id="1"/>
      </w:r>
      <w:r w:rsidR="000D701A">
        <w:t>,</w:t>
      </w:r>
      <w:r w:rsidR="000D701A">
        <w:rPr>
          <w:sz w:val="28"/>
          <w:vertAlign w:val="superscript"/>
        </w:rPr>
        <w:endnoteReference w:id="2"/>
      </w:r>
      <w:r w:rsidR="000D701A">
        <w:t xml:space="preserve">]. </w:t>
      </w:r>
    </w:p>
    <w:p w14:paraId="0641F317" w14:textId="77777777" w:rsidR="000D701A" w:rsidRDefault="000D701A">
      <w:pPr>
        <w:spacing w:line="360" w:lineRule="auto"/>
        <w:ind w:right="140"/>
      </w:pPr>
      <w:r>
        <w:t>Additional patient-specific elements can further complicate patient-provider communication: cultural differences, language barriers, differences in educational levels and demographics, etc. [</w:t>
      </w:r>
      <w:r>
        <w:rPr>
          <w:sz w:val="28"/>
          <w:vertAlign w:val="superscript"/>
        </w:rPr>
        <w:endnoteReference w:id="3"/>
      </w:r>
      <w:r>
        <w:rPr>
          <w:vertAlign w:val="subscript"/>
        </w:rPr>
        <w:t>,</w:t>
      </w:r>
      <w:r>
        <w:rPr>
          <w:sz w:val="28"/>
          <w:vertAlign w:val="superscript"/>
        </w:rPr>
        <w:endnoteReference w:id="4"/>
      </w:r>
      <w:r>
        <w:t>].</w:t>
      </w:r>
    </w:p>
    <w:p w14:paraId="2B175CF3" w14:textId="77777777" w:rsidR="000D701A" w:rsidRDefault="000D701A">
      <w:pPr>
        <w:spacing w:line="360" w:lineRule="auto"/>
        <w:ind w:right="20"/>
      </w:pPr>
      <w:r>
        <w:rPr>
          <w:sz w:val="23"/>
          <w:szCs w:val="23"/>
        </w:rPr>
        <w:t>Furthermore, both medical school and higher specialty training in Emergency Medicine currently dedicate little time to the development of communication skills: however, these techniques can be learned by doctors along with technical skills, which are usually prioritized in the educational curricula of trainees</w:t>
      </w:r>
      <w:r>
        <w:t xml:space="preserve"> [</w:t>
      </w:r>
      <w:r>
        <w:rPr>
          <w:sz w:val="28"/>
          <w:vertAlign w:val="superscript"/>
        </w:rPr>
        <w:endnoteReference w:id="5"/>
      </w:r>
      <w:r>
        <w:t>] [</w:t>
      </w:r>
      <w:r>
        <w:rPr>
          <w:vertAlign w:val="subscript"/>
        </w:rPr>
        <w:t>1,</w:t>
      </w:r>
      <w:r>
        <w:rPr>
          <w:sz w:val="28"/>
          <w:vertAlign w:val="superscript"/>
        </w:rPr>
        <w:endnoteReference w:id="6"/>
      </w:r>
      <w:r>
        <w:t xml:space="preserve">]. </w:t>
      </w:r>
    </w:p>
    <w:p w14:paraId="3A559478" w14:textId="77777777" w:rsidR="000D701A" w:rsidRDefault="000D701A">
      <w:pPr>
        <w:spacing w:line="360" w:lineRule="auto"/>
      </w:pPr>
      <w:r>
        <w:lastRenderedPageBreak/>
        <w:t>A task force of the 'Society for Academic Emergency Medicine' has identified five essential elements in patient-provider communication in the Emergency Department: establishing rapport, providing information, providing comfort, creating a collaborative relationship and gather information [</w:t>
      </w:r>
      <w:r>
        <w:rPr>
          <w:sz w:val="28"/>
          <w:vertAlign w:val="superscript"/>
        </w:rPr>
        <w:endnoteReference w:id="7"/>
      </w:r>
      <w:r>
        <w:t>].</w:t>
      </w:r>
    </w:p>
    <w:p w14:paraId="002D904C" w14:textId="5EA29E99" w:rsidR="000D701A" w:rsidRDefault="000D701A">
      <w:pPr>
        <w:spacing w:line="360" w:lineRule="auto"/>
        <w:ind w:right="220"/>
      </w:pPr>
      <w:r>
        <w:t>Current literature on this subject shows that doctors’ explanations at discharge are often deficient in one or more of the aforementioned areas [</w:t>
      </w:r>
      <w:r>
        <w:rPr>
          <w:sz w:val="28"/>
          <w:vertAlign w:val="superscript"/>
        </w:rPr>
        <w:endnoteReference w:id="8"/>
      </w:r>
      <w:r>
        <w:t>,</w:t>
      </w:r>
      <w:r>
        <w:rPr>
          <w:sz w:val="28"/>
          <w:vertAlign w:val="superscript"/>
        </w:rPr>
        <w:endnoteReference w:id="9"/>
      </w:r>
      <w:r>
        <w:t xml:space="preserve">]. </w:t>
      </w:r>
      <w:r w:rsidRPr="009E0FF6">
        <w:t>In one study, the average duration of doctors’ explanation of discharge instruction was 76 seconds, due to overcrowding and time constraints [</w:t>
      </w:r>
      <w:r w:rsidRPr="009E0FF6">
        <w:rPr>
          <w:vertAlign w:val="subscript"/>
        </w:rPr>
        <w:t>8</w:t>
      </w:r>
      <w:r w:rsidRPr="009E0FF6">
        <w:t xml:space="preserve">]. Other studies have shown that ED-patients’ comprehension often shows deficiencies across several domains, such as diagnosis </w:t>
      </w:r>
      <w:r w:rsidR="009E0FF6" w:rsidRPr="009E0FF6">
        <w:t>and its</w:t>
      </w:r>
      <w:r w:rsidRPr="009E0FF6">
        <w:t xml:space="preserve"> causes, ED care, post-ED care, return instructions, etc.[</w:t>
      </w:r>
      <w:r w:rsidRPr="009E0FF6">
        <w:rPr>
          <w:sz w:val="28"/>
          <w:vertAlign w:val="superscript"/>
        </w:rPr>
        <w:endnoteReference w:id="10"/>
      </w:r>
      <w:r w:rsidRPr="009E0FF6">
        <w:t>-</w:t>
      </w:r>
      <w:r w:rsidRPr="009E0FF6">
        <w:rPr>
          <w:sz w:val="28"/>
          <w:vertAlign w:val="superscript"/>
        </w:rPr>
        <w:endnoteReference w:id="11"/>
      </w:r>
      <w:r w:rsidRPr="009E0FF6">
        <w:t xml:space="preserve">]. </w:t>
      </w:r>
      <w:r w:rsidRPr="009E0FF6">
        <w:rPr>
          <w:color w:val="000000"/>
        </w:rPr>
        <w:t>Comprehension is the major predictor of compliance with discharge instructions [</w:t>
      </w:r>
      <w:r w:rsidRPr="009E0FF6">
        <w:rPr>
          <w:color w:val="000000"/>
          <w:vertAlign w:val="superscript"/>
        </w:rPr>
        <w:endnoteReference w:id="12"/>
      </w:r>
      <w:r w:rsidRPr="009E0FF6">
        <w:rPr>
          <w:color w:val="000000"/>
        </w:rPr>
        <w:t xml:space="preserve">], </w:t>
      </w:r>
      <w:r>
        <w:rPr>
          <w:color w:val="000000"/>
          <w:highlight w:val="white"/>
        </w:rPr>
        <w:t>and compliance with discharge instructions has been associated with better patient outcomes [</w:t>
      </w:r>
      <w:r>
        <w:rPr>
          <w:color w:val="000000"/>
          <w:highlight w:val="white"/>
          <w:vertAlign w:val="superscript"/>
        </w:rPr>
        <w:endnoteReference w:id="13"/>
      </w:r>
      <w:r>
        <w:rPr>
          <w:color w:val="000000"/>
          <w:highlight w:val="white"/>
          <w:vertAlign w:val="subscript"/>
        </w:rPr>
        <w:t>,</w:t>
      </w:r>
      <w:r>
        <w:rPr>
          <w:color w:val="000000"/>
          <w:highlight w:val="white"/>
          <w:vertAlign w:val="superscript"/>
        </w:rPr>
        <w:endnoteReference w:id="14"/>
      </w:r>
      <w:r>
        <w:rPr>
          <w:color w:val="000000"/>
          <w:highlight w:val="white"/>
        </w:rPr>
        <w:t>].</w:t>
      </w:r>
    </w:p>
    <w:p w14:paraId="6F0558C5" w14:textId="77777777" w:rsidR="000D701A" w:rsidRDefault="000D701A">
      <w:pPr>
        <w:spacing w:line="360" w:lineRule="auto"/>
      </w:pPr>
      <w:r>
        <w:t xml:space="preserve">All this evidence highlights the need for effective interventions aimed at improving communication in emergency departments. </w:t>
      </w:r>
    </w:p>
    <w:p w14:paraId="3B2B815E" w14:textId="77777777" w:rsidR="000D701A" w:rsidRDefault="000D701A">
      <w:pPr>
        <w:spacing w:line="360" w:lineRule="auto"/>
      </w:pPr>
      <w:r>
        <w:t>A 2012 review on the topic summarizes some of the various solutions described in the current literature such as the standardization of discharge instructions in a diagnose-specific manner and the simplification of their language content [</w:t>
      </w:r>
      <w:r>
        <w:rPr>
          <w:sz w:val="28"/>
          <w:vertAlign w:val="superscript"/>
        </w:rPr>
        <w:endnoteReference w:id="15"/>
      </w:r>
      <w:r>
        <w:t xml:space="preserve">]. </w:t>
      </w:r>
    </w:p>
    <w:p w14:paraId="0F0EC87F" w14:textId="77777777" w:rsidR="006B5A2D" w:rsidRDefault="000D701A">
      <w:pPr>
        <w:spacing w:line="360" w:lineRule="auto"/>
        <w:ind w:right="120"/>
      </w:pPr>
      <w:r w:rsidRPr="009E0FF6">
        <w:t>Graphic illustrations or “comics” have showed benefits in the comprehension of patients in a variety of settings, including the discharge from ED [</w:t>
      </w:r>
      <w:r w:rsidRPr="009E0FF6">
        <w:rPr>
          <w:vertAlign w:val="superscript"/>
        </w:rPr>
        <w:endnoteReference w:id="16"/>
      </w:r>
      <w:r w:rsidRPr="009E0FF6">
        <w:rPr>
          <w:sz w:val="28"/>
          <w:vertAlign w:val="subscript"/>
        </w:rPr>
        <w:t>,</w:t>
      </w:r>
      <w:r w:rsidRPr="009E0FF6">
        <w:rPr>
          <w:sz w:val="28"/>
          <w:vertAlign w:val="superscript"/>
        </w:rPr>
        <w:endnoteReference w:id="17"/>
      </w:r>
      <w:r w:rsidRPr="009E0FF6">
        <w:t>]. Similarly, the use of video clips has been investigated in few studies, both in adult and pediatric EDs, showing promising results [</w:t>
      </w:r>
      <w:r w:rsidRPr="009E0FF6">
        <w:rPr>
          <w:vertAlign w:val="superscript"/>
        </w:rPr>
        <w:endnoteReference w:id="18"/>
      </w:r>
      <w:r w:rsidRPr="009E0FF6">
        <w:rPr>
          <w:vertAlign w:val="subscript"/>
        </w:rPr>
        <w:t>,</w:t>
      </w:r>
      <w:r w:rsidRPr="009E0FF6">
        <w:rPr>
          <w:vertAlign w:val="superscript"/>
        </w:rPr>
        <w:endnoteReference w:id="19"/>
      </w:r>
      <w:r w:rsidRPr="009E0FF6">
        <w:rPr>
          <w:vertAlign w:val="subscript"/>
        </w:rPr>
        <w:t>,</w:t>
      </w:r>
      <w:r w:rsidRPr="009E0FF6">
        <w:rPr>
          <w:vertAlign w:val="superscript"/>
        </w:rPr>
        <w:endnoteReference w:id="20"/>
      </w:r>
      <w:r w:rsidRPr="009E0FF6">
        <w:rPr>
          <w:vertAlign w:val="subscript"/>
        </w:rPr>
        <w:t>,</w:t>
      </w:r>
      <w:r w:rsidRPr="009E0FF6">
        <w:rPr>
          <w:vertAlign w:val="superscript"/>
        </w:rPr>
        <w:endnoteReference w:id="21"/>
      </w:r>
      <w:r w:rsidRPr="009E0FF6">
        <w:t>].</w:t>
      </w:r>
    </w:p>
    <w:p w14:paraId="452E5F57" w14:textId="77777777" w:rsidR="006B5A2D" w:rsidRDefault="006B5A2D">
      <w:pPr>
        <w:spacing w:line="360" w:lineRule="auto"/>
        <w:ind w:right="120"/>
      </w:pPr>
    </w:p>
    <w:p w14:paraId="1F0C7715" w14:textId="77777777" w:rsidR="006B5A2D" w:rsidRDefault="006B5A2D">
      <w:pPr>
        <w:spacing w:line="360" w:lineRule="auto"/>
      </w:pPr>
    </w:p>
    <w:p w14:paraId="3C411860" w14:textId="77777777" w:rsidR="006B5A2D" w:rsidRDefault="00000000">
      <w:pPr>
        <w:widowControl w:val="0"/>
        <w:pBdr>
          <w:top w:val="nil"/>
          <w:left w:val="nil"/>
          <w:bottom w:val="nil"/>
          <w:right w:val="nil"/>
          <w:between w:val="nil"/>
        </w:pBdr>
        <w:spacing w:before="120" w:after="120" w:line="360" w:lineRule="auto"/>
        <w:rPr>
          <w:rFonts w:ascii="Arial" w:eastAsia="Arial" w:hAnsi="Arial" w:cs="Arial"/>
          <w:b/>
          <w:color w:val="000000"/>
          <w:sz w:val="28"/>
        </w:rPr>
      </w:pPr>
      <w:r>
        <w:rPr>
          <w:rFonts w:ascii="Arial" w:eastAsia="Arial" w:hAnsi="Arial" w:cs="Arial"/>
          <w:b/>
          <w:color w:val="000000"/>
          <w:sz w:val="28"/>
        </w:rPr>
        <w:t>Objectives</w:t>
      </w:r>
    </w:p>
    <w:p w14:paraId="2850FA1C" w14:textId="77777777" w:rsidR="006B5A2D" w:rsidRDefault="00000000">
      <w:pPr>
        <w:spacing w:line="360" w:lineRule="auto"/>
      </w:pPr>
      <w:r>
        <w:t>The aim of this study is to assess the utility of two interventional videos, shown to patients discharged from the ED with a diagnosis of atrial fibrillation or deep vein thrombosis. We have focused our attention on these two medical conditions because they share some important features: they are frequently seen in EDs; their main complication (stroke and pulmonary embolism) can cause significant morbidity and mortality; both conditions and their related complications are probably not very intuitive to comprehend for the general population. In fact, the understanding of these conditions implies the knowledge of a number of pathological processes, with which most people are unfamiliar.</w:t>
      </w:r>
    </w:p>
    <w:p w14:paraId="4597D8D7" w14:textId="77777777" w:rsidR="006B5A2D" w:rsidRDefault="006B5A2D">
      <w:pPr>
        <w:spacing w:line="360" w:lineRule="auto"/>
      </w:pPr>
    </w:p>
    <w:p w14:paraId="6D6693AF" w14:textId="77777777" w:rsidR="006B5A2D" w:rsidRDefault="00000000">
      <w:pPr>
        <w:spacing w:line="360" w:lineRule="auto"/>
      </w:pPr>
      <w:r>
        <w:lastRenderedPageBreak/>
        <w:t>The primary hypothesis is that patients enrolled in the study group will show a higher degree of comprehension of their medical condition and its related complications, as compared to the control group. Secondly, we will also analyze any possible effect of the videos on the knowledge of the therapy prescribed, return instructions and patients’ satisfaction with the quality of communication in the ED.</w:t>
      </w:r>
    </w:p>
    <w:p w14:paraId="133C89C7" w14:textId="77777777" w:rsidR="006B5A2D" w:rsidRDefault="00000000">
      <w:pPr>
        <w:spacing w:line="360" w:lineRule="auto"/>
      </w:pPr>
      <w:r>
        <w:t>Eventually, we will examine the association of some factors with the outcomes (age, sex, level of education, atrial fibrillation vs. deep vein thrombosis group).</w:t>
      </w:r>
    </w:p>
    <w:p w14:paraId="147E4BAC" w14:textId="77777777" w:rsidR="006B5A2D" w:rsidRDefault="006B5A2D">
      <w:pPr>
        <w:spacing w:line="360" w:lineRule="auto"/>
      </w:pPr>
    </w:p>
    <w:p w14:paraId="4C29B7B0" w14:textId="77777777" w:rsidR="006B5A2D" w:rsidRDefault="00000000">
      <w:pPr>
        <w:widowControl w:val="0"/>
        <w:pBdr>
          <w:top w:val="nil"/>
          <w:left w:val="nil"/>
          <w:bottom w:val="nil"/>
          <w:right w:val="nil"/>
          <w:between w:val="nil"/>
        </w:pBdr>
        <w:spacing w:before="60" w:after="60" w:line="360" w:lineRule="auto"/>
        <w:rPr>
          <w:rFonts w:ascii="Arial" w:eastAsia="Arial" w:hAnsi="Arial" w:cs="Arial"/>
          <w:b/>
          <w:color w:val="000000"/>
          <w:sz w:val="28"/>
        </w:rPr>
      </w:pPr>
      <w:r>
        <w:rPr>
          <w:rFonts w:ascii="Arial" w:eastAsia="Arial" w:hAnsi="Arial" w:cs="Arial"/>
          <w:b/>
          <w:color w:val="000000"/>
          <w:sz w:val="28"/>
        </w:rPr>
        <w:t>Trial design</w:t>
      </w:r>
    </w:p>
    <w:p w14:paraId="7778A93C" w14:textId="77777777" w:rsidR="006B5A2D" w:rsidRDefault="00000000">
      <w:pPr>
        <w:spacing w:line="360" w:lineRule="auto"/>
      </w:pPr>
      <w:r>
        <w:t>We designed a multicentric, pragmatic, parallel groups trial, with 1:1 randomization, that involves patients discharged from two Emergency Units with a diagnosis of atrial fibrillation (AF) or deep vein thrombosis (DVT).</w:t>
      </w:r>
    </w:p>
    <w:p w14:paraId="6B015BE1" w14:textId="77777777" w:rsidR="006B5A2D" w:rsidRDefault="00000000">
      <w:pPr>
        <w:spacing w:line="360" w:lineRule="auto"/>
      </w:pPr>
      <w:r>
        <w:t>The study aims to demonstrate the superiority of the intervention, assessed with a telephone interview that is conducted within 48 hours from patient’s discharge.</w:t>
      </w:r>
      <w:r>
        <w:br/>
        <w:t>This protocol was developed following the SPIRIT checklist.</w:t>
      </w:r>
    </w:p>
    <w:p w14:paraId="2E2EB4F6" w14:textId="77777777" w:rsidR="006B5A2D" w:rsidRDefault="006B5A2D">
      <w:pPr>
        <w:spacing w:line="360" w:lineRule="auto"/>
      </w:pPr>
    </w:p>
    <w:p w14:paraId="50E0FC56" w14:textId="77777777" w:rsidR="006B5A2D" w:rsidRDefault="006B5A2D">
      <w:pPr>
        <w:spacing w:line="360" w:lineRule="auto"/>
      </w:pPr>
    </w:p>
    <w:p w14:paraId="623D4735" w14:textId="77777777" w:rsidR="006B5A2D" w:rsidRDefault="006B5A2D">
      <w:pPr>
        <w:spacing w:line="360" w:lineRule="auto"/>
      </w:pPr>
    </w:p>
    <w:p w14:paraId="63E19F88" w14:textId="77777777" w:rsidR="006B5A2D" w:rsidRDefault="006B5A2D">
      <w:pPr>
        <w:spacing w:line="360" w:lineRule="auto"/>
      </w:pPr>
    </w:p>
    <w:p w14:paraId="61B21818" w14:textId="77777777" w:rsidR="006B5A2D" w:rsidRDefault="00000000">
      <w:pPr>
        <w:widowControl w:val="0"/>
        <w:pBdr>
          <w:top w:val="nil"/>
          <w:left w:val="nil"/>
          <w:bottom w:val="nil"/>
          <w:right w:val="nil"/>
          <w:between w:val="nil"/>
        </w:pBdr>
        <w:spacing w:before="240" w:after="240" w:line="360" w:lineRule="auto"/>
        <w:rPr>
          <w:rFonts w:ascii="Arial" w:eastAsia="Arial" w:hAnsi="Arial" w:cs="Arial"/>
          <w:b/>
          <w:i/>
          <w:color w:val="000000"/>
          <w:sz w:val="28"/>
        </w:rPr>
      </w:pPr>
      <w:r>
        <w:rPr>
          <w:rFonts w:ascii="Arial" w:eastAsia="Arial" w:hAnsi="Arial" w:cs="Arial"/>
          <w:b/>
          <w:color w:val="000000"/>
          <w:sz w:val="28"/>
        </w:rPr>
        <w:t>Methods: Participants, interventions, and outcomes</w:t>
      </w:r>
      <w:r>
        <w:rPr>
          <w:rFonts w:ascii="Arial" w:eastAsia="Arial" w:hAnsi="Arial" w:cs="Arial"/>
          <w:b/>
          <w:i/>
          <w:color w:val="000000"/>
          <w:sz w:val="28"/>
        </w:rPr>
        <w:t xml:space="preserve"> </w:t>
      </w:r>
    </w:p>
    <w:p w14:paraId="08533BF2" w14:textId="77777777" w:rsidR="006B5A2D" w:rsidRDefault="00000000">
      <w:pPr>
        <w:widowControl w:val="0"/>
        <w:pBdr>
          <w:top w:val="nil"/>
          <w:left w:val="nil"/>
          <w:bottom w:val="nil"/>
          <w:right w:val="nil"/>
          <w:between w:val="nil"/>
        </w:pBdr>
        <w:spacing w:before="120" w:after="120" w:line="360" w:lineRule="auto"/>
        <w:rPr>
          <w:rFonts w:ascii="Arial" w:eastAsia="Arial" w:hAnsi="Arial" w:cs="Arial"/>
          <w:b/>
          <w:color w:val="000000"/>
          <w:sz w:val="28"/>
        </w:rPr>
      </w:pPr>
      <w:r>
        <w:rPr>
          <w:rFonts w:ascii="Arial" w:eastAsia="Arial" w:hAnsi="Arial" w:cs="Arial"/>
          <w:b/>
          <w:color w:val="000000"/>
          <w:sz w:val="28"/>
        </w:rPr>
        <w:t>Study setting</w:t>
      </w:r>
    </w:p>
    <w:p w14:paraId="7C2F639D" w14:textId="0F1FE1B4" w:rsidR="006B5A2D" w:rsidRDefault="00000000">
      <w:pPr>
        <w:shd w:val="clear" w:color="auto" w:fill="FFFFFF"/>
        <w:spacing w:line="360" w:lineRule="auto"/>
      </w:pPr>
      <w:r>
        <w:t xml:space="preserve">The trial takes place </w:t>
      </w:r>
      <w:r w:rsidR="00E57A38">
        <w:rPr>
          <w:color w:val="000000"/>
          <w:szCs w:val="24"/>
        </w:rPr>
        <w:t>two Emergency Units, namely the “</w:t>
      </w:r>
      <w:r w:rsidR="00E57A38">
        <w:rPr>
          <w:i/>
          <w:color w:val="000000"/>
          <w:szCs w:val="24"/>
        </w:rPr>
        <w:t xml:space="preserve">S.C. Pronto </w:t>
      </w:r>
      <w:proofErr w:type="spellStart"/>
      <w:r w:rsidR="00E57A38">
        <w:rPr>
          <w:i/>
          <w:color w:val="000000"/>
          <w:szCs w:val="24"/>
        </w:rPr>
        <w:t>Soccorso</w:t>
      </w:r>
      <w:proofErr w:type="spellEnd"/>
      <w:r w:rsidR="00E57A38">
        <w:rPr>
          <w:i/>
          <w:color w:val="000000"/>
          <w:szCs w:val="24"/>
        </w:rPr>
        <w:t xml:space="preserve"> </w:t>
      </w:r>
      <w:proofErr w:type="spellStart"/>
      <w:r w:rsidR="00E57A38">
        <w:rPr>
          <w:i/>
          <w:color w:val="000000"/>
          <w:szCs w:val="24"/>
        </w:rPr>
        <w:t>Accettazione</w:t>
      </w:r>
      <w:proofErr w:type="spellEnd"/>
      <w:r w:rsidR="00E57A38">
        <w:rPr>
          <w:i/>
          <w:color w:val="000000"/>
          <w:szCs w:val="24"/>
        </w:rPr>
        <w:t xml:space="preserve"> of the IRCCS Fondazione </w:t>
      </w:r>
      <w:proofErr w:type="spellStart"/>
      <w:r w:rsidR="00E57A38">
        <w:rPr>
          <w:i/>
          <w:color w:val="000000"/>
          <w:szCs w:val="24"/>
        </w:rPr>
        <w:t>Policlinico</w:t>
      </w:r>
      <w:proofErr w:type="spellEnd"/>
      <w:r w:rsidR="00E57A38">
        <w:rPr>
          <w:color w:val="000000"/>
          <w:szCs w:val="24"/>
        </w:rPr>
        <w:t xml:space="preserve"> </w:t>
      </w:r>
      <w:r w:rsidR="00E57A38">
        <w:rPr>
          <w:i/>
          <w:color w:val="000000"/>
          <w:szCs w:val="24"/>
        </w:rPr>
        <w:t xml:space="preserve">San Matteo” </w:t>
      </w:r>
      <w:r w:rsidR="00E57A38">
        <w:rPr>
          <w:color w:val="000000"/>
          <w:szCs w:val="24"/>
        </w:rPr>
        <w:t>(Pavia, Italy)</w:t>
      </w:r>
      <w:r w:rsidR="00E57A38">
        <w:rPr>
          <w:i/>
          <w:color w:val="000000"/>
          <w:szCs w:val="24"/>
        </w:rPr>
        <w:t xml:space="preserve"> </w:t>
      </w:r>
      <w:r w:rsidR="00E57A38">
        <w:rPr>
          <w:color w:val="000000"/>
          <w:szCs w:val="24"/>
        </w:rPr>
        <w:t>which includes the Emergency Department and its adjacent Short-Stay Unit,</w:t>
      </w:r>
      <w:r w:rsidR="00E57A38">
        <w:rPr>
          <w:i/>
          <w:color w:val="000000"/>
          <w:szCs w:val="24"/>
        </w:rPr>
        <w:t xml:space="preserve"> </w:t>
      </w:r>
      <w:r w:rsidR="00E57A38">
        <w:rPr>
          <w:color w:val="000000"/>
          <w:szCs w:val="24"/>
        </w:rPr>
        <w:t>and the Emergency Unit</w:t>
      </w:r>
      <w:r w:rsidR="00E57A38">
        <w:rPr>
          <w:i/>
          <w:color w:val="000000"/>
          <w:szCs w:val="24"/>
        </w:rPr>
        <w:t xml:space="preserve"> 2° </w:t>
      </w:r>
      <w:proofErr w:type="spellStart"/>
      <w:r w:rsidR="00E57A38">
        <w:rPr>
          <w:i/>
          <w:color w:val="000000"/>
          <w:szCs w:val="24"/>
        </w:rPr>
        <w:t>Medicina</w:t>
      </w:r>
      <w:proofErr w:type="spellEnd"/>
      <w:r w:rsidR="00E57A38">
        <w:rPr>
          <w:i/>
          <w:color w:val="000000"/>
          <w:szCs w:val="24"/>
        </w:rPr>
        <w:t xml:space="preserve"> </w:t>
      </w:r>
      <w:proofErr w:type="spellStart"/>
      <w:r w:rsidR="00E57A38">
        <w:rPr>
          <w:i/>
          <w:color w:val="000000"/>
          <w:szCs w:val="24"/>
        </w:rPr>
        <w:t>Generale</w:t>
      </w:r>
      <w:proofErr w:type="spellEnd"/>
      <w:r w:rsidR="00E57A38">
        <w:rPr>
          <w:i/>
          <w:color w:val="000000"/>
          <w:szCs w:val="24"/>
        </w:rPr>
        <w:t xml:space="preserve">, ASST </w:t>
      </w:r>
      <w:proofErr w:type="spellStart"/>
      <w:r w:rsidR="00E57A38">
        <w:rPr>
          <w:i/>
          <w:color w:val="000000"/>
          <w:szCs w:val="24"/>
        </w:rPr>
        <w:t>Spedali</w:t>
      </w:r>
      <w:proofErr w:type="spellEnd"/>
      <w:r w:rsidR="00E57A38">
        <w:rPr>
          <w:i/>
          <w:color w:val="000000"/>
          <w:szCs w:val="24"/>
        </w:rPr>
        <w:t xml:space="preserve"> </w:t>
      </w:r>
      <w:proofErr w:type="spellStart"/>
      <w:r w:rsidR="00E57A38">
        <w:rPr>
          <w:i/>
          <w:color w:val="000000"/>
          <w:szCs w:val="24"/>
        </w:rPr>
        <w:t>Civili</w:t>
      </w:r>
      <w:proofErr w:type="spellEnd"/>
      <w:r w:rsidR="00E57A38">
        <w:rPr>
          <w:i/>
          <w:color w:val="000000"/>
          <w:szCs w:val="24"/>
        </w:rPr>
        <w:t xml:space="preserve"> di Brescia </w:t>
      </w:r>
      <w:r w:rsidR="00E57A38">
        <w:rPr>
          <w:color w:val="000000"/>
          <w:szCs w:val="24"/>
        </w:rPr>
        <w:t>(Brescia, Italy).</w:t>
      </w:r>
    </w:p>
    <w:p w14:paraId="410D80C9" w14:textId="77777777" w:rsidR="006B5A2D" w:rsidRDefault="00000000">
      <w:pPr>
        <w:shd w:val="clear" w:color="auto" w:fill="FFFFFF"/>
        <w:spacing w:line="360" w:lineRule="auto"/>
      </w:pPr>
      <w:r>
        <w:t xml:space="preserve">Both institutions are tertiary referral hospitals, serving as “Hub” </w:t>
      </w:r>
      <w:proofErr w:type="spellStart"/>
      <w:r>
        <w:t>centres</w:t>
      </w:r>
      <w:proofErr w:type="spellEnd"/>
      <w:r>
        <w:t xml:space="preserve"> for STEMI, Stroke and Trauma patients.</w:t>
      </w:r>
    </w:p>
    <w:p w14:paraId="3E127783" w14:textId="77777777" w:rsidR="006B5A2D" w:rsidRDefault="006B5A2D">
      <w:pPr>
        <w:shd w:val="clear" w:color="auto" w:fill="FFFFFF"/>
        <w:spacing w:line="360" w:lineRule="auto"/>
        <w:rPr>
          <w:rFonts w:ascii="Arial" w:eastAsia="Arial" w:hAnsi="Arial" w:cs="Arial"/>
          <w:sz w:val="19"/>
          <w:szCs w:val="19"/>
        </w:rPr>
      </w:pPr>
    </w:p>
    <w:p w14:paraId="657FA3EB" w14:textId="77777777" w:rsidR="006B5A2D" w:rsidRDefault="00000000">
      <w:pPr>
        <w:widowControl w:val="0"/>
        <w:pBdr>
          <w:top w:val="nil"/>
          <w:left w:val="nil"/>
          <w:bottom w:val="nil"/>
          <w:right w:val="nil"/>
          <w:between w:val="nil"/>
        </w:pBdr>
        <w:spacing w:before="120" w:after="120" w:line="360" w:lineRule="auto"/>
        <w:rPr>
          <w:rFonts w:ascii="Arial" w:eastAsia="Arial" w:hAnsi="Arial" w:cs="Arial"/>
          <w:b/>
          <w:color w:val="000000"/>
          <w:sz w:val="28"/>
        </w:rPr>
      </w:pPr>
      <w:r>
        <w:rPr>
          <w:rFonts w:ascii="Arial" w:eastAsia="Arial" w:hAnsi="Arial" w:cs="Arial"/>
          <w:b/>
          <w:color w:val="000000"/>
          <w:sz w:val="28"/>
        </w:rPr>
        <w:t>Eligibility criteria</w:t>
      </w:r>
    </w:p>
    <w:p w14:paraId="6CC06B93" w14:textId="77777777" w:rsidR="006B5A2D" w:rsidRDefault="00000000">
      <w:pPr>
        <w:spacing w:line="360" w:lineRule="auto"/>
      </w:pPr>
      <w:r>
        <w:lastRenderedPageBreak/>
        <w:t xml:space="preserve">Inclusion criteria are the following: </w:t>
      </w:r>
    </w:p>
    <w:p w14:paraId="2CEBD440" w14:textId="77777777" w:rsidR="006B5A2D" w:rsidRDefault="00000000">
      <w:pPr>
        <w:numPr>
          <w:ilvl w:val="0"/>
          <w:numId w:val="1"/>
        </w:numPr>
        <w:pBdr>
          <w:top w:val="nil"/>
          <w:left w:val="nil"/>
          <w:bottom w:val="nil"/>
          <w:right w:val="nil"/>
          <w:between w:val="nil"/>
        </w:pBdr>
        <w:spacing w:line="360" w:lineRule="auto"/>
      </w:pPr>
      <w:r>
        <w:rPr>
          <w:color w:val="000000"/>
        </w:rPr>
        <w:t xml:space="preserve">Age &gt;18 </w:t>
      </w:r>
    </w:p>
    <w:p w14:paraId="6E3A59D0" w14:textId="45AD972D" w:rsidR="006B5A2D" w:rsidRDefault="00000000">
      <w:pPr>
        <w:numPr>
          <w:ilvl w:val="0"/>
          <w:numId w:val="1"/>
        </w:numPr>
        <w:pBdr>
          <w:top w:val="nil"/>
          <w:left w:val="nil"/>
          <w:bottom w:val="nil"/>
          <w:right w:val="nil"/>
          <w:between w:val="nil"/>
        </w:pBdr>
        <w:spacing w:line="360" w:lineRule="auto"/>
        <w:rPr>
          <w:color w:val="000000"/>
        </w:rPr>
      </w:pPr>
      <w:r>
        <w:rPr>
          <w:color w:val="000000"/>
        </w:rPr>
        <w:t>Being diagnosed with one of the two medical condition</w:t>
      </w:r>
      <w:r w:rsidR="00E57A38">
        <w:rPr>
          <w:color w:val="000000"/>
        </w:rPr>
        <w:t>s</w:t>
      </w:r>
      <w:r>
        <w:rPr>
          <w:color w:val="000000"/>
        </w:rPr>
        <w:t xml:space="preserve"> under study: patients with first-time diagnosis of deep vein thrombosis; patients with first-time diagnosis of atrial fibrillation; patients with second episode in life of atrial fibrillation who have never been prescribed take-home medications for its cure or prevention of recurrence (anticoagulants, antiarrhythmic drugs including beta-blockers)</w:t>
      </w:r>
    </w:p>
    <w:p w14:paraId="4F94741A" w14:textId="77777777" w:rsidR="006B5A2D" w:rsidRDefault="00000000">
      <w:pPr>
        <w:numPr>
          <w:ilvl w:val="0"/>
          <w:numId w:val="1"/>
        </w:numPr>
        <w:pBdr>
          <w:top w:val="nil"/>
          <w:left w:val="nil"/>
          <w:bottom w:val="nil"/>
          <w:right w:val="nil"/>
          <w:between w:val="nil"/>
        </w:pBdr>
        <w:spacing w:line="360" w:lineRule="auto"/>
        <w:rPr>
          <w:color w:val="000000"/>
        </w:rPr>
      </w:pPr>
      <w:r>
        <w:rPr>
          <w:color w:val="000000"/>
        </w:rPr>
        <w:t>Being discharged home directly from the Emergency Department/Emergency Unit</w:t>
      </w:r>
    </w:p>
    <w:p w14:paraId="0D36E6E2" w14:textId="77777777" w:rsidR="006B5A2D" w:rsidRDefault="00000000">
      <w:pPr>
        <w:numPr>
          <w:ilvl w:val="0"/>
          <w:numId w:val="1"/>
        </w:numPr>
        <w:pBdr>
          <w:top w:val="nil"/>
          <w:left w:val="nil"/>
          <w:bottom w:val="nil"/>
          <w:right w:val="nil"/>
          <w:between w:val="nil"/>
        </w:pBdr>
        <w:spacing w:line="360" w:lineRule="auto"/>
        <w:rPr>
          <w:color w:val="000000"/>
        </w:rPr>
      </w:pPr>
      <w:r>
        <w:rPr>
          <w:color w:val="000000"/>
        </w:rPr>
        <w:t>Capacity of the patient to understand the explanations and instructions provided by the doctor (this includes excellent command of the Italian language)</w:t>
      </w:r>
    </w:p>
    <w:p w14:paraId="0E4432FD" w14:textId="77777777" w:rsidR="006B5A2D" w:rsidRDefault="00000000">
      <w:pPr>
        <w:numPr>
          <w:ilvl w:val="0"/>
          <w:numId w:val="1"/>
        </w:numPr>
        <w:pBdr>
          <w:top w:val="nil"/>
          <w:left w:val="nil"/>
          <w:bottom w:val="nil"/>
          <w:right w:val="nil"/>
          <w:between w:val="nil"/>
        </w:pBdr>
        <w:spacing w:line="360" w:lineRule="auto"/>
        <w:rPr>
          <w:color w:val="000000"/>
        </w:rPr>
      </w:pPr>
      <w:r>
        <w:rPr>
          <w:color w:val="000000"/>
        </w:rPr>
        <w:t xml:space="preserve">Having provided a valid phone number </w:t>
      </w:r>
    </w:p>
    <w:p w14:paraId="6964C0F1" w14:textId="77777777" w:rsidR="006B5A2D" w:rsidRDefault="00000000">
      <w:pPr>
        <w:numPr>
          <w:ilvl w:val="0"/>
          <w:numId w:val="1"/>
        </w:numPr>
        <w:pBdr>
          <w:top w:val="nil"/>
          <w:left w:val="nil"/>
          <w:bottom w:val="nil"/>
          <w:right w:val="nil"/>
          <w:between w:val="nil"/>
        </w:pBdr>
        <w:spacing w:line="360" w:lineRule="auto"/>
        <w:rPr>
          <w:color w:val="000000"/>
        </w:rPr>
      </w:pPr>
      <w:r>
        <w:rPr>
          <w:color w:val="000000"/>
        </w:rPr>
        <w:t>Having signed the informed consent</w:t>
      </w:r>
    </w:p>
    <w:p w14:paraId="594ABDC2" w14:textId="77777777" w:rsidR="006B5A2D" w:rsidRDefault="006B5A2D">
      <w:pPr>
        <w:spacing w:line="360" w:lineRule="auto"/>
      </w:pPr>
    </w:p>
    <w:p w14:paraId="235E9E02" w14:textId="77777777" w:rsidR="006B5A2D" w:rsidRDefault="00000000">
      <w:pPr>
        <w:spacing w:line="360" w:lineRule="auto"/>
      </w:pPr>
      <w:r>
        <w:t xml:space="preserve">In case of patients lacking capacity, and in all cases of patients judged by the recruiting doctor as incapable to safely receive the discharge instructions, the caregiver will be enrolled to the study with identical modalities. </w:t>
      </w:r>
    </w:p>
    <w:p w14:paraId="7FE08718" w14:textId="77777777" w:rsidR="006B5A2D" w:rsidRDefault="00000000">
      <w:pPr>
        <w:spacing w:line="360" w:lineRule="auto"/>
      </w:pPr>
      <w:r>
        <w:t xml:space="preserve">In the context of a pragmatic trial, we did not set exclusion criteria in terms of education level and comorbidities of the enrolled patients. </w:t>
      </w:r>
    </w:p>
    <w:p w14:paraId="63AB91C9" w14:textId="77777777" w:rsidR="006B5A2D" w:rsidRDefault="006B5A2D">
      <w:pPr>
        <w:spacing w:line="360" w:lineRule="auto"/>
      </w:pPr>
    </w:p>
    <w:p w14:paraId="4804C5C7" w14:textId="77777777" w:rsidR="006B5A2D" w:rsidRDefault="00000000">
      <w:pPr>
        <w:spacing w:line="360" w:lineRule="auto"/>
      </w:pPr>
      <w:r>
        <w:t>Exclusion criteria:</w:t>
      </w:r>
    </w:p>
    <w:p w14:paraId="7A24437F" w14:textId="77777777" w:rsidR="006B5A2D" w:rsidRDefault="00000000">
      <w:pPr>
        <w:numPr>
          <w:ilvl w:val="0"/>
          <w:numId w:val="2"/>
        </w:numPr>
        <w:pBdr>
          <w:top w:val="nil"/>
          <w:left w:val="nil"/>
          <w:bottom w:val="nil"/>
          <w:right w:val="nil"/>
          <w:between w:val="nil"/>
        </w:pBdr>
        <w:spacing w:line="360" w:lineRule="auto"/>
        <w:rPr>
          <w:color w:val="000000"/>
        </w:rPr>
      </w:pPr>
      <w:r>
        <w:rPr>
          <w:color w:val="000000"/>
        </w:rPr>
        <w:t>Previous diagnosis of deep vein thrombosis</w:t>
      </w:r>
    </w:p>
    <w:p w14:paraId="5C3E6808" w14:textId="77777777" w:rsidR="006B5A2D" w:rsidRDefault="00000000">
      <w:pPr>
        <w:numPr>
          <w:ilvl w:val="0"/>
          <w:numId w:val="1"/>
        </w:numPr>
        <w:pBdr>
          <w:top w:val="nil"/>
          <w:left w:val="nil"/>
          <w:bottom w:val="nil"/>
          <w:right w:val="nil"/>
          <w:between w:val="nil"/>
        </w:pBdr>
        <w:spacing w:line="360" w:lineRule="auto"/>
        <w:rPr>
          <w:color w:val="000000"/>
        </w:rPr>
      </w:pPr>
      <w:r>
        <w:rPr>
          <w:color w:val="000000"/>
        </w:rPr>
        <w:t>Two or more previous episodes of atrial fibrillation; or one previous episode of atrial fibrillation for which the patient has been prescribed one of the following take-home medications: anticoagulants, antiarrhythmic drugs including beta-blockers.</w:t>
      </w:r>
    </w:p>
    <w:p w14:paraId="6129CF59" w14:textId="77777777" w:rsidR="006B5A2D" w:rsidRDefault="00000000">
      <w:pPr>
        <w:numPr>
          <w:ilvl w:val="0"/>
          <w:numId w:val="2"/>
        </w:numPr>
        <w:pBdr>
          <w:top w:val="nil"/>
          <w:left w:val="nil"/>
          <w:bottom w:val="nil"/>
          <w:right w:val="nil"/>
          <w:between w:val="nil"/>
        </w:pBdr>
        <w:spacing w:line="360" w:lineRule="auto"/>
        <w:rPr>
          <w:color w:val="000000"/>
        </w:rPr>
      </w:pPr>
      <w:r>
        <w:rPr>
          <w:color w:val="000000"/>
        </w:rPr>
        <w:t>Being hospitalized</w:t>
      </w:r>
    </w:p>
    <w:p w14:paraId="1C047E5F" w14:textId="77777777" w:rsidR="006B5A2D" w:rsidRDefault="006B5A2D">
      <w:pPr>
        <w:spacing w:line="360" w:lineRule="auto"/>
      </w:pPr>
    </w:p>
    <w:p w14:paraId="7370D1B5" w14:textId="77777777" w:rsidR="006B5A2D" w:rsidRDefault="006B5A2D">
      <w:pPr>
        <w:shd w:val="clear" w:color="auto" w:fill="FFFFFF"/>
        <w:spacing w:line="360" w:lineRule="auto"/>
        <w:rPr>
          <w:rFonts w:ascii="Arial" w:eastAsia="Arial" w:hAnsi="Arial" w:cs="Arial"/>
          <w:sz w:val="19"/>
          <w:szCs w:val="19"/>
        </w:rPr>
      </w:pPr>
    </w:p>
    <w:p w14:paraId="4A2A0CBB" w14:textId="77777777" w:rsidR="006B5A2D" w:rsidRDefault="00000000">
      <w:pPr>
        <w:widowControl w:val="0"/>
        <w:pBdr>
          <w:top w:val="nil"/>
          <w:left w:val="nil"/>
          <w:bottom w:val="nil"/>
          <w:right w:val="nil"/>
          <w:between w:val="nil"/>
        </w:pBdr>
        <w:spacing w:before="120" w:after="120" w:line="360" w:lineRule="auto"/>
        <w:rPr>
          <w:rFonts w:ascii="Arial" w:eastAsia="Arial" w:hAnsi="Arial" w:cs="Arial"/>
          <w:b/>
          <w:color w:val="000000"/>
          <w:sz w:val="28"/>
        </w:rPr>
      </w:pPr>
      <w:r>
        <w:rPr>
          <w:rFonts w:ascii="Arial" w:eastAsia="Arial" w:hAnsi="Arial" w:cs="Arial"/>
          <w:b/>
          <w:color w:val="000000"/>
          <w:sz w:val="28"/>
        </w:rPr>
        <w:t>Interventions</w:t>
      </w:r>
    </w:p>
    <w:p w14:paraId="4A374510" w14:textId="77777777" w:rsidR="006B5A2D" w:rsidRDefault="00000000">
      <w:pPr>
        <w:widowControl w:val="0"/>
        <w:pBdr>
          <w:top w:val="nil"/>
          <w:left w:val="nil"/>
          <w:bottom w:val="nil"/>
          <w:right w:val="nil"/>
          <w:between w:val="nil"/>
        </w:pBdr>
        <w:spacing w:before="60" w:after="60" w:line="360" w:lineRule="auto"/>
        <w:rPr>
          <w:rFonts w:ascii="Arial" w:eastAsia="Arial" w:hAnsi="Arial" w:cs="Arial"/>
          <w:b/>
          <w:i/>
          <w:color w:val="000000"/>
        </w:rPr>
      </w:pPr>
      <w:r>
        <w:rPr>
          <w:rFonts w:ascii="Arial" w:eastAsia="Arial" w:hAnsi="Arial" w:cs="Arial"/>
          <w:b/>
          <w:i/>
          <w:color w:val="000000"/>
        </w:rPr>
        <w:t>Study group</w:t>
      </w:r>
    </w:p>
    <w:p w14:paraId="45615C91" w14:textId="77777777" w:rsidR="006B5A2D" w:rsidRDefault="00000000">
      <w:pPr>
        <w:widowControl w:val="0"/>
        <w:pBdr>
          <w:top w:val="nil"/>
          <w:left w:val="nil"/>
          <w:bottom w:val="nil"/>
          <w:right w:val="nil"/>
          <w:between w:val="nil"/>
        </w:pBdr>
        <w:spacing w:line="360" w:lineRule="auto"/>
        <w:rPr>
          <w:color w:val="000000"/>
        </w:rPr>
      </w:pPr>
      <w:r>
        <w:rPr>
          <w:color w:val="000000"/>
        </w:rPr>
        <w:t xml:space="preserve">All subjects enrolled in the study group are </w:t>
      </w:r>
      <w:r>
        <w:t>shown</w:t>
      </w:r>
      <w:r>
        <w:rPr>
          <w:color w:val="000000"/>
        </w:rPr>
        <w:t xml:space="preserve"> during the discharge process the video related </w:t>
      </w:r>
      <w:r>
        <w:t>to the patient's</w:t>
      </w:r>
      <w:r>
        <w:rPr>
          <w:color w:val="000000"/>
        </w:rPr>
        <w:t xml:space="preserve"> condition (DVT vs AF), using it as a graphic support </w:t>
      </w:r>
      <w:r>
        <w:t>to the doctor's</w:t>
      </w:r>
      <w:r>
        <w:rPr>
          <w:color w:val="000000"/>
        </w:rPr>
        <w:t xml:space="preserve"> verbal explanation </w:t>
      </w:r>
      <w:r>
        <w:rPr>
          <w:color w:val="000000"/>
        </w:rPr>
        <w:lastRenderedPageBreak/>
        <w:t xml:space="preserve">of the diagnosed pathology and its potential main complication. </w:t>
      </w:r>
    </w:p>
    <w:p w14:paraId="4328F3C7" w14:textId="77777777" w:rsidR="006B5A2D" w:rsidRDefault="00000000">
      <w:pPr>
        <w:widowControl w:val="0"/>
        <w:pBdr>
          <w:top w:val="nil"/>
          <w:left w:val="nil"/>
          <w:bottom w:val="nil"/>
          <w:right w:val="nil"/>
          <w:between w:val="nil"/>
        </w:pBdr>
        <w:spacing w:line="360" w:lineRule="auto"/>
        <w:rPr>
          <w:color w:val="000000"/>
        </w:rPr>
      </w:pPr>
      <w:r>
        <w:rPr>
          <w:color w:val="000000"/>
        </w:rPr>
        <w:t>For the purposes of the study we have selected two</w:t>
      </w:r>
      <w:r>
        <w:t xml:space="preserve"> </w:t>
      </w:r>
      <w:r>
        <w:rPr>
          <w:color w:val="000000"/>
        </w:rPr>
        <w:t xml:space="preserve">video clips, available on various internet sites and not covered by any copyright restrictions; these have been modified and shortened to make them suitable to use in our study setting. </w:t>
      </w:r>
    </w:p>
    <w:p w14:paraId="151CEF9D" w14:textId="77777777" w:rsidR="006B5A2D" w:rsidRDefault="00000000">
      <w:pPr>
        <w:widowControl w:val="0"/>
        <w:pBdr>
          <w:top w:val="nil"/>
          <w:left w:val="nil"/>
          <w:bottom w:val="nil"/>
          <w:right w:val="nil"/>
          <w:between w:val="nil"/>
        </w:pBdr>
        <w:spacing w:line="360" w:lineRule="auto"/>
        <w:rPr>
          <w:color w:val="000000"/>
        </w:rPr>
      </w:pPr>
      <w:r>
        <w:rPr>
          <w:color w:val="000000"/>
        </w:rPr>
        <w:t>The clips last between 27 and 45 seconds and show the pathophysiological process underlying the two diseases under study, namely deep vein thrombosis and atrial fibrillation.</w:t>
      </w:r>
    </w:p>
    <w:p w14:paraId="1221171B" w14:textId="03122DF8" w:rsidR="006B5A2D" w:rsidRDefault="00000000">
      <w:pPr>
        <w:widowControl w:val="0"/>
        <w:pBdr>
          <w:top w:val="nil"/>
          <w:left w:val="nil"/>
          <w:bottom w:val="nil"/>
          <w:right w:val="nil"/>
          <w:between w:val="nil"/>
        </w:pBdr>
        <w:spacing w:line="360" w:lineRule="auto"/>
      </w:pPr>
      <w:r>
        <w:rPr>
          <w:color w:val="000000"/>
        </w:rPr>
        <w:t xml:space="preserve">The SIs show the videos to patients on the institutional computer or, alternatively, on their personal smartphone / tablet (in any case in resolutions from 480 pixels to 720 pixels). </w:t>
      </w:r>
      <w:r>
        <w:t xml:space="preserve">The content of these video clips </w:t>
      </w:r>
      <w:r w:rsidR="00AF1A41">
        <w:t>is</w:t>
      </w:r>
      <w:r>
        <w:t xml:space="preserve"> adequate for adults with all levels of education. In addition to that, videos are purposely without audio content, as it is specifically requested that SIs provide explanations and comments according to what is shown on the screen, guiding patients during the vision of the clip. In particular, SIs are asked to structure the explanation as follows: a) describe the relevant anatomical structures and the physiological processes in normal conditions (lower limb veins and venous circulation/heart chambers and normal blood flow between atria and ventricles); b) describe the pathological process that determines formation of a blood clot in the respective anatomical sites (stagnation of blood in proximity of venous valves with formation of a thrombus/ fibrillation of the right atrium, stagnation of blood and formation of a thrombus in the atrium); c) describe the dislocation of the thrombus to reach the target anatomical site (lung/brain); d) describe the complications derived from clot’s dislocation to the target anatomical site (pulmonary embolism/stroke). </w:t>
      </w:r>
      <w:r>
        <w:br/>
        <w:t xml:space="preserve">Although doctors follow the steps described above, which are based on the structure of the videos, we did not aim to standardize the linguistic style of their explanations. As an example, they could use the term “thrombus” or “clot” or any other synonym they believe is suitable for the comprehension of the patient, even recurring to street slang or dialectal forms if deemed appropriate.  </w:t>
      </w:r>
    </w:p>
    <w:p w14:paraId="1A801BB6" w14:textId="77777777" w:rsidR="006B5A2D" w:rsidRDefault="00000000">
      <w:pPr>
        <w:widowControl w:val="0"/>
        <w:spacing w:line="360" w:lineRule="auto"/>
      </w:pPr>
      <w:r>
        <w:t>Doctors can pause and rewind the clip at their discretion or if the patient requests to do so.</w:t>
      </w:r>
    </w:p>
    <w:p w14:paraId="09DFA186" w14:textId="45B7B860" w:rsidR="009E0FF6" w:rsidRDefault="009E0FF6">
      <w:pPr>
        <w:widowControl w:val="0"/>
        <w:spacing w:line="360" w:lineRule="auto"/>
      </w:pPr>
      <w:r>
        <w:t>All patients will receive standard written discharge instructions.</w:t>
      </w:r>
    </w:p>
    <w:p w14:paraId="3FB3D1BC" w14:textId="77777777" w:rsidR="006B5A2D" w:rsidRDefault="006B5A2D">
      <w:pPr>
        <w:widowControl w:val="0"/>
        <w:pBdr>
          <w:top w:val="nil"/>
          <w:left w:val="nil"/>
          <w:bottom w:val="nil"/>
          <w:right w:val="nil"/>
          <w:between w:val="nil"/>
        </w:pBdr>
        <w:spacing w:line="360" w:lineRule="auto"/>
      </w:pPr>
    </w:p>
    <w:p w14:paraId="7081F11C" w14:textId="77777777" w:rsidR="006B5A2D" w:rsidRDefault="00000000">
      <w:pPr>
        <w:widowControl w:val="0"/>
        <w:pBdr>
          <w:top w:val="nil"/>
          <w:left w:val="nil"/>
          <w:bottom w:val="nil"/>
          <w:right w:val="nil"/>
          <w:between w:val="nil"/>
        </w:pBdr>
        <w:spacing w:before="60" w:after="60" w:line="360" w:lineRule="auto"/>
        <w:rPr>
          <w:rFonts w:ascii="Arial" w:eastAsia="Arial" w:hAnsi="Arial" w:cs="Arial"/>
          <w:b/>
          <w:i/>
          <w:color w:val="000000"/>
        </w:rPr>
      </w:pPr>
      <w:r>
        <w:rPr>
          <w:rFonts w:ascii="Arial" w:eastAsia="Arial" w:hAnsi="Arial" w:cs="Arial"/>
          <w:b/>
          <w:i/>
          <w:color w:val="000000"/>
        </w:rPr>
        <w:t>Control group</w:t>
      </w:r>
    </w:p>
    <w:p w14:paraId="440BBAE1" w14:textId="77777777" w:rsidR="006B5A2D" w:rsidRDefault="00000000">
      <w:pPr>
        <w:spacing w:line="360" w:lineRule="auto"/>
      </w:pPr>
      <w:r>
        <w:t>Patients of the control group receive discharge explanations without the aid of any video or graphic support. Following a pragmatic approach, we have asked doctors to express themselves in the way they are used to in their clinical practice, which is based on the doctor's verbal and non-verbal communication skills.</w:t>
      </w:r>
    </w:p>
    <w:p w14:paraId="0C190C9B" w14:textId="77777777" w:rsidR="009E0FF6" w:rsidRDefault="009E0FF6" w:rsidP="009E0FF6">
      <w:pPr>
        <w:widowControl w:val="0"/>
        <w:spacing w:line="360" w:lineRule="auto"/>
      </w:pPr>
      <w:r>
        <w:t>All patients will receive standard written discharge instructions.</w:t>
      </w:r>
    </w:p>
    <w:p w14:paraId="0D5835EA" w14:textId="77777777" w:rsidR="009E0FF6" w:rsidRDefault="009E0FF6">
      <w:pPr>
        <w:spacing w:line="360" w:lineRule="auto"/>
      </w:pPr>
    </w:p>
    <w:p w14:paraId="110D1F62" w14:textId="77777777" w:rsidR="006B5A2D" w:rsidRDefault="006B5A2D">
      <w:pPr>
        <w:shd w:val="clear" w:color="auto" w:fill="FFFFFF"/>
        <w:spacing w:line="360" w:lineRule="auto"/>
        <w:rPr>
          <w:rFonts w:ascii="Arial" w:eastAsia="Arial" w:hAnsi="Arial" w:cs="Arial"/>
          <w:sz w:val="19"/>
          <w:szCs w:val="19"/>
        </w:rPr>
      </w:pPr>
    </w:p>
    <w:p w14:paraId="3F79BDAE" w14:textId="77777777" w:rsidR="006B5A2D" w:rsidRDefault="006B5A2D">
      <w:pPr>
        <w:widowControl w:val="0"/>
        <w:pBdr>
          <w:top w:val="nil"/>
          <w:left w:val="nil"/>
          <w:bottom w:val="nil"/>
          <w:right w:val="nil"/>
          <w:between w:val="nil"/>
        </w:pBdr>
        <w:spacing w:before="60" w:after="60" w:line="360" w:lineRule="auto"/>
        <w:rPr>
          <w:rFonts w:ascii="Arial" w:eastAsia="Arial" w:hAnsi="Arial" w:cs="Arial"/>
          <w:b/>
          <w:i/>
          <w:color w:val="000000"/>
        </w:rPr>
      </w:pPr>
    </w:p>
    <w:p w14:paraId="3C6E9633" w14:textId="77777777" w:rsidR="006B5A2D" w:rsidRDefault="006B5A2D">
      <w:pPr>
        <w:widowControl w:val="0"/>
        <w:pBdr>
          <w:top w:val="nil"/>
          <w:left w:val="nil"/>
          <w:bottom w:val="nil"/>
          <w:right w:val="nil"/>
          <w:between w:val="nil"/>
        </w:pBdr>
        <w:spacing w:before="60" w:after="60" w:line="360" w:lineRule="auto"/>
        <w:rPr>
          <w:rFonts w:ascii="Arial" w:eastAsia="Arial" w:hAnsi="Arial" w:cs="Arial"/>
          <w:b/>
          <w:i/>
          <w:color w:val="000000"/>
        </w:rPr>
      </w:pPr>
    </w:p>
    <w:p w14:paraId="79850222" w14:textId="77777777" w:rsidR="006B5A2D" w:rsidRDefault="00000000">
      <w:pPr>
        <w:widowControl w:val="0"/>
        <w:pBdr>
          <w:top w:val="nil"/>
          <w:left w:val="nil"/>
          <w:bottom w:val="nil"/>
          <w:right w:val="nil"/>
          <w:between w:val="nil"/>
        </w:pBdr>
        <w:spacing w:before="60" w:after="60" w:line="360" w:lineRule="auto"/>
        <w:rPr>
          <w:rFonts w:ascii="Arial" w:eastAsia="Arial" w:hAnsi="Arial" w:cs="Arial"/>
          <w:b/>
          <w:i/>
          <w:color w:val="000000"/>
        </w:rPr>
      </w:pPr>
      <w:r>
        <w:rPr>
          <w:rFonts w:ascii="Arial" w:eastAsia="Arial" w:hAnsi="Arial" w:cs="Arial"/>
          <w:b/>
          <w:i/>
          <w:color w:val="000000"/>
        </w:rPr>
        <w:t xml:space="preserve">Participating medical personnel </w:t>
      </w:r>
    </w:p>
    <w:p w14:paraId="7EAFC9DC" w14:textId="1F3D50F1" w:rsidR="006B5A2D" w:rsidRDefault="00000000">
      <w:pPr>
        <w:spacing w:line="360" w:lineRule="auto"/>
      </w:pPr>
      <w:r>
        <w:t xml:space="preserve">The SIs, </w:t>
      </w:r>
      <w:r w:rsidR="00AF1A41">
        <w:t>i.e.,</w:t>
      </w:r>
      <w:r>
        <w:t xml:space="preserve"> the doctors responsible for the recruitment of patients, are selected on a voluntary basis among the consultants and residents working in the emergency departments during the enrolment stage. All consultants and residents at each institution are invited to participate to the study, without any restrictions in terms of years of experience within the same role.</w:t>
      </w:r>
    </w:p>
    <w:p w14:paraId="38DFF256" w14:textId="77777777" w:rsidR="006B5A2D" w:rsidRDefault="00000000">
      <w:pPr>
        <w:spacing w:line="360" w:lineRule="auto"/>
      </w:pPr>
      <w:r>
        <w:t>SIs are asked to participate to the preliminary training and to conduct the research activities always in accordance with the study protocol.</w:t>
      </w:r>
    </w:p>
    <w:p w14:paraId="02609900" w14:textId="77777777" w:rsidR="006B5A2D" w:rsidRDefault="00000000">
      <w:pPr>
        <w:spacing w:line="360" w:lineRule="auto"/>
      </w:pPr>
      <w:r>
        <w:t xml:space="preserve">One of two doctors in charge of reviewing telephone interviews (FF) works in an Internal Medicine ward therefore does not interact with patients recruited. The other reviewer (FS) who works at the Emergency Department in Pavia is not allowed to enroll patients. </w:t>
      </w:r>
    </w:p>
    <w:p w14:paraId="4EDA3A9D" w14:textId="77777777" w:rsidR="006B5A2D" w:rsidRDefault="006B5A2D">
      <w:pPr>
        <w:shd w:val="clear" w:color="auto" w:fill="FFFFFF"/>
        <w:spacing w:line="360" w:lineRule="auto"/>
        <w:rPr>
          <w:rFonts w:ascii="Arial" w:eastAsia="Arial" w:hAnsi="Arial" w:cs="Arial"/>
          <w:sz w:val="19"/>
          <w:szCs w:val="19"/>
        </w:rPr>
      </w:pPr>
    </w:p>
    <w:p w14:paraId="250779EC" w14:textId="77777777" w:rsidR="006B5A2D" w:rsidRDefault="00000000">
      <w:pPr>
        <w:widowControl w:val="0"/>
        <w:pBdr>
          <w:top w:val="nil"/>
          <w:left w:val="nil"/>
          <w:bottom w:val="nil"/>
          <w:right w:val="nil"/>
          <w:between w:val="nil"/>
        </w:pBdr>
        <w:spacing w:before="120" w:after="120" w:line="360" w:lineRule="auto"/>
        <w:rPr>
          <w:rFonts w:ascii="Arial" w:eastAsia="Arial" w:hAnsi="Arial" w:cs="Arial"/>
          <w:b/>
          <w:color w:val="000000"/>
          <w:sz w:val="28"/>
        </w:rPr>
      </w:pPr>
      <w:r>
        <w:rPr>
          <w:rFonts w:ascii="Arial" w:eastAsia="Arial" w:hAnsi="Arial" w:cs="Arial"/>
          <w:b/>
          <w:color w:val="000000"/>
          <w:sz w:val="28"/>
        </w:rPr>
        <w:t>Outcomes</w:t>
      </w:r>
    </w:p>
    <w:p w14:paraId="2ADD17E5" w14:textId="5AD4A8AB" w:rsidR="006B5A2D" w:rsidRDefault="00000000">
      <w:pPr>
        <w:spacing w:line="360" w:lineRule="auto"/>
      </w:pPr>
      <w:r>
        <w:t xml:space="preserve">The main outcome will be patients’ comprehension of the domains directly related to the video contents, </w:t>
      </w:r>
      <w:r w:rsidR="00AF1A41">
        <w:t>i.e.,</w:t>
      </w:r>
      <w:r>
        <w:t xml:space="preserve"> knowledge of the </w:t>
      </w:r>
      <w:r>
        <w:rPr>
          <w:i/>
        </w:rPr>
        <w:t>diagnosis</w:t>
      </w:r>
      <w:r>
        <w:t xml:space="preserve"> and its potential </w:t>
      </w:r>
      <w:r>
        <w:rPr>
          <w:i/>
        </w:rPr>
        <w:t>complication</w:t>
      </w:r>
      <w:r>
        <w:t xml:space="preserve">, corresponding to interview’s questions 1-3-4 (see the attached file </w:t>
      </w:r>
      <w:r>
        <w:rPr>
          <w:i/>
        </w:rPr>
        <w:t>Telephone Interview</w:t>
      </w:r>
      <w:r>
        <w:t>).</w:t>
      </w:r>
    </w:p>
    <w:p w14:paraId="7EEA78C4" w14:textId="77777777" w:rsidR="006B5A2D" w:rsidRDefault="00000000">
      <w:pPr>
        <w:spacing w:line="360" w:lineRule="auto"/>
      </w:pPr>
      <w:r>
        <w:t xml:space="preserve">Secondary outcomes will be the knowledge of the prescribed therapy and patients’ satisfaction (see the attached file </w:t>
      </w:r>
      <w:r>
        <w:rPr>
          <w:i/>
        </w:rPr>
        <w:t>Telephone Interview</w:t>
      </w:r>
      <w:r>
        <w:t>).</w:t>
      </w:r>
    </w:p>
    <w:p w14:paraId="0427E979" w14:textId="77777777" w:rsidR="006B5A2D" w:rsidRDefault="00000000">
      <w:pPr>
        <w:spacing w:line="360" w:lineRule="auto"/>
      </w:pPr>
      <w:r>
        <w:t>The outcomes will be measured through a telephone interview, consisting of a set of questions specifically designed for the purposes of this study (see the attached file “</w:t>
      </w:r>
      <w:r>
        <w:rPr>
          <w:i/>
        </w:rPr>
        <w:t>Telephone interview</w:t>
      </w:r>
      <w:r>
        <w:t>”). The interview is made of six questions, focusing on the different domains of comprehension.</w:t>
      </w:r>
    </w:p>
    <w:p w14:paraId="0A347A96" w14:textId="77777777" w:rsidR="006B5A2D" w:rsidRDefault="00000000">
      <w:pPr>
        <w:spacing w:line="360" w:lineRule="auto"/>
      </w:pPr>
      <w:r>
        <w:t>The telephone interview is conducted by one of the two researchers responsible for this task. Audio files are then stored on a computer and subsequently reexamined by both reviewers, who will assign a score to each question contained in the interview (see the attached file “</w:t>
      </w:r>
      <w:r>
        <w:rPr>
          <w:i/>
        </w:rPr>
        <w:t>Telephone interview</w:t>
      </w:r>
      <w:r>
        <w:t xml:space="preserve">”). </w:t>
      </w:r>
    </w:p>
    <w:p w14:paraId="1A4F85BD" w14:textId="77777777" w:rsidR="006B5A2D" w:rsidRDefault="00000000">
      <w:pPr>
        <w:spacing w:line="360" w:lineRule="auto"/>
      </w:pPr>
      <w:r>
        <w:t xml:space="preserve">We developed a scheme to aid the reviewers in the interpretation of patients’ answers, to reduce reviewers’ inter-operator variability (see the attached file </w:t>
      </w:r>
      <w:r>
        <w:rPr>
          <w:i/>
        </w:rPr>
        <w:t>Interpretation of patients’ answers</w:t>
      </w:r>
      <w:r>
        <w:t>).</w:t>
      </w:r>
    </w:p>
    <w:p w14:paraId="77CA74CE" w14:textId="77777777" w:rsidR="006B5A2D" w:rsidRDefault="00000000">
      <w:pPr>
        <w:spacing w:line="360" w:lineRule="auto"/>
      </w:pPr>
      <w:r>
        <w:t>Patients’ answers will receive a score on a 4-point Likert scale (ranging from zero to three) from low to high knowledge.</w:t>
      </w:r>
    </w:p>
    <w:p w14:paraId="2CEFF82D" w14:textId="7DC1B939" w:rsidR="006B5A2D" w:rsidRDefault="00000000">
      <w:pPr>
        <w:spacing w:line="360" w:lineRule="auto"/>
      </w:pPr>
      <w:r>
        <w:lastRenderedPageBreak/>
        <w:t xml:space="preserve">Scores from the two independent reviewers will be averaged to obtain an overall score. The score for the main outcomes will therefore range: 0-18 for the main outcome (questions 1-3-4), 0-6 for the knowledge of the prescribed therapy (question 2), 0-12 for patient’s satisfaction (questions 5-6). </w:t>
      </w:r>
    </w:p>
    <w:p w14:paraId="0D109B36" w14:textId="77777777" w:rsidR="006B5A2D" w:rsidRDefault="006B5A2D">
      <w:pPr>
        <w:spacing w:line="360" w:lineRule="auto"/>
      </w:pPr>
    </w:p>
    <w:p w14:paraId="511F1752" w14:textId="6D8B6379" w:rsidR="006B5A2D" w:rsidRDefault="00000000">
      <w:pPr>
        <w:spacing w:line="360" w:lineRule="auto"/>
      </w:pPr>
      <w:r>
        <w:t xml:space="preserve">To the best of our knowledge, no currently available validated questionnaires would serve for the purpose of our study, </w:t>
      </w:r>
      <w:r w:rsidR="00AF1A41">
        <w:t>i.e.,</w:t>
      </w:r>
      <w:r>
        <w:t xml:space="preserve"> for the simultaneous measurement of different domains of comprehension across two different medical conditions. </w:t>
      </w:r>
    </w:p>
    <w:p w14:paraId="30CE812D" w14:textId="77777777" w:rsidR="006B5A2D" w:rsidRDefault="00000000">
      <w:pPr>
        <w:spacing w:line="360" w:lineRule="auto"/>
      </w:pPr>
      <w:bookmarkStart w:id="1" w:name="_heading=h.30j0zll" w:colFirst="0" w:colLast="0"/>
      <w:bookmarkEnd w:id="1"/>
      <w:r>
        <w:t xml:space="preserve">Hence, we have developed the ad-hoc interview and its related interpretation scheme using face and content validity. Construct validation would require an amount of time and resources equivalent to that of the trial itself, pushing it beyond practical feasibility. </w:t>
      </w:r>
    </w:p>
    <w:p w14:paraId="7D3E73C2" w14:textId="77777777" w:rsidR="006B5A2D" w:rsidRDefault="006B5A2D">
      <w:pPr>
        <w:spacing w:line="360" w:lineRule="auto"/>
      </w:pPr>
    </w:p>
    <w:p w14:paraId="77F923B6" w14:textId="286ACAD2" w:rsidR="006B5A2D" w:rsidRDefault="00000000">
      <w:pPr>
        <w:spacing w:line="360" w:lineRule="auto"/>
      </w:pPr>
      <w:r w:rsidRPr="0013099B">
        <w:t xml:space="preserve">In this second version of the </w:t>
      </w:r>
      <w:r w:rsidR="00AF1A41" w:rsidRPr="0013099B">
        <w:t>protocol,</w:t>
      </w:r>
      <w:r w:rsidRPr="0013099B">
        <w:t xml:space="preserve"> </w:t>
      </w:r>
      <w:r w:rsidR="00AF1A41" w:rsidRPr="0013099B">
        <w:t xml:space="preserve">we added </w:t>
      </w:r>
      <w:r w:rsidRPr="0013099B">
        <w:t xml:space="preserve">two </w:t>
      </w:r>
      <w:r w:rsidR="0013099B">
        <w:t>safety</w:t>
      </w:r>
      <w:r w:rsidRPr="0013099B">
        <w:t xml:space="preserve"> outcomes. The first is patient adherence to anticoagulation prescribed at hospital discharge. The second outcome is incidence of the main complication (stroke/pulmonary embolism) at a median follow up</w:t>
      </w:r>
      <w:r w:rsidR="0013099B">
        <w:t xml:space="preserve">. </w:t>
      </w:r>
      <w:r w:rsidRPr="0013099B">
        <w:t xml:space="preserve"> </w:t>
      </w:r>
      <w:r w:rsidR="0013099B">
        <w:rPr>
          <w:color w:val="000000"/>
          <w:szCs w:val="24"/>
        </w:rPr>
        <w:t xml:space="preserve">This </w:t>
      </w:r>
      <w:r w:rsidR="00547AC5">
        <w:rPr>
          <w:color w:val="000000"/>
          <w:szCs w:val="24"/>
        </w:rPr>
        <w:t xml:space="preserve">amendment </w:t>
      </w:r>
      <w:r w:rsidR="0013099B">
        <w:rPr>
          <w:color w:val="000000"/>
          <w:szCs w:val="24"/>
        </w:rPr>
        <w:t xml:space="preserve">is </w:t>
      </w:r>
      <w:r w:rsidR="0013099B" w:rsidRPr="005C75D4">
        <w:rPr>
          <w:color w:val="000000"/>
          <w:szCs w:val="24"/>
        </w:rPr>
        <w:t>felt necessary due</w:t>
      </w:r>
      <w:r w:rsidR="0013099B">
        <w:rPr>
          <w:color w:val="000000"/>
          <w:szCs w:val="24"/>
        </w:rPr>
        <w:t xml:space="preserve"> to relatively frequent patient-reported non-adherence to anticoagulants observed during telephone interviews. </w:t>
      </w:r>
      <w:r w:rsidR="0013099B">
        <w:rPr>
          <w:color w:val="000000"/>
          <w:szCs w:val="24"/>
        </w:rPr>
        <w:br/>
      </w:r>
      <w:r>
        <w:t xml:space="preserve"> </w:t>
      </w:r>
      <w:r w:rsidR="0013099B" w:rsidRPr="0013099B">
        <w:t xml:space="preserve">Data for </w:t>
      </w:r>
      <w:r w:rsidR="0013099B">
        <w:t xml:space="preserve">adherence rate to anticoagulants </w:t>
      </w:r>
      <w:r w:rsidR="0013446D">
        <w:t>will be</w:t>
      </w:r>
      <w:r w:rsidR="0013099B" w:rsidRPr="0013099B">
        <w:t xml:space="preserve"> obtained from a</w:t>
      </w:r>
      <w:r w:rsidR="0013099B">
        <w:t xml:space="preserve">n additional </w:t>
      </w:r>
      <w:r w:rsidR="0013099B" w:rsidRPr="0013099B">
        <w:t xml:space="preserve">review of the audio recording </w:t>
      </w:r>
      <w:r w:rsidR="0013099B">
        <w:t xml:space="preserve">of the interview. </w:t>
      </w:r>
      <w:r w:rsidR="00E02377">
        <w:t>This will be</w:t>
      </w:r>
      <w:r w:rsidR="0013099B">
        <w:t xml:space="preserve"> </w:t>
      </w:r>
      <w:r w:rsidR="0013099B" w:rsidRPr="0013099B">
        <w:t>performed by one of the two reviewers.</w:t>
      </w:r>
    </w:p>
    <w:p w14:paraId="56BDAF33" w14:textId="23F3A7EB" w:rsidR="0013099B" w:rsidRPr="0013099B" w:rsidRDefault="00E02377">
      <w:pPr>
        <w:spacing w:line="360" w:lineRule="auto"/>
        <w:rPr>
          <w:color w:val="000000"/>
          <w:szCs w:val="24"/>
        </w:rPr>
      </w:pPr>
      <w:r>
        <w:t xml:space="preserve">Incidence of complications at median follow up will be </w:t>
      </w:r>
      <w:r w:rsidR="0013099B" w:rsidRPr="0013099B">
        <w:t xml:space="preserve">assessed </w:t>
      </w:r>
      <w:r>
        <w:t>via</w:t>
      </w:r>
      <w:r w:rsidR="0013099B" w:rsidRPr="0013099B">
        <w:t xml:space="preserve"> a second telephone contact with recruited participants</w:t>
      </w:r>
      <w:r>
        <w:t xml:space="preserve"> (patients or caregiver), using the same contact information provided at the time of recruitment. We will make a maximum of five attempts of contact, after which participants will be considered lost at follow up.  </w:t>
      </w:r>
    </w:p>
    <w:p w14:paraId="2BDBF18F" w14:textId="77777777" w:rsidR="006B5A2D" w:rsidRDefault="006B5A2D">
      <w:pPr>
        <w:shd w:val="clear" w:color="auto" w:fill="FFFFFF"/>
        <w:spacing w:line="360" w:lineRule="auto"/>
        <w:rPr>
          <w:rFonts w:ascii="Arial" w:eastAsia="Arial" w:hAnsi="Arial" w:cs="Arial"/>
          <w:sz w:val="19"/>
          <w:szCs w:val="19"/>
        </w:rPr>
      </w:pPr>
    </w:p>
    <w:p w14:paraId="2FCEB8EB" w14:textId="77777777" w:rsidR="006B5A2D" w:rsidRDefault="00000000">
      <w:pPr>
        <w:widowControl w:val="0"/>
        <w:pBdr>
          <w:top w:val="nil"/>
          <w:left w:val="nil"/>
          <w:bottom w:val="nil"/>
          <w:right w:val="nil"/>
          <w:between w:val="nil"/>
        </w:pBdr>
        <w:spacing w:before="120" w:after="120" w:line="360" w:lineRule="auto"/>
        <w:rPr>
          <w:rFonts w:ascii="Arial" w:eastAsia="Arial" w:hAnsi="Arial" w:cs="Arial"/>
          <w:b/>
          <w:color w:val="000000"/>
          <w:sz w:val="28"/>
        </w:rPr>
      </w:pPr>
      <w:r>
        <w:rPr>
          <w:rFonts w:ascii="Arial" w:eastAsia="Arial" w:hAnsi="Arial" w:cs="Arial"/>
          <w:b/>
          <w:color w:val="000000"/>
          <w:sz w:val="28"/>
        </w:rPr>
        <w:t>Participants timeline</w:t>
      </w:r>
    </w:p>
    <w:p w14:paraId="2898CB2A" w14:textId="77777777" w:rsidR="006B5A2D" w:rsidRDefault="00000000">
      <w:pPr>
        <w:spacing w:line="360" w:lineRule="auto"/>
      </w:pPr>
      <w:r>
        <w:t>Patient enrolment will take place in the emergency departments without any time restriction, including night shifts and festivities. Nevertheless, it is possible that the enrolment of eligible patients does not occur in a continuous fashion, as not all the doctors serving in the department participate in the study.</w:t>
      </w:r>
    </w:p>
    <w:p w14:paraId="08B6E227" w14:textId="77777777" w:rsidR="006B5A2D" w:rsidRDefault="00000000">
      <w:pPr>
        <w:spacing w:line="360" w:lineRule="auto"/>
      </w:pPr>
      <w:r>
        <w:t xml:space="preserve">Prior to the discharge of eligible patients, the SIs will invite patients (or caregivers) to participate to the study, explaining its purpose and the methods used. Patients (or caregivers) willing to participate will sign the consent, provide a valid telephone number and are assigned to the study or control group. </w:t>
      </w:r>
    </w:p>
    <w:p w14:paraId="6B0EA81D" w14:textId="77777777" w:rsidR="006B5A2D" w:rsidRDefault="00000000">
      <w:pPr>
        <w:spacing w:line="360" w:lineRule="auto"/>
      </w:pPr>
      <w:r>
        <w:lastRenderedPageBreak/>
        <w:t xml:space="preserve">After patient’s discharge, the SIs will transmit the telephone number to the PIs in charge of conducting interviews. </w:t>
      </w:r>
    </w:p>
    <w:p w14:paraId="2C545859" w14:textId="77777777" w:rsidR="006B5A2D" w:rsidRDefault="00000000">
      <w:pPr>
        <w:spacing w:line="360" w:lineRule="auto"/>
      </w:pPr>
      <w:r>
        <w:t xml:space="preserve">Telephone interviews will be carried out within 48 hours from discharge, using an institutional telephone station located in the emergency department of the IRCCS Fondazione </w:t>
      </w:r>
      <w:proofErr w:type="spellStart"/>
      <w:r>
        <w:t>Policlinico</w:t>
      </w:r>
      <w:proofErr w:type="spellEnd"/>
      <w:r>
        <w:t xml:space="preserve"> San Matteo Hospital. </w:t>
      </w:r>
    </w:p>
    <w:p w14:paraId="3ACE12E4" w14:textId="77777777" w:rsidR="006B5A2D" w:rsidRDefault="00000000">
      <w:pPr>
        <w:spacing w:line="360" w:lineRule="auto"/>
      </w:pPr>
      <w:r>
        <w:t>The telephone station is connected to the institutional computer situated in the same room, which is provided with a free downloadable software for phone call management. All recordings will be stored on the same computer and each file is named with a progressive number code.</w:t>
      </w:r>
    </w:p>
    <w:p w14:paraId="0EB79663" w14:textId="77777777" w:rsidR="006B5A2D" w:rsidRDefault="00000000">
      <w:pPr>
        <w:spacing w:line="360" w:lineRule="auto"/>
      </w:pPr>
      <w:r>
        <w:t>The equipment used to carry out phone interviews are situated in the same room where all files related to the study will be stored (consents, discharge letters, opaque envelopes for randomization).</w:t>
      </w:r>
    </w:p>
    <w:p w14:paraId="34111A79" w14:textId="77777777" w:rsidR="006B5A2D" w:rsidRDefault="00000000">
      <w:pPr>
        <w:spacing w:line="360" w:lineRule="auto"/>
      </w:pPr>
      <w:r>
        <w:t>Interviewers will try to contact patients (or caregivers) telephonically with a maximum of five attempts, after which the patients will be considered lost to follow-up.</w:t>
      </w:r>
    </w:p>
    <w:p w14:paraId="0F316AE1" w14:textId="77777777" w:rsidR="006B5A2D" w:rsidRDefault="00000000">
      <w:pPr>
        <w:spacing w:line="360" w:lineRule="auto"/>
      </w:pPr>
      <w:r>
        <w:t xml:space="preserve">During a patient's permanence within the emergency department, the SIs do not anticipate to the patient the content of the telephone interview, in order not to influence their answers. </w:t>
      </w:r>
    </w:p>
    <w:p w14:paraId="75DDE1D2" w14:textId="77777777" w:rsidR="006B5A2D" w:rsidRDefault="006B5A2D">
      <w:pPr>
        <w:shd w:val="clear" w:color="auto" w:fill="FFFFFF"/>
        <w:spacing w:line="360" w:lineRule="auto"/>
        <w:rPr>
          <w:rFonts w:ascii="Arial" w:eastAsia="Arial" w:hAnsi="Arial" w:cs="Arial"/>
          <w:sz w:val="19"/>
          <w:szCs w:val="19"/>
        </w:rPr>
      </w:pPr>
    </w:p>
    <w:p w14:paraId="5C2D3C4F" w14:textId="77777777" w:rsidR="006B5A2D" w:rsidRDefault="00000000">
      <w:pPr>
        <w:widowControl w:val="0"/>
        <w:pBdr>
          <w:top w:val="nil"/>
          <w:left w:val="nil"/>
          <w:bottom w:val="nil"/>
          <w:right w:val="nil"/>
          <w:between w:val="nil"/>
        </w:pBdr>
        <w:spacing w:before="120" w:after="120" w:line="360" w:lineRule="auto"/>
        <w:rPr>
          <w:rFonts w:ascii="Arial" w:eastAsia="Arial" w:hAnsi="Arial" w:cs="Arial"/>
          <w:b/>
          <w:color w:val="000000"/>
          <w:sz w:val="28"/>
        </w:rPr>
      </w:pPr>
      <w:r>
        <w:rPr>
          <w:rFonts w:ascii="Arial" w:eastAsia="Arial" w:hAnsi="Arial" w:cs="Arial"/>
          <w:b/>
          <w:color w:val="000000"/>
          <w:sz w:val="28"/>
        </w:rPr>
        <w:t>Sample size</w:t>
      </w:r>
    </w:p>
    <w:p w14:paraId="4E6F88D3" w14:textId="77777777" w:rsidR="006B5A2D" w:rsidRDefault="00000000">
      <w:pPr>
        <w:spacing w:line="360" w:lineRule="auto"/>
      </w:pPr>
      <w:r>
        <w:t>We hypothesize a median score for the primary outcome to be 10 points in the control group, whereas we expect a 20% higher score in the intervention group as suggested by current literature, with standard deviation 4 and non-normal distribution. Group sample sizes of 64 and 64 achieve 80% power to detect this difference with alpha error 5% using a two-sided Mann-Whitney test assuming that the actual distribution is uniform. (Note: this number represents the total number of patients with either DVT or AF, within each study group, since we do not expect differences in the effect by diagnosis).</w:t>
      </w:r>
    </w:p>
    <w:p w14:paraId="27E0F699" w14:textId="77777777" w:rsidR="006B5A2D" w:rsidRDefault="00000000">
      <w:pPr>
        <w:spacing w:line="360" w:lineRule="auto"/>
      </w:pPr>
      <w:r>
        <w:t>Since we expect the number of patients lost to follow-up to be 10%, we plan to enroll 72 patients in each group (144 patients in total).</w:t>
      </w:r>
    </w:p>
    <w:p w14:paraId="7C610D4A" w14:textId="77777777" w:rsidR="006B5A2D" w:rsidRDefault="006B5A2D">
      <w:pPr>
        <w:shd w:val="clear" w:color="auto" w:fill="FFFFFF"/>
        <w:spacing w:line="360" w:lineRule="auto"/>
        <w:rPr>
          <w:rFonts w:ascii="Arial" w:eastAsia="Arial" w:hAnsi="Arial" w:cs="Arial"/>
          <w:sz w:val="19"/>
          <w:szCs w:val="19"/>
        </w:rPr>
      </w:pPr>
    </w:p>
    <w:p w14:paraId="3247DB8D" w14:textId="77777777" w:rsidR="006B5A2D" w:rsidRDefault="00000000">
      <w:pPr>
        <w:widowControl w:val="0"/>
        <w:pBdr>
          <w:top w:val="nil"/>
          <w:left w:val="nil"/>
          <w:bottom w:val="nil"/>
          <w:right w:val="nil"/>
          <w:between w:val="nil"/>
        </w:pBdr>
        <w:spacing w:before="240" w:after="240" w:line="360" w:lineRule="auto"/>
        <w:rPr>
          <w:rFonts w:ascii="Arial" w:eastAsia="Arial" w:hAnsi="Arial" w:cs="Arial"/>
          <w:b/>
          <w:color w:val="000000"/>
          <w:sz w:val="28"/>
        </w:rPr>
      </w:pPr>
      <w:r>
        <w:rPr>
          <w:rFonts w:ascii="Arial" w:eastAsia="Arial" w:hAnsi="Arial" w:cs="Arial"/>
          <w:b/>
          <w:color w:val="000000"/>
          <w:sz w:val="28"/>
        </w:rPr>
        <w:t xml:space="preserve">Methods: assignment of interventions </w:t>
      </w:r>
    </w:p>
    <w:p w14:paraId="09BE79E1" w14:textId="77777777" w:rsidR="006B5A2D" w:rsidRDefault="00000000">
      <w:pPr>
        <w:widowControl w:val="0"/>
        <w:pBdr>
          <w:top w:val="nil"/>
          <w:left w:val="nil"/>
          <w:bottom w:val="nil"/>
          <w:right w:val="nil"/>
          <w:between w:val="nil"/>
        </w:pBdr>
        <w:spacing w:before="120" w:after="120" w:line="360" w:lineRule="auto"/>
        <w:rPr>
          <w:rFonts w:ascii="Arial" w:eastAsia="Arial" w:hAnsi="Arial" w:cs="Arial"/>
          <w:b/>
          <w:color w:val="000000"/>
          <w:sz w:val="28"/>
        </w:rPr>
      </w:pPr>
      <w:r>
        <w:rPr>
          <w:rFonts w:ascii="Arial" w:eastAsia="Arial" w:hAnsi="Arial" w:cs="Arial"/>
          <w:b/>
          <w:color w:val="000000"/>
          <w:sz w:val="28"/>
        </w:rPr>
        <w:t>Allocation – Sequence generation</w:t>
      </w:r>
    </w:p>
    <w:p w14:paraId="6B56756B" w14:textId="77777777" w:rsidR="006B5A2D" w:rsidRDefault="00000000">
      <w:pPr>
        <w:spacing w:line="360" w:lineRule="auto"/>
      </w:pPr>
      <w:r>
        <w:t>The statistician (LS) has disposed the randomized sequence through the generation of pseudo-random numbers, divided in blocks of variable size and stratified for the participating institutions.</w:t>
      </w:r>
    </w:p>
    <w:p w14:paraId="6EE36B0D" w14:textId="77777777" w:rsidR="006B5A2D" w:rsidRDefault="00000000">
      <w:pPr>
        <w:spacing w:line="360" w:lineRule="auto"/>
      </w:pPr>
      <w:r>
        <w:lastRenderedPageBreak/>
        <w:t>The statistician has also prepared the opaque envelopes containing the progressive sequence of enrolment and the allocation of the patient.</w:t>
      </w:r>
    </w:p>
    <w:p w14:paraId="258EC231" w14:textId="77777777" w:rsidR="006B5A2D" w:rsidRDefault="00000000">
      <w:pPr>
        <w:spacing w:line="360" w:lineRule="auto"/>
      </w:pPr>
      <w:r>
        <w:t>Opaque envelopes are used in the emergency department by the SIs to assign patients to control or study group.</w:t>
      </w:r>
    </w:p>
    <w:p w14:paraId="70BC9E00" w14:textId="77777777" w:rsidR="006B5A2D" w:rsidRDefault="006B5A2D">
      <w:pPr>
        <w:shd w:val="clear" w:color="auto" w:fill="FFFFFF"/>
        <w:spacing w:line="360" w:lineRule="auto"/>
        <w:rPr>
          <w:rFonts w:ascii="Arial" w:eastAsia="Arial" w:hAnsi="Arial" w:cs="Arial"/>
          <w:sz w:val="19"/>
          <w:szCs w:val="19"/>
        </w:rPr>
      </w:pPr>
    </w:p>
    <w:p w14:paraId="0F065BCA" w14:textId="77777777" w:rsidR="006B5A2D" w:rsidRDefault="00000000">
      <w:pPr>
        <w:widowControl w:val="0"/>
        <w:pBdr>
          <w:top w:val="nil"/>
          <w:left w:val="nil"/>
          <w:bottom w:val="nil"/>
          <w:right w:val="nil"/>
          <w:between w:val="nil"/>
        </w:pBdr>
        <w:spacing w:before="120" w:after="120" w:line="360" w:lineRule="auto"/>
        <w:rPr>
          <w:rFonts w:ascii="Arial" w:eastAsia="Arial" w:hAnsi="Arial" w:cs="Arial"/>
          <w:b/>
          <w:color w:val="000000"/>
          <w:sz w:val="28"/>
        </w:rPr>
      </w:pPr>
      <w:r>
        <w:rPr>
          <w:rFonts w:ascii="Arial" w:eastAsia="Arial" w:hAnsi="Arial" w:cs="Arial"/>
          <w:b/>
          <w:color w:val="000000"/>
          <w:sz w:val="28"/>
        </w:rPr>
        <w:t>Blinding</w:t>
      </w:r>
    </w:p>
    <w:p w14:paraId="01FC1C8B" w14:textId="77777777" w:rsidR="006B5A2D" w:rsidRDefault="00000000">
      <w:pPr>
        <w:spacing w:line="360" w:lineRule="auto"/>
      </w:pPr>
      <w:r>
        <w:t>Blinding is not applicable to the SIs who have to enroll and randomize patients.</w:t>
      </w:r>
    </w:p>
    <w:p w14:paraId="3FDFB0E6" w14:textId="77777777" w:rsidR="006B5A2D" w:rsidRDefault="00000000">
      <w:pPr>
        <w:spacing w:line="360" w:lineRule="auto"/>
      </w:pPr>
      <w:r>
        <w:t xml:space="preserve">SIs ask patients enrolled in the intervention group not to mention the video clip when they are contacted for the telephone interview. Similarly, investigators conducting the interview never mention the content of the video. These two strategies allow for blinding of the two independent reviewers. </w:t>
      </w:r>
    </w:p>
    <w:p w14:paraId="03924E70" w14:textId="77777777" w:rsidR="006B5A2D" w:rsidRDefault="006B5A2D">
      <w:pPr>
        <w:shd w:val="clear" w:color="auto" w:fill="FFFFFF"/>
        <w:spacing w:line="360" w:lineRule="auto"/>
        <w:rPr>
          <w:rFonts w:ascii="Arial" w:eastAsia="Arial" w:hAnsi="Arial" w:cs="Arial"/>
          <w:sz w:val="19"/>
          <w:szCs w:val="19"/>
        </w:rPr>
      </w:pPr>
    </w:p>
    <w:p w14:paraId="1ED7D1DE" w14:textId="77777777" w:rsidR="006B5A2D" w:rsidRDefault="00000000">
      <w:pPr>
        <w:widowControl w:val="0"/>
        <w:pBdr>
          <w:top w:val="nil"/>
          <w:left w:val="nil"/>
          <w:bottom w:val="nil"/>
          <w:right w:val="nil"/>
          <w:between w:val="nil"/>
        </w:pBdr>
        <w:spacing w:before="240" w:after="240" w:line="360" w:lineRule="auto"/>
        <w:rPr>
          <w:rFonts w:ascii="Arial" w:eastAsia="Arial" w:hAnsi="Arial" w:cs="Arial"/>
          <w:b/>
          <w:color w:val="000000"/>
          <w:sz w:val="28"/>
        </w:rPr>
      </w:pPr>
      <w:r>
        <w:rPr>
          <w:rFonts w:ascii="Arial" w:eastAsia="Arial" w:hAnsi="Arial" w:cs="Arial"/>
          <w:b/>
          <w:color w:val="000000"/>
          <w:sz w:val="28"/>
        </w:rPr>
        <w:t>Methods: data collection, management, and analysis</w:t>
      </w:r>
    </w:p>
    <w:p w14:paraId="589AE772" w14:textId="77777777" w:rsidR="006B5A2D" w:rsidRDefault="00000000">
      <w:pPr>
        <w:widowControl w:val="0"/>
        <w:pBdr>
          <w:top w:val="nil"/>
          <w:left w:val="nil"/>
          <w:bottom w:val="nil"/>
          <w:right w:val="nil"/>
          <w:between w:val="nil"/>
        </w:pBdr>
        <w:spacing w:before="120" w:after="120" w:line="360" w:lineRule="auto"/>
        <w:rPr>
          <w:rFonts w:ascii="Arial" w:eastAsia="Arial" w:hAnsi="Arial" w:cs="Arial"/>
          <w:b/>
          <w:color w:val="000000"/>
          <w:sz w:val="28"/>
        </w:rPr>
      </w:pPr>
      <w:r>
        <w:rPr>
          <w:rFonts w:ascii="Arial" w:eastAsia="Arial" w:hAnsi="Arial" w:cs="Arial"/>
          <w:b/>
          <w:color w:val="000000"/>
          <w:sz w:val="28"/>
        </w:rPr>
        <w:t>Data collection instruments</w:t>
      </w:r>
    </w:p>
    <w:p w14:paraId="49ADEA4A" w14:textId="77777777" w:rsidR="006B5A2D" w:rsidRDefault="00000000">
      <w:pPr>
        <w:tabs>
          <w:tab w:val="left" w:pos="720"/>
          <w:tab w:val="left" w:pos="2160"/>
          <w:tab w:val="left" w:pos="6480"/>
        </w:tabs>
        <w:spacing w:line="360" w:lineRule="auto"/>
      </w:pPr>
      <w:r>
        <w:rPr>
          <w:i/>
          <w:u w:val="single"/>
        </w:rPr>
        <w:t>Source documents</w:t>
      </w:r>
      <w:r>
        <w:t xml:space="preserve"> </w:t>
      </w:r>
    </w:p>
    <w:p w14:paraId="3001E59C" w14:textId="77777777" w:rsidR="006B5A2D" w:rsidRDefault="00000000">
      <w:pPr>
        <w:tabs>
          <w:tab w:val="left" w:pos="720"/>
          <w:tab w:val="left" w:pos="2160"/>
          <w:tab w:val="left" w:pos="6480"/>
        </w:tabs>
        <w:spacing w:line="360" w:lineRule="auto"/>
      </w:pPr>
      <w:r>
        <w:t>Study data are collected on source documents. The PI is responsible for assuring that collected data are complete and accurate. Source documentation (the point of initial recording of a piece of data) supports data collected on the eCRF. Source documents include all recordings of observations or notations of clinical activities and all reports and records necessary for the evaluation and reconstruction of the clinical study. Completed eCRF data are entered into the database within a week of the patient visit being completed.</w:t>
      </w:r>
    </w:p>
    <w:p w14:paraId="53D26B83" w14:textId="77777777" w:rsidR="006B5A2D" w:rsidRDefault="006B5A2D">
      <w:pPr>
        <w:shd w:val="clear" w:color="auto" w:fill="FFFFFF"/>
        <w:spacing w:line="360" w:lineRule="auto"/>
        <w:rPr>
          <w:rFonts w:ascii="Arial" w:eastAsia="Arial" w:hAnsi="Arial" w:cs="Arial"/>
          <w:sz w:val="19"/>
          <w:szCs w:val="19"/>
        </w:rPr>
      </w:pPr>
    </w:p>
    <w:p w14:paraId="4A735243" w14:textId="77777777" w:rsidR="006B5A2D" w:rsidRDefault="00000000">
      <w:pPr>
        <w:tabs>
          <w:tab w:val="left" w:pos="720"/>
          <w:tab w:val="left" w:pos="2160"/>
          <w:tab w:val="left" w:pos="6480"/>
        </w:tabs>
        <w:spacing w:line="360" w:lineRule="auto"/>
        <w:rPr>
          <w:i/>
          <w:u w:val="single"/>
        </w:rPr>
      </w:pPr>
      <w:r>
        <w:rPr>
          <w:i/>
          <w:u w:val="single"/>
        </w:rPr>
        <w:t>Data collection and study report form monitoring</w:t>
      </w:r>
    </w:p>
    <w:p w14:paraId="4527ADBB" w14:textId="77777777" w:rsidR="006B5A2D" w:rsidRDefault="00000000">
      <w:pPr>
        <w:tabs>
          <w:tab w:val="left" w:pos="720"/>
          <w:tab w:val="left" w:pos="2160"/>
          <w:tab w:val="left" w:pos="6480"/>
        </w:tabs>
        <w:spacing w:line="360" w:lineRule="auto"/>
      </w:pPr>
      <w:r>
        <w:t xml:space="preserve">All data obtained from this study are entered into a local regulation compliant Data Management System [for reference ex: 21 CFR Part 11 (USA)]. This is provided by the Service of Biometry &amp; Clinical Trial Center (CTC) of the I.R.C.C.S. </w:t>
      </w:r>
      <w:proofErr w:type="spellStart"/>
      <w:r>
        <w:t>Policlinico</w:t>
      </w:r>
      <w:proofErr w:type="spellEnd"/>
      <w:r>
        <w:t xml:space="preserve"> San Matteo Foundation (Pavia, Italy). Data are recorded with an Electronic Data Capture (EDC) system using eCRFs. Specifically, the EDC is based on the </w:t>
      </w:r>
      <w:proofErr w:type="spellStart"/>
      <w:r>
        <w:t>RedCap</w:t>
      </w:r>
      <w:proofErr w:type="spellEnd"/>
      <w:r>
        <w:t xml:space="preserve"> platform. </w:t>
      </w:r>
      <w:proofErr w:type="spellStart"/>
      <w:r>
        <w:t>REDCap</w:t>
      </w:r>
      <w:proofErr w:type="spellEnd"/>
      <w:r>
        <w:t xml:space="preserve"> is a novel workflow methodology and software tool that expedites the electronic collection of research data from a single site or multi-site clinical research study. The software supports a secure web-based application for developing fully functional case </w:t>
      </w:r>
      <w:r>
        <w:lastRenderedPageBreak/>
        <w:t xml:space="preserve">report forms (CRFs) and surveys. In particular, through </w:t>
      </w:r>
      <w:proofErr w:type="spellStart"/>
      <w:r>
        <w:t>RedCap</w:t>
      </w:r>
      <w:proofErr w:type="spellEnd"/>
      <w:r>
        <w:t xml:space="preserve"> we implement: (a) Full user authentication (log-on/password) to restrict users to study functions; (b) Real-time data validation, integrity checks for insuring data quality; (c) De-identification options to be applied to data exports to remove fields that contain notes and other information that could identify patient; (d) Centralized, secure storage of research data with back-ups; (e) The study database will be resident on a server in a secure location within the I.R.C.C.S. </w:t>
      </w:r>
      <w:proofErr w:type="spellStart"/>
      <w:r>
        <w:t>Policlinico</w:t>
      </w:r>
      <w:proofErr w:type="spellEnd"/>
      <w:r>
        <w:t xml:space="preserve"> San Matteo Foundation, Pavia, Italy. </w:t>
      </w:r>
    </w:p>
    <w:p w14:paraId="1E40AD29" w14:textId="77777777" w:rsidR="006B5A2D" w:rsidRDefault="00000000">
      <w:pPr>
        <w:tabs>
          <w:tab w:val="left" w:pos="720"/>
          <w:tab w:val="left" w:pos="2160"/>
          <w:tab w:val="left" w:pos="6480"/>
        </w:tabs>
        <w:spacing w:line="360" w:lineRule="auto"/>
      </w:pPr>
      <w:r>
        <w:t xml:space="preserve">The PIs will ensure the accuracy and completeness of the data reported to the DMC. All data entry, modification or deletion is recorded automatically in an electronic audit trail. The PIs will retain all copies of the eCRF in the relevant sections of their Investigator Site File with any required </w:t>
      </w:r>
      <w:proofErr w:type="spellStart"/>
      <w:r>
        <w:t>anonymised</w:t>
      </w:r>
      <w:proofErr w:type="spellEnd"/>
      <w:r>
        <w:t xml:space="preserve"> background information from the medical records as required.</w:t>
      </w:r>
    </w:p>
    <w:p w14:paraId="323FC9A6" w14:textId="77777777" w:rsidR="006B5A2D" w:rsidRDefault="006B5A2D">
      <w:pPr>
        <w:shd w:val="clear" w:color="auto" w:fill="FFFFFF"/>
        <w:spacing w:line="360" w:lineRule="auto"/>
        <w:rPr>
          <w:rFonts w:ascii="Arial" w:eastAsia="Arial" w:hAnsi="Arial" w:cs="Arial"/>
          <w:sz w:val="19"/>
          <w:szCs w:val="19"/>
        </w:rPr>
      </w:pPr>
    </w:p>
    <w:p w14:paraId="5427B148" w14:textId="77777777" w:rsidR="006B5A2D" w:rsidRDefault="00000000">
      <w:pPr>
        <w:widowControl w:val="0"/>
        <w:pBdr>
          <w:top w:val="nil"/>
          <w:left w:val="nil"/>
          <w:bottom w:val="nil"/>
          <w:right w:val="nil"/>
          <w:between w:val="nil"/>
        </w:pBdr>
        <w:spacing w:before="120" w:after="120" w:line="360" w:lineRule="auto"/>
        <w:rPr>
          <w:rFonts w:ascii="Arial" w:eastAsia="Arial" w:hAnsi="Arial" w:cs="Arial"/>
          <w:b/>
          <w:color w:val="000000"/>
          <w:sz w:val="28"/>
        </w:rPr>
      </w:pPr>
      <w:r>
        <w:rPr>
          <w:rFonts w:ascii="Arial" w:eastAsia="Arial" w:hAnsi="Arial" w:cs="Arial"/>
          <w:b/>
          <w:color w:val="000000"/>
          <w:sz w:val="28"/>
        </w:rPr>
        <w:t>Data management</w:t>
      </w:r>
    </w:p>
    <w:p w14:paraId="11C8F80B" w14:textId="77777777" w:rsidR="006B5A2D" w:rsidRDefault="00000000">
      <w:pPr>
        <w:spacing w:line="360" w:lineRule="auto"/>
      </w:pPr>
      <w:r>
        <w:t xml:space="preserve">All the consents of the enrolled patients and a copy of the discharge letters are stored in a safe site in each participating institution, where they will be available to the PIs for data monitoring and analysis. </w:t>
      </w:r>
    </w:p>
    <w:p w14:paraId="65E06C26" w14:textId="77777777" w:rsidR="006B5A2D" w:rsidRDefault="00000000">
      <w:pPr>
        <w:spacing w:line="360" w:lineRule="auto"/>
      </w:pPr>
      <w:r>
        <w:t xml:space="preserve">The reviewers will conduct their task in the same site where data are stored. </w:t>
      </w:r>
    </w:p>
    <w:p w14:paraId="6DA1E9CF" w14:textId="77777777" w:rsidR="006B5A2D" w:rsidRDefault="00000000">
      <w:pPr>
        <w:spacing w:line="360" w:lineRule="auto"/>
      </w:pPr>
      <w:r>
        <w:t xml:space="preserve">Once assessed each telephone interview, they fill out the paper sheet for score assignment and then transfer all data to the eCRF.  </w:t>
      </w:r>
    </w:p>
    <w:p w14:paraId="77939BA3" w14:textId="77777777" w:rsidR="006B5A2D" w:rsidRDefault="006B5A2D">
      <w:pPr>
        <w:spacing w:line="360" w:lineRule="auto"/>
        <w:rPr>
          <w:highlight w:val="yellow"/>
        </w:rPr>
      </w:pPr>
    </w:p>
    <w:p w14:paraId="74C6BCB7" w14:textId="77777777" w:rsidR="006B5A2D" w:rsidRDefault="00000000">
      <w:pPr>
        <w:widowControl w:val="0"/>
        <w:pBdr>
          <w:top w:val="nil"/>
          <w:left w:val="nil"/>
          <w:bottom w:val="nil"/>
          <w:right w:val="nil"/>
          <w:between w:val="nil"/>
        </w:pBdr>
        <w:spacing w:before="120" w:after="120" w:line="360" w:lineRule="auto"/>
        <w:rPr>
          <w:rFonts w:ascii="Arial" w:eastAsia="Arial" w:hAnsi="Arial" w:cs="Arial"/>
          <w:b/>
          <w:color w:val="000000"/>
          <w:sz w:val="28"/>
        </w:rPr>
      </w:pPr>
      <w:r>
        <w:rPr>
          <w:rFonts w:ascii="Arial" w:eastAsia="Arial" w:hAnsi="Arial" w:cs="Arial"/>
          <w:b/>
          <w:color w:val="000000"/>
          <w:sz w:val="28"/>
        </w:rPr>
        <w:t>Statistical methods</w:t>
      </w:r>
    </w:p>
    <w:p w14:paraId="0742A61B" w14:textId="77777777" w:rsidR="006B5A2D" w:rsidRDefault="00000000">
      <w:pPr>
        <w:spacing w:line="360" w:lineRule="auto"/>
      </w:pPr>
      <w:r>
        <w:t>A full data management plan and a full statistical analysis plan (SAP) has been revised and approved by the scientific board prior to study start. The SAP does not include details of data on rate of adverse events and decision rules for arm(s) or study termination, as this is not appropriate to this study. After SAP signature by the scientific board (i.e. prior to any statistical analysis), the study database will be locked. Any changes to the protocol-specified or SAP-specified planned analyses that are made after the database lock will be described in the clinical study report.</w:t>
      </w:r>
    </w:p>
    <w:p w14:paraId="22EB0365" w14:textId="77777777" w:rsidR="006B5A2D" w:rsidRDefault="006B5A2D">
      <w:pPr>
        <w:shd w:val="clear" w:color="auto" w:fill="FFFFFF"/>
        <w:spacing w:line="360" w:lineRule="auto"/>
        <w:rPr>
          <w:rFonts w:ascii="Arial" w:eastAsia="Arial" w:hAnsi="Arial" w:cs="Arial"/>
          <w:sz w:val="19"/>
          <w:szCs w:val="19"/>
        </w:rPr>
      </w:pPr>
    </w:p>
    <w:p w14:paraId="2CEE0C44" w14:textId="77777777" w:rsidR="006B5A2D" w:rsidRDefault="00000000">
      <w:pPr>
        <w:widowControl w:val="0"/>
        <w:pBdr>
          <w:top w:val="nil"/>
          <w:left w:val="nil"/>
          <w:bottom w:val="nil"/>
          <w:right w:val="nil"/>
          <w:between w:val="nil"/>
        </w:pBdr>
        <w:spacing w:before="60" w:after="60" w:line="360" w:lineRule="auto"/>
        <w:rPr>
          <w:rFonts w:ascii="Arial" w:eastAsia="Arial" w:hAnsi="Arial" w:cs="Arial"/>
          <w:b/>
          <w:i/>
          <w:color w:val="000000"/>
        </w:rPr>
      </w:pPr>
      <w:r>
        <w:rPr>
          <w:rFonts w:ascii="Arial" w:eastAsia="Arial" w:hAnsi="Arial" w:cs="Arial"/>
          <w:b/>
          <w:i/>
          <w:color w:val="000000"/>
        </w:rPr>
        <w:t>Analysis strategy</w:t>
      </w:r>
    </w:p>
    <w:p w14:paraId="4359469F" w14:textId="77777777" w:rsidR="006B5A2D" w:rsidRDefault="00000000">
      <w:pPr>
        <w:spacing w:line="360" w:lineRule="auto"/>
      </w:pPr>
      <w:r>
        <w:t>The main analysis will be performed with an ITT perspective, considering patients lost to follow-up as having score zero.</w:t>
      </w:r>
    </w:p>
    <w:p w14:paraId="52F72B43" w14:textId="77777777" w:rsidR="006B5A2D" w:rsidRDefault="00000000">
      <w:pPr>
        <w:spacing w:line="360" w:lineRule="auto"/>
      </w:pPr>
      <w:r>
        <w:t>A secondary analysis will be performed “on treatment”, i.e. on patients who have been reached at the follow-up call.</w:t>
      </w:r>
    </w:p>
    <w:p w14:paraId="6F437996" w14:textId="77777777" w:rsidR="006B5A2D" w:rsidRDefault="00000000">
      <w:pPr>
        <w:spacing w:line="360" w:lineRule="auto"/>
      </w:pPr>
      <w:r>
        <w:lastRenderedPageBreak/>
        <w:t>A sensitivity analysis will also be performed, considering patients lost to follow-up as “average” knowledge (inputting the missing score with mean score across both groups).</w:t>
      </w:r>
    </w:p>
    <w:p w14:paraId="0A9C5DF1" w14:textId="77777777" w:rsidR="006B5A2D" w:rsidRDefault="006B5A2D">
      <w:pPr>
        <w:shd w:val="clear" w:color="auto" w:fill="FFFFFF"/>
        <w:spacing w:line="360" w:lineRule="auto"/>
        <w:rPr>
          <w:rFonts w:ascii="Arial" w:eastAsia="Arial" w:hAnsi="Arial" w:cs="Arial"/>
          <w:sz w:val="19"/>
          <w:szCs w:val="19"/>
        </w:rPr>
      </w:pPr>
    </w:p>
    <w:p w14:paraId="2BCC9023" w14:textId="77777777" w:rsidR="006B5A2D" w:rsidRDefault="00000000">
      <w:pPr>
        <w:widowControl w:val="0"/>
        <w:pBdr>
          <w:top w:val="nil"/>
          <w:left w:val="nil"/>
          <w:bottom w:val="nil"/>
          <w:right w:val="nil"/>
          <w:between w:val="nil"/>
        </w:pBdr>
        <w:spacing w:before="60" w:after="60" w:line="360" w:lineRule="auto"/>
        <w:rPr>
          <w:rFonts w:ascii="Arial" w:eastAsia="Arial" w:hAnsi="Arial" w:cs="Arial"/>
          <w:b/>
          <w:i/>
          <w:color w:val="000000"/>
        </w:rPr>
      </w:pPr>
      <w:r>
        <w:rPr>
          <w:rFonts w:ascii="Arial" w:eastAsia="Arial" w:hAnsi="Arial" w:cs="Arial"/>
          <w:b/>
          <w:i/>
          <w:color w:val="000000"/>
        </w:rPr>
        <w:t>Statistical analyses</w:t>
      </w:r>
    </w:p>
    <w:p w14:paraId="61C26149" w14:textId="77777777" w:rsidR="006B5A2D" w:rsidRDefault="00000000">
      <w:pPr>
        <w:spacing w:line="360" w:lineRule="auto"/>
      </w:pPr>
      <w:r>
        <w:t>Descriptive statistics will be obtained for all variables assessed in the study population. Mean and standard deviation will be used for normally distributed variables, mean and interquartile range for skewed distributions, proportions for categorical variables. Whenever relevant, 95% confidence intervals (95% CI) will be calculated.</w:t>
      </w:r>
    </w:p>
    <w:p w14:paraId="791B0DCD" w14:textId="77777777" w:rsidR="006B5A2D" w:rsidRDefault="00000000">
      <w:pPr>
        <w:spacing w:line="360" w:lineRule="auto"/>
      </w:pPr>
      <w:r>
        <w:t>Groups will be compared by means of parametric or nonparametric tests for quantitative variables (according to distribution; normality will be tested by means of the Shapiro–Wilk test) and Pearson’s χ2 test (Fisher exact test where appropriate) for categorical variables. In all cases, two-tailed tests will be applied. P-value &lt;0.05 will be considered significant. Bonferroni correction will be used whenever relevant.</w:t>
      </w:r>
    </w:p>
    <w:p w14:paraId="1DED5AF9" w14:textId="77777777" w:rsidR="006B5A2D" w:rsidRDefault="00000000">
      <w:pPr>
        <w:spacing w:line="360" w:lineRule="auto"/>
      </w:pPr>
      <w:r>
        <w:t>Factors potentially associated to knowledge and to patient’s satisfaction, including age, gender, comorbidities, years of education will be tested my means of univariate and multivariate quantile (median) regression models.</w:t>
      </w:r>
    </w:p>
    <w:p w14:paraId="35C7D2B5" w14:textId="77777777" w:rsidR="006B5A2D" w:rsidRDefault="00000000">
      <w:pPr>
        <w:spacing w:line="360" w:lineRule="auto"/>
      </w:pPr>
      <w:r>
        <w:t>Stata computer software version 15 or higher (Stata Corporation, 4905 Lakeway Drive, College Station, Texas 77845, USA) will be used for statistical analysis.</w:t>
      </w:r>
    </w:p>
    <w:p w14:paraId="4DEB31D6" w14:textId="77777777" w:rsidR="006B5A2D" w:rsidRDefault="00000000">
      <w:pPr>
        <w:widowControl w:val="0"/>
        <w:pBdr>
          <w:top w:val="nil"/>
          <w:left w:val="nil"/>
          <w:bottom w:val="nil"/>
          <w:right w:val="nil"/>
          <w:between w:val="nil"/>
        </w:pBdr>
        <w:spacing w:before="240" w:after="240" w:line="360" w:lineRule="auto"/>
        <w:rPr>
          <w:rFonts w:ascii="Arial" w:eastAsia="Arial" w:hAnsi="Arial" w:cs="Arial"/>
          <w:b/>
          <w:color w:val="000000"/>
          <w:sz w:val="28"/>
        </w:rPr>
      </w:pPr>
      <w:r>
        <w:rPr>
          <w:rFonts w:ascii="Arial" w:eastAsia="Arial" w:hAnsi="Arial" w:cs="Arial"/>
          <w:b/>
          <w:color w:val="000000"/>
          <w:sz w:val="28"/>
        </w:rPr>
        <w:t>Ethics and dissemination</w:t>
      </w:r>
    </w:p>
    <w:p w14:paraId="52E3AE8A" w14:textId="77777777" w:rsidR="006B5A2D" w:rsidRDefault="00000000">
      <w:pPr>
        <w:spacing w:line="360" w:lineRule="auto"/>
      </w:pPr>
      <w:r>
        <w:t>The two relevant ethical committees, “</w:t>
      </w:r>
      <w:proofErr w:type="spellStart"/>
      <w:r>
        <w:rPr>
          <w:i/>
        </w:rPr>
        <w:t>Comitato</w:t>
      </w:r>
      <w:proofErr w:type="spellEnd"/>
      <w:r>
        <w:rPr>
          <w:i/>
        </w:rPr>
        <w:t xml:space="preserve"> </w:t>
      </w:r>
      <w:proofErr w:type="spellStart"/>
      <w:r>
        <w:rPr>
          <w:i/>
        </w:rPr>
        <w:t>Etico</w:t>
      </w:r>
      <w:proofErr w:type="spellEnd"/>
      <w:r>
        <w:rPr>
          <w:i/>
        </w:rPr>
        <w:t xml:space="preserve"> Pavia</w:t>
      </w:r>
      <w:r>
        <w:t>” and “</w:t>
      </w:r>
      <w:proofErr w:type="spellStart"/>
      <w:r>
        <w:rPr>
          <w:i/>
        </w:rPr>
        <w:t>Comitato</w:t>
      </w:r>
      <w:proofErr w:type="spellEnd"/>
      <w:r>
        <w:rPr>
          <w:i/>
        </w:rPr>
        <w:t xml:space="preserve"> </w:t>
      </w:r>
      <w:proofErr w:type="spellStart"/>
      <w:r>
        <w:rPr>
          <w:i/>
        </w:rPr>
        <w:t>Etico</w:t>
      </w:r>
      <w:proofErr w:type="spellEnd"/>
      <w:r>
        <w:rPr>
          <w:i/>
        </w:rPr>
        <w:t xml:space="preserve"> di Brescia</w:t>
      </w:r>
      <w:r>
        <w:t>”, have approved this protocol, respectively on September 5, 2018 and on May 7, 2019.</w:t>
      </w:r>
    </w:p>
    <w:p w14:paraId="03ABCF22" w14:textId="77777777" w:rsidR="006B5A2D" w:rsidRDefault="00000000">
      <w:pPr>
        <w:spacing w:line="360" w:lineRule="auto"/>
      </w:pPr>
      <w:r>
        <w:t>All patients or caregivers sign the informed consent prior to study enrolment and randomization.</w:t>
      </w:r>
    </w:p>
    <w:p w14:paraId="71360D83" w14:textId="77777777" w:rsidR="006B5A2D" w:rsidRDefault="00000000">
      <w:pPr>
        <w:spacing w:line="360" w:lineRule="auto"/>
      </w:pPr>
      <w:r>
        <w:t xml:space="preserve">Once completed the list of SIs, the PIs will communicate their names and affiliations to the Ethical Committees. It may happen during the conduction of telephone interviews, that patients demonstrate a potentially hazardous comprehension deficit of the prescribed therapies, e.g. a patient who ignores or refuses the prescription of parenteral or oral anticoagulants. In such cases, the interviewing PIs will promptly address the patients to his/her GP or send him/her back to the emergency department. </w:t>
      </w:r>
    </w:p>
    <w:p w14:paraId="41B14357" w14:textId="77777777" w:rsidR="006B5A2D" w:rsidRDefault="006B5A2D">
      <w:pPr>
        <w:shd w:val="clear" w:color="auto" w:fill="FFFFFF"/>
        <w:spacing w:line="360" w:lineRule="auto"/>
        <w:rPr>
          <w:rFonts w:ascii="Arial" w:eastAsia="Arial" w:hAnsi="Arial" w:cs="Arial"/>
          <w:sz w:val="19"/>
          <w:szCs w:val="19"/>
        </w:rPr>
      </w:pPr>
    </w:p>
    <w:p w14:paraId="4871380C" w14:textId="77777777" w:rsidR="006B5A2D" w:rsidRDefault="00000000">
      <w:pPr>
        <w:widowControl w:val="0"/>
        <w:pBdr>
          <w:top w:val="nil"/>
          <w:left w:val="nil"/>
          <w:bottom w:val="nil"/>
          <w:right w:val="nil"/>
          <w:between w:val="nil"/>
        </w:pBdr>
        <w:spacing w:before="120" w:after="120" w:line="360" w:lineRule="auto"/>
        <w:rPr>
          <w:rFonts w:ascii="Arial" w:eastAsia="Arial" w:hAnsi="Arial" w:cs="Arial"/>
          <w:b/>
          <w:color w:val="000000"/>
          <w:sz w:val="28"/>
        </w:rPr>
      </w:pPr>
      <w:r>
        <w:rPr>
          <w:rFonts w:ascii="Arial" w:eastAsia="Arial" w:hAnsi="Arial" w:cs="Arial"/>
          <w:b/>
          <w:color w:val="000000"/>
          <w:sz w:val="28"/>
        </w:rPr>
        <w:t>Dissemination policy</w:t>
      </w:r>
    </w:p>
    <w:p w14:paraId="3A7FFD3A" w14:textId="77777777" w:rsidR="006B5A2D" w:rsidRDefault="00000000">
      <w:pPr>
        <w:spacing w:line="360" w:lineRule="auto"/>
      </w:pPr>
      <w:r>
        <w:t>Patient’s data will not be shared with third parties and will always be used respecting their privacy.</w:t>
      </w:r>
    </w:p>
    <w:p w14:paraId="5B225DE1" w14:textId="77777777" w:rsidR="006B5A2D" w:rsidRDefault="00000000">
      <w:pPr>
        <w:spacing w:line="360" w:lineRule="auto"/>
      </w:pPr>
      <w:r>
        <w:lastRenderedPageBreak/>
        <w:t>At the end of the study, PI’s will produce a scientific paper for submission to peer-reviewed journals in the field of general medicine or emergency medicine.</w:t>
      </w:r>
    </w:p>
    <w:p w14:paraId="50786956" w14:textId="77777777" w:rsidR="006B5A2D" w:rsidRDefault="00000000">
      <w:pPr>
        <w:spacing w:line="360" w:lineRule="auto"/>
      </w:pPr>
      <w:r>
        <w:t xml:space="preserve">In case of publication, PIs will participate as authors of the paper, whereas all participating SIs will result as contributors. </w:t>
      </w:r>
    </w:p>
    <w:p w14:paraId="366DF7F6" w14:textId="77777777" w:rsidR="006B5A2D" w:rsidRDefault="00000000">
      <w:pPr>
        <w:spacing w:line="360" w:lineRule="auto"/>
        <w:rPr>
          <w:highlight w:val="white"/>
        </w:rPr>
      </w:pPr>
      <w:r>
        <w:rPr>
          <w:highlight w:val="white"/>
        </w:rPr>
        <w:t>Manuscript preparation will follow the CONSORT guideline: </w:t>
      </w:r>
      <w:hyperlink r:id="rId9">
        <w:r>
          <w:rPr>
            <w:color w:val="000000"/>
            <w:highlight w:val="white"/>
            <w:u w:val="single"/>
          </w:rPr>
          <w:t>http://www.equator-network.org/resource-centre/library-of-health-research-reporting/reporting-guidelines/</w:t>
        </w:r>
      </w:hyperlink>
      <w:r>
        <w:rPr>
          <w:highlight w:val="white"/>
          <w:u w:val="single"/>
        </w:rPr>
        <w:t>. </w:t>
      </w:r>
      <w:r>
        <w:rPr>
          <w:highlight w:val="white"/>
        </w:rPr>
        <w:t>The authors of the publications will be decided on the basis of indications contained in the Uniform Requirements for Manuscripts (</w:t>
      </w:r>
      <w:hyperlink r:id="rId10">
        <w:r>
          <w:rPr>
            <w:color w:val="000000"/>
            <w:highlight w:val="white"/>
            <w:u w:val="single"/>
          </w:rPr>
          <w:t>http://www.icmje.org/urm_full.pdf</w:t>
        </w:r>
      </w:hyperlink>
      <w:r>
        <w:rPr>
          <w:highlight w:val="white"/>
        </w:rPr>
        <w:t>).</w:t>
      </w:r>
    </w:p>
    <w:p w14:paraId="33CE6B8A" w14:textId="77777777" w:rsidR="006B5A2D" w:rsidRDefault="006B5A2D">
      <w:pPr>
        <w:shd w:val="clear" w:color="auto" w:fill="FFFFFF"/>
        <w:spacing w:line="360" w:lineRule="auto"/>
        <w:rPr>
          <w:rFonts w:ascii="Arial" w:eastAsia="Arial" w:hAnsi="Arial" w:cs="Arial"/>
          <w:sz w:val="19"/>
          <w:szCs w:val="19"/>
        </w:rPr>
      </w:pPr>
    </w:p>
    <w:p w14:paraId="11005870" w14:textId="77777777" w:rsidR="006B5A2D" w:rsidRDefault="00000000">
      <w:pPr>
        <w:widowControl w:val="0"/>
        <w:pBdr>
          <w:top w:val="nil"/>
          <w:left w:val="nil"/>
          <w:bottom w:val="nil"/>
          <w:right w:val="nil"/>
          <w:between w:val="nil"/>
        </w:pBdr>
        <w:spacing w:before="240" w:after="240" w:line="360" w:lineRule="auto"/>
        <w:rPr>
          <w:rFonts w:ascii="Arial" w:eastAsia="Arial" w:hAnsi="Arial" w:cs="Arial"/>
          <w:b/>
          <w:color w:val="000000"/>
          <w:sz w:val="28"/>
        </w:rPr>
      </w:pPr>
      <w:r>
        <w:rPr>
          <w:rFonts w:ascii="Arial" w:eastAsia="Arial" w:hAnsi="Arial" w:cs="Arial"/>
          <w:b/>
          <w:color w:val="000000"/>
          <w:sz w:val="28"/>
        </w:rPr>
        <w:t>Funding</w:t>
      </w:r>
    </w:p>
    <w:p w14:paraId="554D8938" w14:textId="77777777" w:rsidR="006B5A2D" w:rsidRDefault="00000000">
      <w:pPr>
        <w:spacing w:line="360" w:lineRule="auto"/>
      </w:pPr>
      <w:r>
        <w:t>This study is not sponsored.</w:t>
      </w:r>
    </w:p>
    <w:p w14:paraId="1A95FC97" w14:textId="77777777" w:rsidR="006B5A2D" w:rsidRDefault="00000000">
      <w:pPr>
        <w:spacing w:line="360" w:lineRule="auto"/>
      </w:pPr>
      <w:r>
        <w:t>The conduction of the study does not add additional costs for the participating institutions.</w:t>
      </w:r>
    </w:p>
    <w:p w14:paraId="0707FF21" w14:textId="77777777" w:rsidR="006B5A2D" w:rsidRDefault="00000000">
      <w:pPr>
        <w:spacing w:line="360" w:lineRule="auto"/>
      </w:pPr>
      <w:r>
        <w:t xml:space="preserve">The interventional videos are freely available on several websites and are not covered by copyright or royalties. Phone calls are made from a telephone within the IRCCS </w:t>
      </w:r>
      <w:proofErr w:type="spellStart"/>
      <w:r>
        <w:t>Ospedale</w:t>
      </w:r>
      <w:proofErr w:type="spellEnd"/>
      <w:r>
        <w:t xml:space="preserve"> San Matteo at negligible costs.</w:t>
      </w:r>
    </w:p>
    <w:p w14:paraId="58D35966" w14:textId="77777777" w:rsidR="006B5A2D" w:rsidRDefault="00000000">
      <w:pPr>
        <w:spacing w:line="360" w:lineRule="auto"/>
      </w:pPr>
      <w:r>
        <w:t>The software used for phone calls management is also freely downloadable from the internet.</w:t>
      </w:r>
    </w:p>
    <w:p w14:paraId="3F1971AD" w14:textId="77777777" w:rsidR="006B5A2D" w:rsidRDefault="00000000">
      <w:pPr>
        <w:spacing w:line="360" w:lineRule="auto"/>
      </w:pPr>
      <w:r>
        <w:t>Since the intervention under study is an educational video and not a drug, we will not stipulate any insurance, as the intervention does not constitute a potential harm for patients.</w:t>
      </w:r>
    </w:p>
    <w:p w14:paraId="4E2AC899" w14:textId="77777777" w:rsidR="006B5A2D" w:rsidRDefault="006B5A2D">
      <w:pPr>
        <w:spacing w:line="360" w:lineRule="auto"/>
      </w:pPr>
    </w:p>
    <w:p w14:paraId="5A5E6BC0" w14:textId="77777777" w:rsidR="006B5A2D" w:rsidRDefault="006B5A2D">
      <w:pPr>
        <w:spacing w:line="360" w:lineRule="auto"/>
      </w:pPr>
    </w:p>
    <w:p w14:paraId="73587A3E" w14:textId="77777777" w:rsidR="006B5A2D" w:rsidRDefault="006B5A2D">
      <w:pPr>
        <w:spacing w:line="360" w:lineRule="auto"/>
      </w:pPr>
    </w:p>
    <w:p w14:paraId="24568008" w14:textId="77777777" w:rsidR="006B5A2D" w:rsidRDefault="006B5A2D">
      <w:pPr>
        <w:spacing w:line="360" w:lineRule="auto"/>
      </w:pPr>
    </w:p>
    <w:p w14:paraId="257A6EC7" w14:textId="77777777" w:rsidR="006B5A2D" w:rsidRDefault="006B5A2D">
      <w:pPr>
        <w:spacing w:line="276" w:lineRule="auto"/>
      </w:pPr>
    </w:p>
    <w:p w14:paraId="64F880C9" w14:textId="77777777" w:rsidR="006B5A2D" w:rsidRDefault="006B5A2D">
      <w:pPr>
        <w:spacing w:line="276" w:lineRule="auto"/>
      </w:pPr>
    </w:p>
    <w:p w14:paraId="2C719D93" w14:textId="77777777" w:rsidR="006B5A2D" w:rsidRDefault="006B5A2D">
      <w:pPr>
        <w:spacing w:line="276" w:lineRule="auto"/>
      </w:pPr>
    </w:p>
    <w:p w14:paraId="1DB6E23A" w14:textId="77777777" w:rsidR="006B5A2D" w:rsidRDefault="006B5A2D">
      <w:pPr>
        <w:spacing w:line="276" w:lineRule="auto"/>
      </w:pPr>
    </w:p>
    <w:p w14:paraId="0C118C09" w14:textId="77777777" w:rsidR="006B5A2D" w:rsidRDefault="006B5A2D"/>
    <w:p w14:paraId="1835FB41" w14:textId="77777777" w:rsidR="006B5A2D" w:rsidRDefault="006B5A2D"/>
    <w:p w14:paraId="69F4B91D" w14:textId="77777777" w:rsidR="006B5A2D" w:rsidRDefault="006B5A2D"/>
    <w:p w14:paraId="6C6E78D5" w14:textId="77777777" w:rsidR="006B5A2D" w:rsidRDefault="006B5A2D"/>
    <w:p w14:paraId="651E6169" w14:textId="77777777" w:rsidR="006B5A2D" w:rsidRDefault="006B5A2D"/>
    <w:p w14:paraId="598BF7D9" w14:textId="77777777" w:rsidR="006B5A2D" w:rsidRDefault="006B5A2D"/>
    <w:p w14:paraId="69B01F97" w14:textId="77777777" w:rsidR="006B5A2D" w:rsidRDefault="006B5A2D"/>
    <w:p w14:paraId="24B8C2F1" w14:textId="77777777" w:rsidR="006B5A2D" w:rsidRDefault="006B5A2D"/>
    <w:p w14:paraId="5F1B5E48" w14:textId="77777777" w:rsidR="006B5A2D" w:rsidRDefault="006B5A2D"/>
    <w:p w14:paraId="37FCDBFB" w14:textId="77777777" w:rsidR="006B5A2D" w:rsidRDefault="006B5A2D"/>
    <w:p w14:paraId="7A8FEE44" w14:textId="77777777" w:rsidR="006B5A2D" w:rsidRDefault="006B5A2D"/>
    <w:p w14:paraId="7EB4AED8" w14:textId="77777777" w:rsidR="006B5A2D" w:rsidRDefault="006B5A2D"/>
    <w:p w14:paraId="74A49651" w14:textId="77777777" w:rsidR="006B5A2D" w:rsidRDefault="006B5A2D"/>
    <w:p w14:paraId="69279962" w14:textId="77777777" w:rsidR="006B5A2D" w:rsidRDefault="006B5A2D"/>
    <w:p w14:paraId="2F343D76" w14:textId="77777777" w:rsidR="006B5A2D" w:rsidRDefault="006B5A2D"/>
    <w:p w14:paraId="0226B130" w14:textId="77777777" w:rsidR="006B5A2D" w:rsidRDefault="006B5A2D"/>
    <w:p w14:paraId="21681F55" w14:textId="77777777" w:rsidR="006B5A2D" w:rsidRDefault="006B5A2D"/>
    <w:p w14:paraId="3286CFC2" w14:textId="77777777" w:rsidR="006B5A2D" w:rsidRDefault="006B5A2D"/>
    <w:p w14:paraId="78DD01B7" w14:textId="77777777" w:rsidR="006B5A2D" w:rsidRDefault="006B5A2D"/>
    <w:p w14:paraId="5197CB2E" w14:textId="77777777" w:rsidR="006B5A2D" w:rsidRDefault="006B5A2D"/>
    <w:p w14:paraId="475A8DBC" w14:textId="77777777" w:rsidR="006B5A2D" w:rsidRDefault="006B5A2D"/>
    <w:p w14:paraId="77FC3FF5" w14:textId="77777777" w:rsidR="006B5A2D" w:rsidRDefault="006B5A2D"/>
    <w:p w14:paraId="232E91F7" w14:textId="77777777" w:rsidR="006B5A2D" w:rsidRDefault="006B5A2D"/>
    <w:p w14:paraId="4CA2833A" w14:textId="77777777" w:rsidR="006B5A2D" w:rsidRDefault="006B5A2D"/>
    <w:p w14:paraId="11912163" w14:textId="77777777" w:rsidR="006B5A2D" w:rsidRDefault="006B5A2D"/>
    <w:p w14:paraId="07BA9A3A" w14:textId="77777777" w:rsidR="006B5A2D" w:rsidRDefault="006B5A2D"/>
    <w:p w14:paraId="1CBB4C95" w14:textId="77777777" w:rsidR="006B5A2D" w:rsidRDefault="006B5A2D"/>
    <w:p w14:paraId="5875BBBB" w14:textId="77777777" w:rsidR="006B5A2D" w:rsidRDefault="006B5A2D"/>
    <w:p w14:paraId="37AFD957" w14:textId="77777777" w:rsidR="006B5A2D" w:rsidRDefault="006B5A2D"/>
    <w:p w14:paraId="7031A15D" w14:textId="77777777" w:rsidR="006B5A2D" w:rsidRDefault="006B5A2D"/>
    <w:p w14:paraId="3B0866EB" w14:textId="77777777" w:rsidR="006B5A2D" w:rsidRDefault="006B5A2D"/>
    <w:p w14:paraId="4C612235" w14:textId="77777777" w:rsidR="006B5A2D" w:rsidRDefault="006B5A2D"/>
    <w:p w14:paraId="456A271E" w14:textId="77777777" w:rsidR="006B5A2D" w:rsidRDefault="00000000">
      <w:pPr>
        <w:widowControl w:val="0"/>
        <w:pBdr>
          <w:top w:val="nil"/>
          <w:left w:val="nil"/>
          <w:bottom w:val="nil"/>
          <w:right w:val="nil"/>
          <w:between w:val="nil"/>
        </w:pBdr>
        <w:spacing w:before="120" w:after="120" w:line="360" w:lineRule="auto"/>
        <w:rPr>
          <w:rFonts w:ascii="Arial" w:eastAsia="Arial" w:hAnsi="Arial" w:cs="Arial"/>
          <w:b/>
          <w:color w:val="000000"/>
          <w:sz w:val="28"/>
        </w:rPr>
      </w:pPr>
      <w:r>
        <w:rPr>
          <w:rFonts w:ascii="Arial" w:eastAsia="Arial" w:hAnsi="Arial" w:cs="Arial"/>
          <w:b/>
          <w:color w:val="000000"/>
          <w:sz w:val="28"/>
        </w:rPr>
        <w:t xml:space="preserve">Bibliography </w:t>
      </w:r>
    </w:p>
    <w:sectPr w:rsidR="006B5A2D">
      <w:headerReference w:type="default" r:id="rId11"/>
      <w:footerReference w:type="default" r:id="rId12"/>
      <w:endnotePr>
        <w:numFmt w:val="decimal"/>
      </w:endnotePr>
      <w:pgSz w:w="11906" w:h="16838"/>
      <w:pgMar w:top="1418"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FFDBD" w14:textId="77777777" w:rsidR="0099685E" w:rsidRDefault="0099685E">
      <w:r>
        <w:separator/>
      </w:r>
    </w:p>
  </w:endnote>
  <w:endnote w:type="continuationSeparator" w:id="0">
    <w:p w14:paraId="385B3DA0" w14:textId="77777777" w:rsidR="0099685E" w:rsidRDefault="0099685E">
      <w:r>
        <w:continuationSeparator/>
      </w:r>
    </w:p>
  </w:endnote>
  <w:endnote w:id="1">
    <w:p w14:paraId="0E20EF6C" w14:textId="77777777" w:rsidR="000D701A" w:rsidRDefault="000D701A">
      <w:pPr>
        <w:pBdr>
          <w:top w:val="nil"/>
          <w:left w:val="nil"/>
          <w:bottom w:val="nil"/>
          <w:right w:val="nil"/>
          <w:between w:val="nil"/>
        </w:pBdr>
        <w:tabs>
          <w:tab w:val="left" w:pos="284"/>
        </w:tabs>
        <w:spacing w:line="276" w:lineRule="auto"/>
        <w:ind w:left="284" w:hanging="284"/>
        <w:rPr>
          <w:color w:val="000000"/>
        </w:rPr>
      </w:pPr>
      <w:r>
        <w:rPr>
          <w:vertAlign w:val="superscript"/>
        </w:rPr>
        <w:endnoteRef/>
      </w:r>
      <w:r>
        <w:rPr>
          <w:color w:val="000000"/>
        </w:rPr>
        <w:t xml:space="preserve"> </w:t>
      </w:r>
      <w:r>
        <w:rPr>
          <w:color w:val="000000"/>
        </w:rPr>
        <w:tab/>
        <w:t>Rosenzweig S. Emergency Rapport . J Emerg Med. 1993; 11:775-8.</w:t>
      </w:r>
    </w:p>
    <w:p w14:paraId="208DC825" w14:textId="77777777" w:rsidR="000D701A" w:rsidRDefault="000D701A">
      <w:pPr>
        <w:pBdr>
          <w:top w:val="nil"/>
          <w:left w:val="nil"/>
          <w:bottom w:val="nil"/>
          <w:right w:val="nil"/>
          <w:between w:val="nil"/>
        </w:pBdr>
        <w:tabs>
          <w:tab w:val="left" w:pos="284"/>
        </w:tabs>
        <w:spacing w:line="276" w:lineRule="auto"/>
        <w:ind w:left="284" w:hanging="284"/>
        <w:rPr>
          <w:color w:val="000000"/>
        </w:rPr>
      </w:pPr>
    </w:p>
  </w:endnote>
  <w:endnote w:id="2">
    <w:p w14:paraId="7A43F8F9" w14:textId="77777777" w:rsidR="000D701A" w:rsidRDefault="000D701A">
      <w:pPr>
        <w:pBdr>
          <w:top w:val="nil"/>
          <w:left w:val="nil"/>
          <w:bottom w:val="nil"/>
          <w:right w:val="nil"/>
          <w:between w:val="nil"/>
        </w:pBdr>
        <w:tabs>
          <w:tab w:val="left" w:pos="284"/>
        </w:tabs>
        <w:spacing w:line="276" w:lineRule="auto"/>
        <w:ind w:left="284" w:hanging="284"/>
        <w:rPr>
          <w:color w:val="000000"/>
        </w:rPr>
      </w:pPr>
      <w:r>
        <w:rPr>
          <w:vertAlign w:val="superscript"/>
        </w:rPr>
        <w:endnoteRef/>
      </w:r>
      <w:r>
        <w:rPr>
          <w:color w:val="000000"/>
        </w:rPr>
        <w:t xml:space="preserve"> </w:t>
      </w:r>
      <w:r>
        <w:rPr>
          <w:color w:val="000000"/>
        </w:rPr>
        <w:tab/>
        <w:t>DeShazo RD. Two-way Medicine: Strategies for Improving Doctor-Patient Relationships. South Med J. 1993; 86(1):27-30.</w:t>
      </w:r>
    </w:p>
    <w:p w14:paraId="1CB357E1" w14:textId="77777777" w:rsidR="000D701A" w:rsidRDefault="000D701A">
      <w:pPr>
        <w:pBdr>
          <w:top w:val="nil"/>
          <w:left w:val="nil"/>
          <w:bottom w:val="nil"/>
          <w:right w:val="nil"/>
          <w:between w:val="nil"/>
        </w:pBdr>
        <w:tabs>
          <w:tab w:val="left" w:pos="284"/>
        </w:tabs>
        <w:spacing w:line="276" w:lineRule="auto"/>
        <w:ind w:left="284" w:hanging="284"/>
        <w:rPr>
          <w:color w:val="000000"/>
        </w:rPr>
      </w:pPr>
    </w:p>
  </w:endnote>
  <w:endnote w:id="3">
    <w:p w14:paraId="273F0A1D" w14:textId="77777777" w:rsidR="000D701A" w:rsidRDefault="000D701A">
      <w:pPr>
        <w:pBdr>
          <w:top w:val="nil"/>
          <w:left w:val="nil"/>
          <w:bottom w:val="nil"/>
          <w:right w:val="nil"/>
          <w:between w:val="nil"/>
        </w:pBdr>
        <w:tabs>
          <w:tab w:val="left" w:pos="284"/>
        </w:tabs>
        <w:spacing w:line="276" w:lineRule="auto"/>
        <w:ind w:left="284" w:hanging="284"/>
        <w:rPr>
          <w:color w:val="000000"/>
        </w:rPr>
      </w:pPr>
      <w:r>
        <w:rPr>
          <w:vertAlign w:val="superscript"/>
        </w:rPr>
        <w:endnoteRef/>
      </w:r>
      <w:r>
        <w:rPr>
          <w:color w:val="000000"/>
        </w:rPr>
        <w:t xml:space="preserve"> </w:t>
      </w:r>
      <w:r>
        <w:rPr>
          <w:color w:val="000000"/>
        </w:rPr>
        <w:tab/>
        <w:t>DeVoe JE, Wallace LS, Fryer GE Jr. Measuring patients’ perceptions of communication with healthcare providers: do differences in demographic and socioeconomic characteristics matter? Health Expect. 2009;12:70-80.</w:t>
      </w:r>
    </w:p>
    <w:p w14:paraId="3873B6EE" w14:textId="77777777" w:rsidR="000D701A" w:rsidRDefault="000D701A">
      <w:pPr>
        <w:pBdr>
          <w:top w:val="nil"/>
          <w:left w:val="nil"/>
          <w:bottom w:val="nil"/>
          <w:right w:val="nil"/>
          <w:between w:val="nil"/>
        </w:pBdr>
        <w:tabs>
          <w:tab w:val="left" w:pos="284"/>
        </w:tabs>
        <w:spacing w:line="276" w:lineRule="auto"/>
        <w:ind w:left="284" w:hanging="284"/>
        <w:rPr>
          <w:color w:val="000000"/>
        </w:rPr>
      </w:pPr>
    </w:p>
  </w:endnote>
  <w:endnote w:id="4">
    <w:p w14:paraId="4A3D8B5F" w14:textId="77777777" w:rsidR="000D701A" w:rsidRDefault="000D701A">
      <w:pPr>
        <w:pBdr>
          <w:top w:val="nil"/>
          <w:left w:val="nil"/>
          <w:bottom w:val="nil"/>
          <w:right w:val="nil"/>
          <w:between w:val="nil"/>
        </w:pBdr>
        <w:tabs>
          <w:tab w:val="left" w:pos="284"/>
        </w:tabs>
        <w:spacing w:line="276" w:lineRule="auto"/>
        <w:ind w:left="284" w:hanging="284"/>
        <w:rPr>
          <w:color w:val="000000"/>
        </w:rPr>
      </w:pPr>
      <w:r>
        <w:rPr>
          <w:vertAlign w:val="superscript"/>
        </w:rPr>
        <w:endnoteRef/>
      </w:r>
      <w:r>
        <w:rPr>
          <w:color w:val="000000"/>
        </w:rPr>
        <w:t xml:space="preserve"> </w:t>
      </w:r>
      <w:r>
        <w:rPr>
          <w:color w:val="000000"/>
        </w:rPr>
        <w:tab/>
        <w:t>Anita Vashi, MD, MPH, Karin V. Rhodes, MD, MS. “Sign Right Here and You’re Good to Go”: A Content Analysis of Audiotaped Emergency Department Discharge Instructions. Ann Emerg Med. 2011;57:315-322.</w:t>
      </w:r>
    </w:p>
    <w:p w14:paraId="36189D38" w14:textId="77777777" w:rsidR="000D701A" w:rsidRDefault="000D701A">
      <w:pPr>
        <w:pBdr>
          <w:top w:val="nil"/>
          <w:left w:val="nil"/>
          <w:bottom w:val="nil"/>
          <w:right w:val="nil"/>
          <w:between w:val="nil"/>
        </w:pBdr>
        <w:tabs>
          <w:tab w:val="left" w:pos="284"/>
        </w:tabs>
        <w:spacing w:line="276" w:lineRule="auto"/>
        <w:ind w:left="284" w:hanging="284"/>
        <w:rPr>
          <w:color w:val="000000"/>
        </w:rPr>
      </w:pPr>
    </w:p>
  </w:endnote>
  <w:endnote w:id="5">
    <w:p w14:paraId="695441C9" w14:textId="77777777" w:rsidR="000D701A" w:rsidRDefault="000D701A">
      <w:pPr>
        <w:pBdr>
          <w:top w:val="nil"/>
          <w:left w:val="nil"/>
          <w:bottom w:val="nil"/>
          <w:right w:val="nil"/>
          <w:between w:val="nil"/>
        </w:pBdr>
        <w:tabs>
          <w:tab w:val="left" w:pos="284"/>
        </w:tabs>
        <w:spacing w:line="276" w:lineRule="auto"/>
        <w:ind w:left="284" w:hanging="284"/>
        <w:rPr>
          <w:color w:val="000000"/>
        </w:rPr>
      </w:pPr>
      <w:r>
        <w:rPr>
          <w:vertAlign w:val="superscript"/>
        </w:rPr>
        <w:endnoteRef/>
      </w:r>
      <w:r>
        <w:rPr>
          <w:color w:val="000000"/>
        </w:rPr>
        <w:t xml:space="preserve"> </w:t>
      </w:r>
      <w:r>
        <w:rPr>
          <w:color w:val="000000"/>
        </w:rPr>
        <w:tab/>
        <w:t xml:space="preserve">Epstein RM, Campbell TL, Cohen-Cole SA, et al. Perspectives on Patient-Doctor Communication. J Fam </w:t>
      </w:r>
      <w:proofErr w:type="spellStart"/>
      <w:r>
        <w:rPr>
          <w:color w:val="000000"/>
        </w:rPr>
        <w:t>Pract</w:t>
      </w:r>
      <w:proofErr w:type="spellEnd"/>
      <w:r>
        <w:rPr>
          <w:color w:val="000000"/>
        </w:rPr>
        <w:t>. 1993;37(4):377-88.</w:t>
      </w:r>
    </w:p>
    <w:p w14:paraId="606CB10E" w14:textId="77777777" w:rsidR="000D701A" w:rsidRDefault="000D701A">
      <w:pPr>
        <w:pBdr>
          <w:top w:val="nil"/>
          <w:left w:val="nil"/>
          <w:bottom w:val="nil"/>
          <w:right w:val="nil"/>
          <w:between w:val="nil"/>
        </w:pBdr>
        <w:tabs>
          <w:tab w:val="left" w:pos="284"/>
        </w:tabs>
        <w:spacing w:line="276" w:lineRule="auto"/>
        <w:ind w:left="284" w:hanging="284"/>
        <w:rPr>
          <w:color w:val="000000"/>
        </w:rPr>
      </w:pPr>
    </w:p>
  </w:endnote>
  <w:endnote w:id="6">
    <w:p w14:paraId="44D15BA6" w14:textId="77777777" w:rsidR="000D701A" w:rsidRDefault="000D701A">
      <w:pPr>
        <w:pBdr>
          <w:top w:val="nil"/>
          <w:left w:val="nil"/>
          <w:bottom w:val="nil"/>
          <w:right w:val="nil"/>
          <w:between w:val="nil"/>
        </w:pBdr>
        <w:tabs>
          <w:tab w:val="left" w:pos="284"/>
        </w:tabs>
        <w:spacing w:line="276" w:lineRule="auto"/>
        <w:ind w:left="284" w:hanging="284"/>
        <w:rPr>
          <w:color w:val="000000"/>
        </w:rPr>
      </w:pPr>
      <w:r>
        <w:rPr>
          <w:vertAlign w:val="superscript"/>
        </w:rPr>
        <w:endnoteRef/>
      </w:r>
      <w:r>
        <w:rPr>
          <w:color w:val="000000"/>
        </w:rPr>
        <w:t xml:space="preserve"> </w:t>
      </w:r>
      <w:r>
        <w:rPr>
          <w:color w:val="000000"/>
        </w:rPr>
        <w:tab/>
        <w:t>Novack DH, Volk G, Drossman DA, et al. Medical Interviewing and Interpersonal Skills Teaching in US Medical Schools. JAMA. 1993; 269(16):2101-5.</w:t>
      </w:r>
    </w:p>
    <w:p w14:paraId="2EB5C8EC" w14:textId="77777777" w:rsidR="000D701A" w:rsidRDefault="000D701A">
      <w:pPr>
        <w:pBdr>
          <w:top w:val="nil"/>
          <w:left w:val="nil"/>
          <w:bottom w:val="nil"/>
          <w:right w:val="nil"/>
          <w:between w:val="nil"/>
        </w:pBdr>
        <w:tabs>
          <w:tab w:val="left" w:pos="284"/>
        </w:tabs>
        <w:spacing w:line="276" w:lineRule="auto"/>
        <w:ind w:left="284" w:hanging="284"/>
        <w:rPr>
          <w:color w:val="000000"/>
        </w:rPr>
      </w:pPr>
    </w:p>
  </w:endnote>
  <w:endnote w:id="7">
    <w:p w14:paraId="0EE9C281" w14:textId="77777777" w:rsidR="000D701A" w:rsidRDefault="000D701A">
      <w:pPr>
        <w:pBdr>
          <w:top w:val="nil"/>
          <w:left w:val="nil"/>
          <w:bottom w:val="nil"/>
          <w:right w:val="nil"/>
          <w:between w:val="nil"/>
        </w:pBdr>
        <w:tabs>
          <w:tab w:val="left" w:pos="284"/>
        </w:tabs>
        <w:spacing w:line="276" w:lineRule="auto"/>
        <w:ind w:left="284" w:hanging="284"/>
        <w:rPr>
          <w:color w:val="000000"/>
        </w:rPr>
      </w:pPr>
      <w:r>
        <w:rPr>
          <w:vertAlign w:val="superscript"/>
        </w:rPr>
        <w:endnoteRef/>
      </w:r>
      <w:r>
        <w:rPr>
          <w:color w:val="000000"/>
        </w:rPr>
        <w:t xml:space="preserve"> </w:t>
      </w:r>
      <w:r>
        <w:rPr>
          <w:color w:val="000000"/>
        </w:rPr>
        <w:tab/>
      </w:r>
      <w:proofErr w:type="spellStart"/>
      <w:r>
        <w:rPr>
          <w:color w:val="000000"/>
        </w:rPr>
        <w:t>Torten</w:t>
      </w:r>
      <w:proofErr w:type="spellEnd"/>
      <w:r>
        <w:rPr>
          <w:color w:val="000000"/>
        </w:rPr>
        <w:t xml:space="preserve"> VL, Knopp R, </w:t>
      </w:r>
      <w:proofErr w:type="spellStart"/>
      <w:r>
        <w:rPr>
          <w:color w:val="000000"/>
        </w:rPr>
        <w:t>Helpem</w:t>
      </w:r>
      <w:proofErr w:type="spellEnd"/>
      <w:r>
        <w:rPr>
          <w:color w:val="000000"/>
        </w:rPr>
        <w:t xml:space="preserve"> K, et al. Physician-patient communication in the emergency department, part 2: communication strategies for specific situations. SAEM Task Force on Physician-Patient Communication. </w:t>
      </w:r>
      <w:proofErr w:type="spellStart"/>
      <w:r>
        <w:rPr>
          <w:color w:val="000000"/>
        </w:rPr>
        <w:t>Acad</w:t>
      </w:r>
      <w:proofErr w:type="spellEnd"/>
      <w:r>
        <w:rPr>
          <w:color w:val="000000"/>
        </w:rPr>
        <w:t xml:space="preserve"> Emerg Med. 1996;3:1146-1153</w:t>
      </w:r>
    </w:p>
    <w:p w14:paraId="38D78E41" w14:textId="77777777" w:rsidR="000D701A" w:rsidRDefault="000D701A">
      <w:pPr>
        <w:pBdr>
          <w:top w:val="nil"/>
          <w:left w:val="nil"/>
          <w:bottom w:val="nil"/>
          <w:right w:val="nil"/>
          <w:between w:val="nil"/>
        </w:pBdr>
        <w:tabs>
          <w:tab w:val="left" w:pos="284"/>
        </w:tabs>
        <w:spacing w:line="276" w:lineRule="auto"/>
        <w:ind w:left="284" w:hanging="284"/>
        <w:rPr>
          <w:color w:val="000000"/>
        </w:rPr>
      </w:pPr>
    </w:p>
  </w:endnote>
  <w:endnote w:id="8">
    <w:p w14:paraId="407920B7" w14:textId="77777777" w:rsidR="000D701A" w:rsidRDefault="000D701A">
      <w:pPr>
        <w:pBdr>
          <w:top w:val="nil"/>
          <w:left w:val="nil"/>
          <w:bottom w:val="nil"/>
          <w:right w:val="nil"/>
          <w:between w:val="nil"/>
        </w:pBdr>
        <w:tabs>
          <w:tab w:val="left" w:pos="284"/>
        </w:tabs>
        <w:spacing w:line="276" w:lineRule="auto"/>
        <w:ind w:left="284" w:hanging="284"/>
        <w:rPr>
          <w:color w:val="000000"/>
        </w:rPr>
      </w:pPr>
      <w:r>
        <w:rPr>
          <w:vertAlign w:val="superscript"/>
        </w:rPr>
        <w:endnoteRef/>
      </w:r>
      <w:r>
        <w:rPr>
          <w:color w:val="000000"/>
        </w:rPr>
        <w:t xml:space="preserve"> </w:t>
      </w:r>
      <w:r>
        <w:rPr>
          <w:color w:val="000000"/>
        </w:rPr>
        <w:tab/>
        <w:t>Rhodes KV, Vieth T, He T, et al. Resuscitating the physician-patient relationship: emergency department communication in an academic medical center. Ann Emerg Med. 2004;44:262-267.</w:t>
      </w:r>
    </w:p>
    <w:p w14:paraId="01E8E2CD" w14:textId="77777777" w:rsidR="000D701A" w:rsidRDefault="000D701A">
      <w:pPr>
        <w:pBdr>
          <w:top w:val="nil"/>
          <w:left w:val="nil"/>
          <w:bottom w:val="nil"/>
          <w:right w:val="nil"/>
          <w:between w:val="nil"/>
        </w:pBdr>
        <w:tabs>
          <w:tab w:val="left" w:pos="284"/>
        </w:tabs>
        <w:spacing w:line="276" w:lineRule="auto"/>
        <w:ind w:left="284" w:hanging="284"/>
        <w:rPr>
          <w:color w:val="000000"/>
        </w:rPr>
      </w:pPr>
    </w:p>
  </w:endnote>
  <w:endnote w:id="9">
    <w:p w14:paraId="5E518F8A" w14:textId="77777777" w:rsidR="000D701A" w:rsidRDefault="000D701A">
      <w:pPr>
        <w:pBdr>
          <w:top w:val="nil"/>
          <w:left w:val="nil"/>
          <w:bottom w:val="nil"/>
          <w:right w:val="nil"/>
          <w:between w:val="nil"/>
        </w:pBdr>
        <w:tabs>
          <w:tab w:val="left" w:pos="284"/>
        </w:tabs>
        <w:spacing w:line="276" w:lineRule="auto"/>
        <w:ind w:left="284" w:hanging="284"/>
        <w:rPr>
          <w:color w:val="000000"/>
        </w:rPr>
      </w:pPr>
      <w:r>
        <w:rPr>
          <w:vertAlign w:val="superscript"/>
        </w:rPr>
        <w:endnoteRef/>
      </w:r>
      <w:r>
        <w:rPr>
          <w:color w:val="000000"/>
        </w:rPr>
        <w:t xml:space="preserve"> </w:t>
      </w:r>
      <w:r>
        <w:rPr>
          <w:color w:val="000000"/>
        </w:rPr>
        <w:tab/>
        <w:t xml:space="preserve">Anita Vashi, MD, MPH, Karin V. Rhodes, MD, </w:t>
      </w:r>
      <w:proofErr w:type="spellStart"/>
      <w:r>
        <w:rPr>
          <w:color w:val="000000"/>
        </w:rPr>
        <w:t>MS.“Sign</w:t>
      </w:r>
      <w:proofErr w:type="spellEnd"/>
      <w:r>
        <w:rPr>
          <w:color w:val="000000"/>
        </w:rPr>
        <w:t xml:space="preserve"> Right Here and You’re Good to Go”: A Content Analysis of Audiotaped Emergency </w:t>
      </w:r>
      <w:proofErr w:type="spellStart"/>
      <w:r>
        <w:rPr>
          <w:color w:val="000000"/>
        </w:rPr>
        <w:t>Departement</w:t>
      </w:r>
      <w:proofErr w:type="spellEnd"/>
      <w:r>
        <w:rPr>
          <w:color w:val="000000"/>
        </w:rPr>
        <w:t xml:space="preserve"> Discharge Instructions. Ann Emerg Med. 2011;57:315-322.</w:t>
      </w:r>
    </w:p>
    <w:p w14:paraId="79FC7C65" w14:textId="77777777" w:rsidR="000D701A" w:rsidRDefault="000D701A">
      <w:pPr>
        <w:pBdr>
          <w:top w:val="nil"/>
          <w:left w:val="nil"/>
          <w:bottom w:val="nil"/>
          <w:right w:val="nil"/>
          <w:between w:val="nil"/>
        </w:pBdr>
        <w:tabs>
          <w:tab w:val="left" w:pos="284"/>
        </w:tabs>
        <w:spacing w:line="276" w:lineRule="auto"/>
        <w:ind w:left="284" w:hanging="284"/>
        <w:rPr>
          <w:color w:val="000000"/>
        </w:rPr>
      </w:pPr>
    </w:p>
  </w:endnote>
  <w:endnote w:id="10">
    <w:p w14:paraId="663D28AC" w14:textId="77777777" w:rsidR="000D701A" w:rsidRDefault="000D701A">
      <w:pPr>
        <w:pBdr>
          <w:top w:val="nil"/>
          <w:left w:val="nil"/>
          <w:bottom w:val="nil"/>
          <w:right w:val="nil"/>
          <w:between w:val="nil"/>
        </w:pBdr>
        <w:tabs>
          <w:tab w:val="left" w:pos="284"/>
        </w:tabs>
        <w:spacing w:line="276" w:lineRule="auto"/>
        <w:ind w:left="284" w:hanging="284"/>
        <w:rPr>
          <w:color w:val="000000"/>
        </w:rPr>
      </w:pPr>
      <w:r>
        <w:rPr>
          <w:vertAlign w:val="superscript"/>
        </w:rPr>
        <w:endnoteRef/>
      </w:r>
      <w:r>
        <w:rPr>
          <w:color w:val="000000"/>
        </w:rPr>
        <w:t xml:space="preserve"> </w:t>
      </w:r>
      <w:r>
        <w:rPr>
          <w:color w:val="000000"/>
        </w:rPr>
        <w:tab/>
        <w:t>John A. Crane, MD. Patient Comprehension of Doctor-Patient Communication on Discharge from the Emergency Department. The Journal of Emergency Medicine, Vol 15, No 1, pp 1-7, 1997</w:t>
      </w:r>
    </w:p>
    <w:p w14:paraId="534E4399" w14:textId="77777777" w:rsidR="000D701A" w:rsidRDefault="000D701A">
      <w:pPr>
        <w:pBdr>
          <w:top w:val="nil"/>
          <w:left w:val="nil"/>
          <w:bottom w:val="nil"/>
          <w:right w:val="nil"/>
          <w:between w:val="nil"/>
        </w:pBdr>
        <w:tabs>
          <w:tab w:val="left" w:pos="284"/>
        </w:tabs>
        <w:spacing w:line="276" w:lineRule="auto"/>
        <w:ind w:left="284" w:hanging="284"/>
        <w:rPr>
          <w:color w:val="000000"/>
        </w:rPr>
      </w:pPr>
    </w:p>
  </w:endnote>
  <w:endnote w:id="11">
    <w:p w14:paraId="7C841ABF" w14:textId="77777777" w:rsidR="000D701A" w:rsidRDefault="000D701A">
      <w:pPr>
        <w:pBdr>
          <w:top w:val="nil"/>
          <w:left w:val="nil"/>
          <w:bottom w:val="nil"/>
          <w:right w:val="nil"/>
          <w:between w:val="nil"/>
        </w:pBdr>
        <w:tabs>
          <w:tab w:val="left" w:pos="284"/>
        </w:tabs>
        <w:spacing w:line="276" w:lineRule="auto"/>
        <w:ind w:left="284" w:hanging="284"/>
        <w:rPr>
          <w:color w:val="000000"/>
        </w:rPr>
      </w:pPr>
      <w:r>
        <w:rPr>
          <w:vertAlign w:val="superscript"/>
        </w:rPr>
        <w:endnoteRef/>
      </w:r>
      <w:r>
        <w:rPr>
          <w:color w:val="000000"/>
        </w:rPr>
        <w:t xml:space="preserve"> </w:t>
      </w:r>
      <w:r>
        <w:rPr>
          <w:color w:val="000000"/>
        </w:rPr>
        <w:tab/>
        <w:t xml:space="preserve">Kirsten G. Engel, Michele </w:t>
      </w:r>
      <w:proofErr w:type="spellStart"/>
      <w:r>
        <w:rPr>
          <w:color w:val="000000"/>
        </w:rPr>
        <w:t>Helsler</w:t>
      </w:r>
      <w:proofErr w:type="spellEnd"/>
      <w:r>
        <w:rPr>
          <w:color w:val="000000"/>
        </w:rPr>
        <w:t xml:space="preserve">, Dylan M. Smith, Claire H. Robinson, Jane H. Forman, Peter A. Ubel. Patient Comprehension of Emergency </w:t>
      </w:r>
      <w:proofErr w:type="spellStart"/>
      <w:r>
        <w:rPr>
          <w:color w:val="000000"/>
        </w:rPr>
        <w:t>Departement</w:t>
      </w:r>
      <w:proofErr w:type="spellEnd"/>
      <w:r>
        <w:rPr>
          <w:color w:val="000000"/>
        </w:rPr>
        <w:t xml:space="preserve"> Care and Instructions: Are Patients Aware of When They Do Not Understand? Ann Emerg Med. 2009;53:454-461</w:t>
      </w:r>
    </w:p>
    <w:p w14:paraId="73030D3E" w14:textId="77777777" w:rsidR="000D701A" w:rsidRDefault="000D701A">
      <w:pPr>
        <w:pBdr>
          <w:top w:val="nil"/>
          <w:left w:val="nil"/>
          <w:bottom w:val="nil"/>
          <w:right w:val="nil"/>
          <w:between w:val="nil"/>
        </w:pBdr>
        <w:tabs>
          <w:tab w:val="left" w:pos="284"/>
        </w:tabs>
        <w:spacing w:line="276" w:lineRule="auto"/>
        <w:ind w:left="284" w:hanging="284"/>
        <w:rPr>
          <w:color w:val="000000"/>
        </w:rPr>
      </w:pPr>
    </w:p>
  </w:endnote>
  <w:endnote w:id="12">
    <w:p w14:paraId="571FE71A" w14:textId="77777777" w:rsidR="000D701A" w:rsidRDefault="000D701A">
      <w:pPr>
        <w:pBdr>
          <w:top w:val="nil"/>
          <w:left w:val="nil"/>
          <w:bottom w:val="nil"/>
          <w:right w:val="nil"/>
          <w:between w:val="nil"/>
        </w:pBdr>
        <w:rPr>
          <w:color w:val="000000"/>
        </w:rPr>
      </w:pPr>
      <w:r>
        <w:rPr>
          <w:vertAlign w:val="superscript"/>
        </w:rPr>
        <w:endnoteRef/>
      </w:r>
      <w:r>
        <w:rPr>
          <w:color w:val="000000"/>
          <w:sz w:val="20"/>
          <w:szCs w:val="20"/>
        </w:rPr>
        <w:t xml:space="preserve"> </w:t>
      </w:r>
      <w:r>
        <w:rPr>
          <w:color w:val="000000"/>
        </w:rPr>
        <w:t xml:space="preserve">Clarke C, Friedman SM, Shi K, </w:t>
      </w:r>
      <w:proofErr w:type="spellStart"/>
      <w:r>
        <w:rPr>
          <w:color w:val="000000"/>
        </w:rPr>
        <w:t>Arenovich</w:t>
      </w:r>
      <w:proofErr w:type="spellEnd"/>
      <w:r>
        <w:rPr>
          <w:color w:val="000000"/>
        </w:rPr>
        <w:t xml:space="preserve"> T, Monzon J et al. (2005) Emergency department discharge instructions comprehension and compliance study. CJEM 7: 5-11. </w:t>
      </w:r>
    </w:p>
    <w:p w14:paraId="7DF1B9B7" w14:textId="77777777" w:rsidR="000D701A" w:rsidRDefault="000D701A">
      <w:pPr>
        <w:pBdr>
          <w:top w:val="nil"/>
          <w:left w:val="nil"/>
          <w:bottom w:val="nil"/>
          <w:right w:val="nil"/>
          <w:between w:val="nil"/>
        </w:pBdr>
        <w:rPr>
          <w:color w:val="000000"/>
        </w:rPr>
      </w:pPr>
    </w:p>
  </w:endnote>
  <w:endnote w:id="13">
    <w:p w14:paraId="3D6EA98D" w14:textId="77777777" w:rsidR="000D701A" w:rsidRDefault="000D701A">
      <w:pPr>
        <w:pBdr>
          <w:top w:val="nil"/>
          <w:left w:val="nil"/>
          <w:bottom w:val="nil"/>
          <w:right w:val="nil"/>
          <w:between w:val="nil"/>
        </w:pBdr>
        <w:rPr>
          <w:color w:val="000000"/>
        </w:rPr>
      </w:pPr>
      <w:r>
        <w:rPr>
          <w:vertAlign w:val="superscript"/>
        </w:rPr>
        <w:endnoteRef/>
      </w:r>
      <w:r>
        <w:rPr>
          <w:color w:val="000000"/>
          <w:sz w:val="20"/>
          <w:szCs w:val="20"/>
        </w:rPr>
        <w:t xml:space="preserve"> </w:t>
      </w:r>
      <w:r>
        <w:rPr>
          <w:color w:val="000000"/>
        </w:rPr>
        <w:t>Jack BW, Chetty VK, Anthony D, Greenwald JL, Sanchez GM et al. (2009) A reengineered hospital discharge program to decrease rehospitalization: a randomized trial. Ann Intern Med 150: 178-187. doi:10.7326/0003-4819-150-3-200902030-00007.</w:t>
      </w:r>
    </w:p>
    <w:p w14:paraId="596B5AAA" w14:textId="77777777" w:rsidR="000D701A" w:rsidRDefault="000D701A">
      <w:pPr>
        <w:pBdr>
          <w:top w:val="nil"/>
          <w:left w:val="nil"/>
          <w:bottom w:val="nil"/>
          <w:right w:val="nil"/>
          <w:between w:val="nil"/>
        </w:pBdr>
        <w:rPr>
          <w:color w:val="000000"/>
        </w:rPr>
      </w:pPr>
    </w:p>
  </w:endnote>
  <w:endnote w:id="14">
    <w:p w14:paraId="068220CD" w14:textId="77777777" w:rsidR="000D701A" w:rsidRDefault="000D701A">
      <w:pPr>
        <w:pBdr>
          <w:top w:val="nil"/>
          <w:left w:val="nil"/>
          <w:bottom w:val="nil"/>
          <w:right w:val="nil"/>
          <w:between w:val="nil"/>
        </w:pBdr>
        <w:rPr>
          <w:color w:val="000000"/>
        </w:rPr>
      </w:pPr>
      <w:r>
        <w:rPr>
          <w:vertAlign w:val="superscript"/>
        </w:rPr>
        <w:endnoteRef/>
      </w:r>
      <w:r>
        <w:rPr>
          <w:color w:val="000000"/>
          <w:sz w:val="20"/>
          <w:szCs w:val="20"/>
        </w:rPr>
        <w:t xml:space="preserve"> </w:t>
      </w:r>
      <w:r>
        <w:rPr>
          <w:color w:val="000000"/>
        </w:rPr>
        <w:t xml:space="preserve">VanSuch M, Naessens JM, Stroebel RJ, Huddleston JM, Williams AR (2006) Effect of discharge instructions on readmission of </w:t>
      </w:r>
      <w:proofErr w:type="spellStart"/>
      <w:r>
        <w:rPr>
          <w:color w:val="000000"/>
        </w:rPr>
        <w:t>hospitalised</w:t>
      </w:r>
      <w:proofErr w:type="spellEnd"/>
      <w:r>
        <w:rPr>
          <w:color w:val="000000"/>
        </w:rPr>
        <w:t xml:space="preserve"> patients with heart failure: do all of the Joint Commission on Accreditation of Healthcare Organizations heart failure core measures reflect better care? Qual </w:t>
      </w:r>
      <w:proofErr w:type="spellStart"/>
      <w:r>
        <w:rPr>
          <w:color w:val="000000"/>
        </w:rPr>
        <w:t>Saf</w:t>
      </w:r>
      <w:proofErr w:type="spellEnd"/>
      <w:r>
        <w:rPr>
          <w:color w:val="000000"/>
        </w:rPr>
        <w:t xml:space="preserve"> Health Care 15: 414-417. </w:t>
      </w:r>
    </w:p>
    <w:p w14:paraId="4931014F" w14:textId="77777777" w:rsidR="000D701A" w:rsidRDefault="000D701A">
      <w:pPr>
        <w:pBdr>
          <w:top w:val="nil"/>
          <w:left w:val="nil"/>
          <w:bottom w:val="nil"/>
          <w:right w:val="nil"/>
          <w:between w:val="nil"/>
        </w:pBdr>
        <w:rPr>
          <w:color w:val="000000"/>
        </w:rPr>
      </w:pPr>
    </w:p>
  </w:endnote>
  <w:endnote w:id="15">
    <w:p w14:paraId="780C0D4F" w14:textId="77777777" w:rsidR="000D701A" w:rsidRDefault="000D701A">
      <w:pPr>
        <w:pBdr>
          <w:top w:val="nil"/>
          <w:left w:val="nil"/>
          <w:bottom w:val="nil"/>
          <w:right w:val="nil"/>
          <w:between w:val="nil"/>
        </w:pBdr>
        <w:tabs>
          <w:tab w:val="left" w:pos="284"/>
        </w:tabs>
        <w:spacing w:line="276" w:lineRule="auto"/>
        <w:rPr>
          <w:color w:val="000000"/>
        </w:rPr>
      </w:pPr>
      <w:r>
        <w:rPr>
          <w:vertAlign w:val="superscript"/>
        </w:rPr>
        <w:endnoteRef/>
      </w:r>
      <w:r>
        <w:rPr>
          <w:color w:val="000000"/>
        </w:rPr>
        <w:t xml:space="preserve"> Margaret E. Samuels-Kalow, Anne M. Stack, Stephen C. Porter. Effective Discharge Communication in the Emergency </w:t>
      </w:r>
      <w:proofErr w:type="spellStart"/>
      <w:r>
        <w:rPr>
          <w:color w:val="000000"/>
        </w:rPr>
        <w:t>Departement</w:t>
      </w:r>
      <w:proofErr w:type="spellEnd"/>
      <w:r>
        <w:rPr>
          <w:color w:val="000000"/>
        </w:rPr>
        <w:t>. Ann Emerg Med. 2012;60:152-159.</w:t>
      </w:r>
    </w:p>
    <w:p w14:paraId="01679932" w14:textId="77777777" w:rsidR="000D701A" w:rsidRDefault="000D701A">
      <w:pPr>
        <w:pBdr>
          <w:top w:val="nil"/>
          <w:left w:val="nil"/>
          <w:bottom w:val="nil"/>
          <w:right w:val="nil"/>
          <w:between w:val="nil"/>
        </w:pBdr>
        <w:tabs>
          <w:tab w:val="left" w:pos="284"/>
        </w:tabs>
        <w:spacing w:line="276" w:lineRule="auto"/>
        <w:rPr>
          <w:color w:val="000000"/>
        </w:rPr>
      </w:pPr>
    </w:p>
  </w:endnote>
  <w:endnote w:id="16">
    <w:p w14:paraId="42A54E31" w14:textId="529B97B9" w:rsidR="000D701A" w:rsidRDefault="000D701A">
      <w:pPr>
        <w:pBdr>
          <w:top w:val="nil"/>
          <w:left w:val="nil"/>
          <w:bottom w:val="nil"/>
          <w:right w:val="nil"/>
          <w:between w:val="nil"/>
        </w:pBdr>
        <w:rPr>
          <w:color w:val="000000"/>
        </w:rPr>
      </w:pPr>
      <w:r>
        <w:rPr>
          <w:vertAlign w:val="superscript"/>
        </w:rPr>
        <w:endnoteRef/>
      </w:r>
      <w:r>
        <w:rPr>
          <w:color w:val="000000"/>
          <w:sz w:val="20"/>
          <w:szCs w:val="20"/>
        </w:rPr>
        <w:t xml:space="preserve"> </w:t>
      </w:r>
      <w:r>
        <w:rPr>
          <w:color w:val="000000"/>
        </w:rPr>
        <w:t xml:space="preserve">Brand A, Gao L, Hamann A, Crayen C, Brand H, Squier SM, Stangl K, Kendel F, Stangl V. Medical Graphic Narratives to Improve Patient Comprehension and Periprocedural Anxiety Before Coronary Angiography and Percutaneous Coronary Intervention: A Randomized Trial. Ann Intern Med. 2019 Apr 16;170(8):579-581. </w:t>
      </w:r>
      <w:proofErr w:type="spellStart"/>
      <w:r>
        <w:rPr>
          <w:color w:val="000000"/>
        </w:rPr>
        <w:t>doi</w:t>
      </w:r>
      <w:proofErr w:type="spellEnd"/>
      <w:r>
        <w:rPr>
          <w:color w:val="000000"/>
        </w:rPr>
        <w:t xml:space="preserve">: 10.7326/M18-2976. </w:t>
      </w:r>
      <w:proofErr w:type="spellStart"/>
      <w:r>
        <w:rPr>
          <w:color w:val="000000"/>
        </w:rPr>
        <w:t>Epub</w:t>
      </w:r>
      <w:proofErr w:type="spellEnd"/>
      <w:r>
        <w:rPr>
          <w:color w:val="000000"/>
        </w:rPr>
        <w:t xml:space="preserve"> 2019 Apr 9. PMID: 30959523.</w:t>
      </w:r>
    </w:p>
    <w:p w14:paraId="36187096" w14:textId="77777777" w:rsidR="000D701A" w:rsidRDefault="000D701A">
      <w:pPr>
        <w:pBdr>
          <w:top w:val="nil"/>
          <w:left w:val="nil"/>
          <w:bottom w:val="nil"/>
          <w:right w:val="nil"/>
          <w:between w:val="nil"/>
        </w:pBdr>
        <w:rPr>
          <w:color w:val="000000"/>
        </w:rPr>
      </w:pPr>
    </w:p>
  </w:endnote>
  <w:endnote w:id="17">
    <w:p w14:paraId="2FD93E8F" w14:textId="77777777" w:rsidR="000D701A" w:rsidRDefault="000D701A">
      <w:pPr>
        <w:pBdr>
          <w:top w:val="nil"/>
          <w:left w:val="nil"/>
          <w:bottom w:val="nil"/>
          <w:right w:val="nil"/>
          <w:between w:val="nil"/>
        </w:pBdr>
        <w:tabs>
          <w:tab w:val="left" w:pos="284"/>
        </w:tabs>
        <w:spacing w:line="276" w:lineRule="auto"/>
        <w:rPr>
          <w:color w:val="000000"/>
        </w:rPr>
      </w:pPr>
      <w:r>
        <w:rPr>
          <w:vertAlign w:val="superscript"/>
        </w:rPr>
        <w:endnoteRef/>
      </w:r>
      <w:r>
        <w:rPr>
          <w:color w:val="000000"/>
        </w:rPr>
        <w:t xml:space="preserve"> </w:t>
      </w:r>
      <w:r>
        <w:rPr>
          <w:color w:val="000000"/>
        </w:rPr>
        <w:tab/>
        <w:t>Paul E Austin, Robert Matlack II, Kathleen A Dunn, Charles Kesler, Charles K Brown. Discharge Instructions: Do Illustrations Help Our Patients Understand Them? Ann Emerg Med March 1995;25:317-320.</w:t>
      </w:r>
    </w:p>
    <w:p w14:paraId="3C41D1AF" w14:textId="77777777" w:rsidR="000D701A" w:rsidRDefault="000D701A">
      <w:pPr>
        <w:pBdr>
          <w:top w:val="nil"/>
          <w:left w:val="nil"/>
          <w:bottom w:val="nil"/>
          <w:right w:val="nil"/>
          <w:between w:val="nil"/>
        </w:pBdr>
        <w:tabs>
          <w:tab w:val="left" w:pos="284"/>
        </w:tabs>
        <w:spacing w:line="276" w:lineRule="auto"/>
        <w:rPr>
          <w:color w:val="000000"/>
        </w:rPr>
      </w:pPr>
    </w:p>
  </w:endnote>
  <w:endnote w:id="18">
    <w:p w14:paraId="44160954" w14:textId="033AF812" w:rsidR="000D701A" w:rsidRDefault="000D701A">
      <w:pPr>
        <w:pBdr>
          <w:top w:val="nil"/>
          <w:left w:val="nil"/>
          <w:bottom w:val="nil"/>
          <w:right w:val="nil"/>
          <w:between w:val="nil"/>
        </w:pBdr>
        <w:rPr>
          <w:color w:val="000000"/>
        </w:rPr>
      </w:pPr>
      <w:r>
        <w:rPr>
          <w:vertAlign w:val="superscript"/>
        </w:rPr>
        <w:endnoteRef/>
      </w:r>
      <w:r w:rsidRPr="000D701A">
        <w:rPr>
          <w:color w:val="000000"/>
          <w:sz w:val="20"/>
          <w:szCs w:val="20"/>
          <w:lang w:val="it-IT"/>
        </w:rPr>
        <w:t xml:space="preserve"> </w:t>
      </w:r>
      <w:proofErr w:type="spellStart"/>
      <w:r w:rsidRPr="000D701A">
        <w:rPr>
          <w:color w:val="000000"/>
          <w:lang w:val="it-IT"/>
        </w:rPr>
        <w:t>Atzema</w:t>
      </w:r>
      <w:proofErr w:type="spellEnd"/>
      <w:r w:rsidRPr="000D701A">
        <w:rPr>
          <w:color w:val="000000"/>
          <w:lang w:val="it-IT"/>
        </w:rPr>
        <w:t xml:space="preserve"> CL, Austin PC, </w:t>
      </w:r>
      <w:proofErr w:type="spellStart"/>
      <w:r w:rsidRPr="000D701A">
        <w:rPr>
          <w:color w:val="000000"/>
          <w:lang w:val="it-IT"/>
        </w:rPr>
        <w:t>Wu</w:t>
      </w:r>
      <w:proofErr w:type="spellEnd"/>
      <w:r w:rsidRPr="000D701A">
        <w:rPr>
          <w:color w:val="000000"/>
          <w:lang w:val="it-IT"/>
        </w:rPr>
        <w:t xml:space="preserve"> L, et al. </w:t>
      </w:r>
      <w:r>
        <w:rPr>
          <w:color w:val="000000"/>
        </w:rPr>
        <w:t>Speak fast, use jargon, and don't repeat yourself: a randomized trial assessing the effectiveness of online videos to supplement emergency department discharge instructions. </w:t>
      </w:r>
      <w:proofErr w:type="spellStart"/>
      <w:r>
        <w:rPr>
          <w:color w:val="000000"/>
        </w:rPr>
        <w:t>PLoS</w:t>
      </w:r>
      <w:proofErr w:type="spellEnd"/>
      <w:r>
        <w:rPr>
          <w:color w:val="000000"/>
        </w:rPr>
        <w:t xml:space="preserve"> One. 2013;8(11):e77057. Published 2013 Nov 11. doi:10.1371/journal.pone.0077057</w:t>
      </w:r>
    </w:p>
    <w:p w14:paraId="084B7A32" w14:textId="77777777" w:rsidR="000D701A" w:rsidRDefault="000D701A">
      <w:pPr>
        <w:pBdr>
          <w:top w:val="nil"/>
          <w:left w:val="nil"/>
          <w:bottom w:val="nil"/>
          <w:right w:val="nil"/>
          <w:between w:val="nil"/>
        </w:pBdr>
        <w:rPr>
          <w:color w:val="000000"/>
        </w:rPr>
      </w:pPr>
    </w:p>
  </w:endnote>
  <w:endnote w:id="19">
    <w:p w14:paraId="1C70C4CB" w14:textId="77777777" w:rsidR="000D701A" w:rsidRDefault="000D701A">
      <w:pPr>
        <w:pBdr>
          <w:top w:val="nil"/>
          <w:left w:val="nil"/>
          <w:bottom w:val="nil"/>
          <w:right w:val="nil"/>
          <w:between w:val="nil"/>
        </w:pBdr>
        <w:rPr>
          <w:color w:val="000000"/>
        </w:rPr>
      </w:pPr>
      <w:r>
        <w:rPr>
          <w:vertAlign w:val="superscript"/>
        </w:rPr>
        <w:endnoteRef/>
      </w:r>
      <w:r>
        <w:rPr>
          <w:color w:val="000000"/>
          <w:sz w:val="20"/>
          <w:szCs w:val="20"/>
        </w:rPr>
        <w:t xml:space="preserve"> </w:t>
      </w:r>
      <w:r>
        <w:rPr>
          <w:color w:val="000000"/>
        </w:rPr>
        <w:t xml:space="preserve">Choi S, Ahn J, Lee D, Jung Y. The Effectiveness of Mobile Discharge Instruction Videos (MDIVs) in communicating discharge instructions to patients with lacerations or sprains. South Med J. 2009 Mar;102(3):239-47. </w:t>
      </w:r>
      <w:proofErr w:type="spellStart"/>
      <w:r>
        <w:rPr>
          <w:color w:val="000000"/>
        </w:rPr>
        <w:t>doi</w:t>
      </w:r>
      <w:proofErr w:type="spellEnd"/>
      <w:r>
        <w:rPr>
          <w:color w:val="000000"/>
        </w:rPr>
        <w:t>: 10.1097/SMJ.0b013e318197f319. PMID: 19204614.</w:t>
      </w:r>
    </w:p>
    <w:p w14:paraId="2D3A5B17" w14:textId="77777777" w:rsidR="000D701A" w:rsidRDefault="000D701A">
      <w:pPr>
        <w:pBdr>
          <w:top w:val="nil"/>
          <w:left w:val="nil"/>
          <w:bottom w:val="nil"/>
          <w:right w:val="nil"/>
          <w:between w:val="nil"/>
        </w:pBdr>
        <w:rPr>
          <w:color w:val="000000"/>
        </w:rPr>
      </w:pPr>
    </w:p>
  </w:endnote>
  <w:endnote w:id="20">
    <w:p w14:paraId="32C555CD" w14:textId="77777777" w:rsidR="000D701A" w:rsidRDefault="000D701A">
      <w:pPr>
        <w:pBdr>
          <w:top w:val="nil"/>
          <w:left w:val="nil"/>
          <w:bottom w:val="nil"/>
          <w:right w:val="nil"/>
          <w:between w:val="nil"/>
        </w:pBdr>
        <w:rPr>
          <w:color w:val="000000"/>
        </w:rPr>
      </w:pPr>
      <w:r>
        <w:rPr>
          <w:vertAlign w:val="superscript"/>
        </w:rPr>
        <w:endnoteRef/>
      </w:r>
      <w:r>
        <w:rPr>
          <w:color w:val="000000"/>
          <w:sz w:val="20"/>
          <w:szCs w:val="20"/>
        </w:rPr>
        <w:t xml:space="preserve"> </w:t>
      </w:r>
      <w:r>
        <w:rPr>
          <w:color w:val="000000"/>
        </w:rPr>
        <w:t xml:space="preserve">Baker MD, Monroe KW, King WD, Sorrentino A, Glaeser PW. Effectiveness of fever education in a pediatric emergency department. </w:t>
      </w:r>
      <w:proofErr w:type="spellStart"/>
      <w:r>
        <w:rPr>
          <w:color w:val="000000"/>
        </w:rPr>
        <w:t>Pediatr</w:t>
      </w:r>
      <w:proofErr w:type="spellEnd"/>
      <w:r>
        <w:rPr>
          <w:color w:val="000000"/>
        </w:rPr>
        <w:t xml:space="preserve"> Emerg Care. 2009 Sep;25(9):565-8. </w:t>
      </w:r>
      <w:proofErr w:type="spellStart"/>
      <w:r>
        <w:rPr>
          <w:color w:val="000000"/>
        </w:rPr>
        <w:t>doi</w:t>
      </w:r>
      <w:proofErr w:type="spellEnd"/>
      <w:r>
        <w:rPr>
          <w:color w:val="000000"/>
        </w:rPr>
        <w:t>: 10.1097/PEC.0b013e3181b4f64e. PMID: 19755888.</w:t>
      </w:r>
    </w:p>
    <w:p w14:paraId="57796825" w14:textId="77777777" w:rsidR="000D701A" w:rsidRDefault="000D701A">
      <w:pPr>
        <w:pBdr>
          <w:top w:val="nil"/>
          <w:left w:val="nil"/>
          <w:bottom w:val="nil"/>
          <w:right w:val="nil"/>
          <w:between w:val="nil"/>
        </w:pBdr>
        <w:rPr>
          <w:color w:val="000000"/>
        </w:rPr>
      </w:pPr>
    </w:p>
  </w:endnote>
  <w:endnote w:id="21">
    <w:p w14:paraId="679D4900" w14:textId="77777777" w:rsidR="000D701A" w:rsidRDefault="000D701A">
      <w:pPr>
        <w:pBdr>
          <w:top w:val="nil"/>
          <w:left w:val="nil"/>
          <w:bottom w:val="nil"/>
          <w:right w:val="nil"/>
          <w:between w:val="nil"/>
        </w:pBdr>
        <w:rPr>
          <w:color w:val="000000"/>
        </w:rPr>
      </w:pPr>
      <w:r>
        <w:rPr>
          <w:vertAlign w:val="superscript"/>
        </w:rPr>
        <w:endnoteRef/>
      </w:r>
      <w:r>
        <w:rPr>
          <w:color w:val="000000"/>
          <w:sz w:val="20"/>
          <w:szCs w:val="20"/>
        </w:rPr>
        <w:t xml:space="preserve"> </w:t>
      </w:r>
      <w:r>
        <w:rPr>
          <w:color w:val="000000"/>
        </w:rPr>
        <w:t xml:space="preserve">Ismail S, McIntosh M, </w:t>
      </w:r>
      <w:proofErr w:type="spellStart"/>
      <w:r>
        <w:rPr>
          <w:color w:val="000000"/>
        </w:rPr>
        <w:t>Kalynych</w:t>
      </w:r>
      <w:proofErr w:type="spellEnd"/>
      <w:r>
        <w:rPr>
          <w:color w:val="000000"/>
        </w:rPr>
        <w:t xml:space="preserve"> C, Joseph M, Wylie T, Butterfield R, Smotherman C, Kraemer DF, Osian SR. Impact of Video Discharge Instructions for Pediatric Fever and Closed Head Injury from the Emergency Department. J Emerg Med. 2016 Mar;50(3):e177-83. </w:t>
      </w:r>
      <w:proofErr w:type="spellStart"/>
      <w:r>
        <w:rPr>
          <w:color w:val="000000"/>
        </w:rPr>
        <w:t>doi</w:t>
      </w:r>
      <w:proofErr w:type="spellEnd"/>
      <w:r>
        <w:rPr>
          <w:color w:val="000000"/>
        </w:rPr>
        <w:t xml:space="preserve">: 10.1016/j.jemermed.2015.10.006. </w:t>
      </w:r>
      <w:proofErr w:type="spellStart"/>
      <w:r>
        <w:rPr>
          <w:color w:val="000000"/>
        </w:rPr>
        <w:t>Epub</w:t>
      </w:r>
      <w:proofErr w:type="spellEnd"/>
      <w:r>
        <w:rPr>
          <w:color w:val="000000"/>
        </w:rPr>
        <w:t xml:space="preserve"> 2016 Jan 21. PMID: 26806318.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39571" w14:textId="77777777" w:rsidR="006B5A2D" w:rsidRDefault="00000000">
    <w:pPr>
      <w:pBdr>
        <w:top w:val="nil"/>
        <w:left w:val="nil"/>
        <w:bottom w:val="nil"/>
        <w:right w:val="nil"/>
        <w:between w:val="nil"/>
      </w:pBdr>
      <w:tabs>
        <w:tab w:val="center" w:pos="4819"/>
        <w:tab w:val="right" w:pos="9638"/>
      </w:tabs>
      <w:jc w:val="center"/>
      <w:rPr>
        <w:color w:val="000000"/>
      </w:rPr>
    </w:pPr>
    <w:r>
      <w:rPr>
        <w:noProof/>
      </w:rPr>
      <mc:AlternateContent>
        <mc:Choice Requires="wpg">
          <w:drawing>
            <wp:anchor distT="0" distB="0" distL="114300" distR="114300" simplePos="0" relativeHeight="251659264" behindDoc="0" locked="0" layoutInCell="1" hidden="0" allowOverlap="1" wp14:anchorId="4A014DE7" wp14:editId="2F16860A">
              <wp:simplePos x="0" y="0"/>
              <wp:positionH relativeFrom="column">
                <wp:posOffset>114300</wp:posOffset>
              </wp:positionH>
              <wp:positionV relativeFrom="paragraph">
                <wp:posOffset>127000</wp:posOffset>
              </wp:positionV>
              <wp:extent cx="1792604" cy="38100"/>
              <wp:effectExtent l="0" t="0" r="0" b="0"/>
              <wp:wrapNone/>
              <wp:docPr id="5" name="Figura a mano libera: forma 5"/>
              <wp:cNvGraphicFramePr/>
              <a:graphic xmlns:a="http://schemas.openxmlformats.org/drawingml/2006/main">
                <a:graphicData uri="http://schemas.microsoft.com/office/word/2010/wordprocessingShape">
                  <wps:wsp>
                    <wps:cNvSpPr/>
                    <wps:spPr>
                      <a:xfrm>
                        <a:off x="4462398" y="3780000"/>
                        <a:ext cx="1767204" cy="0"/>
                      </a:xfrm>
                      <a:custGeom>
                        <a:avLst/>
                        <a:gdLst/>
                        <a:ahLst/>
                        <a:cxnLst/>
                        <a:rect l="l" t="t" r="r" b="b"/>
                        <a:pathLst>
                          <a:path w="1767204" h="1" extrusionOk="0">
                            <a:moveTo>
                              <a:pt x="0" y="0"/>
                            </a:moveTo>
                            <a:lnTo>
                              <a:pt x="1767204"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6du="http://schemas.microsoft.com/office/word/2023/wordml/word16du"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127000</wp:posOffset>
              </wp:positionV>
              <wp:extent cx="1792604" cy="38100"/>
              <wp:effectExtent b="0" l="0" r="0" t="0"/>
              <wp:wrapNone/>
              <wp:docPr id="5"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792604" cy="38100"/>
                      </a:xfrm>
                      <a:prstGeom prst="rect"/>
                      <a:ln/>
                    </pic:spPr>
                  </pic:pic>
                </a:graphicData>
              </a:graphic>
            </wp:anchor>
          </w:drawing>
        </mc:Fallback>
      </mc:AlternateContent>
    </w:r>
  </w:p>
  <w:p w14:paraId="78B8CED6" w14:textId="77777777" w:rsidR="006B5A2D" w:rsidRDefault="00000000">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0D701A">
      <w:rPr>
        <w:noProof/>
        <w:color w:val="000000"/>
      </w:rPr>
      <w:t>1</w:t>
    </w:r>
    <w:r>
      <w:rPr>
        <w:color w:val="000000"/>
      </w:rPr>
      <w:fldChar w:fldCharType="end"/>
    </w:r>
  </w:p>
  <w:p w14:paraId="64E3F030" w14:textId="77777777" w:rsidR="006B5A2D" w:rsidRDefault="006B5A2D">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AF0DD" w14:textId="77777777" w:rsidR="0099685E" w:rsidRDefault="0099685E">
      <w:r>
        <w:separator/>
      </w:r>
    </w:p>
  </w:footnote>
  <w:footnote w:type="continuationSeparator" w:id="0">
    <w:p w14:paraId="342F2970" w14:textId="77777777" w:rsidR="0099685E" w:rsidRDefault="009968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59385" w14:textId="77777777" w:rsidR="006B5A2D" w:rsidRDefault="00000000">
    <w:pPr>
      <w:spacing w:line="276" w:lineRule="auto"/>
      <w:jc w:val="center"/>
      <w:rPr>
        <w:b/>
        <w:sz w:val="16"/>
        <w:szCs w:val="16"/>
      </w:rPr>
    </w:pPr>
    <w:r>
      <w:rPr>
        <w:b/>
        <w:sz w:val="16"/>
        <w:szCs w:val="16"/>
      </w:rPr>
      <w:t>Can video clips improve patient comprehension at the Emergency Department?</w:t>
    </w:r>
    <w:r>
      <w:rPr>
        <w:noProof/>
      </w:rPr>
      <mc:AlternateContent>
        <mc:Choice Requires="wpg">
          <w:drawing>
            <wp:anchor distT="0" distB="0" distL="114300" distR="114300" simplePos="0" relativeHeight="251658240" behindDoc="0" locked="0" layoutInCell="1" hidden="0" allowOverlap="1" wp14:anchorId="09874611" wp14:editId="2597C22F">
              <wp:simplePos x="0" y="0"/>
              <wp:positionH relativeFrom="column">
                <wp:posOffset>114300</wp:posOffset>
              </wp:positionH>
              <wp:positionV relativeFrom="paragraph">
                <wp:posOffset>0</wp:posOffset>
              </wp:positionV>
              <wp:extent cx="38100" cy="38100"/>
              <wp:effectExtent l="0" t="0" r="0" b="0"/>
              <wp:wrapNone/>
              <wp:docPr id="6" name="Connettore 2 6"/>
              <wp:cNvGraphicFramePr/>
              <a:graphic xmlns:a="http://schemas.openxmlformats.org/drawingml/2006/main">
                <a:graphicData uri="http://schemas.microsoft.com/office/word/2010/wordprocessingShape">
                  <wps:wsp>
                    <wps:cNvCnPr/>
                    <wps:spPr>
                      <a:xfrm>
                        <a:off x="2320860" y="3780000"/>
                        <a:ext cx="6050280" cy="0"/>
                      </a:xfrm>
                      <a:prstGeom prst="straightConnector1">
                        <a:avLst/>
                      </a:prstGeom>
                      <a:solidFill>
                        <a:srgbClr val="FFFFFF"/>
                      </a:solidFill>
                      <a:ln w="12700" cap="flat" cmpd="sng">
                        <a:solidFill>
                          <a:srgbClr val="4579B8"/>
                        </a:solidFill>
                        <a:prstDash val="solid"/>
                        <a:round/>
                        <a:headEnd type="none" w="sm" len="sm"/>
                        <a:tailEnd type="none" w="sm" len="sm"/>
                      </a:ln>
                    </wps:spPr>
                    <wps:bodyPr/>
                  </wps:wsp>
                </a:graphicData>
              </a:graphic>
            </wp:anchor>
          </w:drawing>
        </mc:Choice>
        <mc:Fallback xmlns:w16du="http://schemas.microsoft.com/office/word/2023/wordml/word16du"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38100" cy="38100"/>
              <wp:effectExtent b="0" l="0" r="0" t="0"/>
              <wp:wrapNone/>
              <wp:docPr id="6"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38100" cy="38100"/>
                      </a:xfrm>
                      <a:prstGeom prst="rect"/>
                      <a:ln/>
                    </pic:spPr>
                  </pic:pic>
                </a:graphicData>
              </a:graphic>
            </wp:anchor>
          </w:drawing>
        </mc:Fallback>
      </mc:AlternateContent>
    </w:r>
  </w:p>
  <w:p w14:paraId="6449542B" w14:textId="77777777" w:rsidR="006B5A2D" w:rsidRDefault="006B5A2D">
    <w:pPr>
      <w:widowControl w:val="0"/>
      <w:pBdr>
        <w:top w:val="nil"/>
        <w:left w:val="nil"/>
        <w:bottom w:val="nil"/>
        <w:right w:val="nil"/>
        <w:between w:val="nil"/>
      </w:pBdr>
      <w:spacing w:after="600"/>
      <w:jc w:val="left"/>
      <w:rPr>
        <w:rFonts w:ascii="Arial" w:eastAsia="Arial" w:hAnsi="Arial" w:cs="Arial"/>
        <w:color w:val="000000"/>
        <w:sz w:val="18"/>
        <w:szCs w:val="18"/>
      </w:rPr>
    </w:pPr>
  </w:p>
  <w:p w14:paraId="6C2EE363" w14:textId="77777777" w:rsidR="006B5A2D" w:rsidRDefault="006B5A2D">
    <w:pPr>
      <w:pBdr>
        <w:top w:val="nil"/>
        <w:left w:val="nil"/>
        <w:bottom w:val="nil"/>
        <w:right w:val="nil"/>
        <w:between w:val="nil"/>
      </w:pBdr>
      <w:tabs>
        <w:tab w:val="center" w:pos="4819"/>
        <w:tab w:val="right" w:pos="9638"/>
      </w:tabs>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540D61"/>
    <w:multiLevelType w:val="multilevel"/>
    <w:tmpl w:val="09E61A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CA71C06"/>
    <w:multiLevelType w:val="multilevel"/>
    <w:tmpl w:val="AABEA5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33644076">
    <w:abstractNumId w:val="1"/>
  </w:num>
  <w:num w:numId="2" w16cid:durableId="1826118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A2D"/>
    <w:rsid w:val="000D701A"/>
    <w:rsid w:val="00113B87"/>
    <w:rsid w:val="0013099B"/>
    <w:rsid w:val="0013446D"/>
    <w:rsid w:val="003F4E6D"/>
    <w:rsid w:val="00547AC5"/>
    <w:rsid w:val="006B5A2D"/>
    <w:rsid w:val="007C04C9"/>
    <w:rsid w:val="008F6D5D"/>
    <w:rsid w:val="0090713F"/>
    <w:rsid w:val="0099685E"/>
    <w:rsid w:val="009C5812"/>
    <w:rsid w:val="009E0FF6"/>
    <w:rsid w:val="00AC6DA8"/>
    <w:rsid w:val="00AF1A41"/>
    <w:rsid w:val="00E02377"/>
    <w:rsid w:val="00E5177C"/>
    <w:rsid w:val="00E57A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34908"/>
  <w15:docId w15:val="{7E4B0740-70A0-4655-8B48-69B1ABD55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it-IT"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734D6"/>
    <w:rPr>
      <w:szCs w:val="28"/>
    </w:rPr>
  </w:style>
  <w:style w:type="paragraph" w:styleId="Titolo1">
    <w:name w:val="heading 1"/>
    <w:basedOn w:val="Normale"/>
    <w:next w:val="Normale"/>
    <w:link w:val="Titolo1Carattere"/>
    <w:uiPriority w:val="9"/>
    <w:qFormat/>
    <w:rsid w:val="00EC3BF3"/>
    <w:pPr>
      <w:spacing w:before="240" w:after="240"/>
      <w:outlineLvl w:val="0"/>
    </w:pPr>
    <w:rPr>
      <w:b/>
      <w:sz w:val="28"/>
      <w:lang w:val="en-GB"/>
    </w:rPr>
  </w:style>
  <w:style w:type="paragraph" w:styleId="Titolo2">
    <w:name w:val="heading 2"/>
    <w:basedOn w:val="Normale"/>
    <w:next w:val="Normale"/>
    <w:link w:val="Titolo2Carattere"/>
    <w:uiPriority w:val="9"/>
    <w:semiHidden/>
    <w:unhideWhenUsed/>
    <w:qFormat/>
    <w:rsid w:val="008C6CEC"/>
    <w:pPr>
      <w:spacing w:before="120" w:after="120"/>
      <w:outlineLvl w:val="1"/>
    </w:pPr>
    <w:rPr>
      <w:b/>
      <w:color w:val="4F81BD" w:themeColor="accent1"/>
      <w:sz w:val="28"/>
      <w:lang w:val="en-GB"/>
    </w:rPr>
  </w:style>
  <w:style w:type="paragraph" w:styleId="Titolo3">
    <w:name w:val="heading 3"/>
    <w:basedOn w:val="Normale"/>
    <w:next w:val="Normale"/>
    <w:link w:val="Titolo3Carattere"/>
    <w:uiPriority w:val="9"/>
    <w:semiHidden/>
    <w:unhideWhenUsed/>
    <w:qFormat/>
    <w:rsid w:val="008C6CEC"/>
    <w:pPr>
      <w:spacing w:before="60" w:after="60"/>
      <w:outlineLvl w:val="2"/>
    </w:pPr>
    <w:rPr>
      <w:b/>
      <w:i/>
      <w:color w:val="4F81BD" w:themeColor="accent1"/>
    </w:rPr>
  </w:style>
  <w:style w:type="paragraph" w:styleId="Titolo4">
    <w:name w:val="heading 4"/>
    <w:basedOn w:val="Normale"/>
    <w:next w:val="Normale"/>
    <w:link w:val="Titolo4Carattere"/>
    <w:uiPriority w:val="9"/>
    <w:semiHidden/>
    <w:unhideWhenUsed/>
    <w:qFormat/>
    <w:rsid w:val="00D734D6"/>
    <w:pPr>
      <w:keepNext/>
      <w:keepLines/>
      <w:spacing w:before="40"/>
      <w:outlineLvl w:val="3"/>
    </w:pPr>
    <w:rPr>
      <w:rFonts w:asciiTheme="majorHAnsi" w:eastAsiaTheme="majorEastAsia" w:hAnsiTheme="majorHAnsi" w:cstheme="majorBidi"/>
      <w:i/>
      <w:iCs/>
      <w:color w:val="365F91" w:themeColor="accent1" w:themeShade="BF"/>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432ABE"/>
    <w:pPr>
      <w:spacing w:after="600"/>
      <w:jc w:val="left"/>
    </w:pPr>
    <w:rPr>
      <w:b/>
      <w:sz w:val="40"/>
      <w:szCs w:val="56"/>
      <w:lang w:val="en-GB"/>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Testonotaapidipagina">
    <w:name w:val="footnote text"/>
    <w:basedOn w:val="Normale"/>
    <w:link w:val="TestonotaapidipaginaCarattere"/>
    <w:uiPriority w:val="99"/>
    <w:semiHidden/>
    <w:unhideWhenUsed/>
    <w:rsid w:val="0055535E"/>
    <w:rPr>
      <w:sz w:val="20"/>
      <w:szCs w:val="20"/>
    </w:rPr>
  </w:style>
  <w:style w:type="character" w:customStyle="1" w:styleId="TestonotaapidipaginaCarattere">
    <w:name w:val="Testo nota a piè di pagina Carattere"/>
    <w:basedOn w:val="Carpredefinitoparagrafo"/>
    <w:link w:val="Testonotaapidipagina"/>
    <w:uiPriority w:val="99"/>
    <w:semiHidden/>
    <w:rsid w:val="0055535E"/>
    <w:rPr>
      <w:sz w:val="20"/>
      <w:szCs w:val="20"/>
    </w:rPr>
  </w:style>
  <w:style w:type="character" w:styleId="Rimandonotaapidipagina">
    <w:name w:val="footnote reference"/>
    <w:basedOn w:val="Carpredefinitoparagrafo"/>
    <w:uiPriority w:val="99"/>
    <w:semiHidden/>
    <w:unhideWhenUsed/>
    <w:rsid w:val="0055535E"/>
    <w:rPr>
      <w:vertAlign w:val="superscript"/>
    </w:rPr>
  </w:style>
  <w:style w:type="paragraph" w:styleId="Testonotadichiusura">
    <w:name w:val="endnote text"/>
    <w:basedOn w:val="Normale"/>
    <w:link w:val="TestonotadichiusuraCarattere"/>
    <w:uiPriority w:val="99"/>
    <w:unhideWhenUsed/>
    <w:rsid w:val="0055535E"/>
    <w:rPr>
      <w:sz w:val="20"/>
      <w:szCs w:val="20"/>
    </w:rPr>
  </w:style>
  <w:style w:type="character" w:customStyle="1" w:styleId="TestonotadichiusuraCarattere">
    <w:name w:val="Testo nota di chiusura Carattere"/>
    <w:basedOn w:val="Carpredefinitoparagrafo"/>
    <w:link w:val="Testonotadichiusura"/>
    <w:uiPriority w:val="99"/>
    <w:rsid w:val="0055535E"/>
    <w:rPr>
      <w:sz w:val="20"/>
      <w:szCs w:val="20"/>
    </w:rPr>
  </w:style>
  <w:style w:type="character" w:styleId="Rimandonotadichiusura">
    <w:name w:val="endnote reference"/>
    <w:basedOn w:val="Carpredefinitoparagrafo"/>
    <w:uiPriority w:val="99"/>
    <w:semiHidden/>
    <w:unhideWhenUsed/>
    <w:rsid w:val="0055535E"/>
    <w:rPr>
      <w:vertAlign w:val="superscript"/>
    </w:rPr>
  </w:style>
  <w:style w:type="paragraph" w:styleId="Testofumetto">
    <w:name w:val="Balloon Text"/>
    <w:basedOn w:val="Normale"/>
    <w:link w:val="TestofumettoCarattere"/>
    <w:uiPriority w:val="99"/>
    <w:semiHidden/>
    <w:unhideWhenUsed/>
    <w:rsid w:val="00F6495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4954"/>
    <w:rPr>
      <w:rFonts w:ascii="Tahoma" w:hAnsi="Tahoma" w:cs="Tahoma"/>
      <w:sz w:val="16"/>
      <w:szCs w:val="16"/>
    </w:rPr>
  </w:style>
  <w:style w:type="paragraph" w:styleId="Paragrafoelenco">
    <w:name w:val="List Paragraph"/>
    <w:basedOn w:val="Normale"/>
    <w:uiPriority w:val="34"/>
    <w:qFormat/>
    <w:rsid w:val="00013990"/>
    <w:pPr>
      <w:ind w:left="720"/>
      <w:contextualSpacing/>
    </w:pPr>
  </w:style>
  <w:style w:type="paragraph" w:customStyle="1" w:styleId="TableSubHead">
    <w:name w:val="TableSubHead"/>
    <w:basedOn w:val="Normale"/>
    <w:rsid w:val="0098217C"/>
    <w:pPr>
      <w:spacing w:before="120"/>
    </w:pPr>
    <w:rPr>
      <w:b/>
      <w:szCs w:val="20"/>
      <w:lang w:val="en-GB"/>
    </w:rPr>
  </w:style>
  <w:style w:type="table" w:styleId="Grigliatabella">
    <w:name w:val="Table Grid"/>
    <w:basedOn w:val="Tabellanormale"/>
    <w:uiPriority w:val="59"/>
    <w:rsid w:val="009821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226E06"/>
    <w:pPr>
      <w:tabs>
        <w:tab w:val="center" w:pos="4819"/>
        <w:tab w:val="right" w:pos="9638"/>
      </w:tabs>
    </w:pPr>
  </w:style>
  <w:style w:type="character" w:customStyle="1" w:styleId="IntestazioneCarattere">
    <w:name w:val="Intestazione Carattere"/>
    <w:basedOn w:val="Carpredefinitoparagrafo"/>
    <w:link w:val="Intestazione"/>
    <w:uiPriority w:val="99"/>
    <w:rsid w:val="00226E06"/>
  </w:style>
  <w:style w:type="paragraph" w:styleId="Pidipagina">
    <w:name w:val="footer"/>
    <w:basedOn w:val="Normale"/>
    <w:link w:val="PidipaginaCarattere"/>
    <w:uiPriority w:val="99"/>
    <w:unhideWhenUsed/>
    <w:rsid w:val="00226E06"/>
    <w:pPr>
      <w:tabs>
        <w:tab w:val="center" w:pos="4819"/>
        <w:tab w:val="right" w:pos="9638"/>
      </w:tabs>
    </w:pPr>
  </w:style>
  <w:style w:type="character" w:customStyle="1" w:styleId="PidipaginaCarattere">
    <w:name w:val="Piè di pagina Carattere"/>
    <w:basedOn w:val="Carpredefinitoparagrafo"/>
    <w:link w:val="Pidipagina"/>
    <w:uiPriority w:val="99"/>
    <w:rsid w:val="00226E06"/>
  </w:style>
  <w:style w:type="character" w:customStyle="1" w:styleId="TitoloCarattere">
    <w:name w:val="Titolo Carattere"/>
    <w:basedOn w:val="Carpredefinitoparagrafo"/>
    <w:link w:val="Titolo"/>
    <w:uiPriority w:val="10"/>
    <w:rsid w:val="00432ABE"/>
    <w:rPr>
      <w:rFonts w:ascii="Times New Roman" w:hAnsi="Times New Roman" w:cs="Times New Roman"/>
      <w:b/>
      <w:sz w:val="40"/>
      <w:szCs w:val="56"/>
      <w:lang w:val="en-GB"/>
    </w:rPr>
  </w:style>
  <w:style w:type="character" w:customStyle="1" w:styleId="Titolo1Carattere">
    <w:name w:val="Titolo 1 Carattere"/>
    <w:basedOn w:val="Carpredefinitoparagrafo"/>
    <w:link w:val="Titolo1"/>
    <w:uiPriority w:val="9"/>
    <w:rsid w:val="00EC3BF3"/>
    <w:rPr>
      <w:rFonts w:ascii="Times New Roman" w:hAnsi="Times New Roman" w:cs="Times New Roman"/>
      <w:b/>
      <w:sz w:val="28"/>
      <w:szCs w:val="28"/>
      <w:lang w:val="en-GB"/>
    </w:rPr>
  </w:style>
  <w:style w:type="character" w:customStyle="1" w:styleId="Titolo2Carattere">
    <w:name w:val="Titolo 2 Carattere"/>
    <w:basedOn w:val="Carpredefinitoparagrafo"/>
    <w:link w:val="Titolo2"/>
    <w:uiPriority w:val="9"/>
    <w:rsid w:val="008C6CEC"/>
    <w:rPr>
      <w:rFonts w:ascii="Times New Roman" w:hAnsi="Times New Roman" w:cs="Times New Roman"/>
      <w:b/>
      <w:color w:val="4F81BD" w:themeColor="accent1"/>
      <w:sz w:val="28"/>
      <w:szCs w:val="28"/>
      <w:lang w:val="en-GB"/>
    </w:rPr>
  </w:style>
  <w:style w:type="character" w:customStyle="1" w:styleId="Titolo3Carattere">
    <w:name w:val="Titolo 3 Carattere"/>
    <w:basedOn w:val="Carpredefinitoparagrafo"/>
    <w:link w:val="Titolo3"/>
    <w:uiPriority w:val="9"/>
    <w:rsid w:val="008C6CEC"/>
    <w:rPr>
      <w:rFonts w:ascii="Times New Roman" w:hAnsi="Times New Roman" w:cs="Times New Roman"/>
      <w:b/>
      <w:i/>
      <w:color w:val="4F81BD" w:themeColor="accent1"/>
      <w:sz w:val="24"/>
      <w:szCs w:val="28"/>
    </w:rPr>
  </w:style>
  <w:style w:type="character" w:styleId="Rimandocommento">
    <w:name w:val="annotation reference"/>
    <w:basedOn w:val="Carpredefinitoparagrafo"/>
    <w:uiPriority w:val="99"/>
    <w:semiHidden/>
    <w:unhideWhenUsed/>
    <w:rsid w:val="00752A15"/>
    <w:rPr>
      <w:sz w:val="16"/>
      <w:szCs w:val="16"/>
    </w:rPr>
  </w:style>
  <w:style w:type="paragraph" w:styleId="Testocommento">
    <w:name w:val="annotation text"/>
    <w:basedOn w:val="Normale"/>
    <w:link w:val="TestocommentoCarattere"/>
    <w:uiPriority w:val="99"/>
    <w:unhideWhenUsed/>
    <w:rsid w:val="00752A15"/>
    <w:rPr>
      <w:sz w:val="20"/>
      <w:szCs w:val="20"/>
    </w:rPr>
  </w:style>
  <w:style w:type="character" w:customStyle="1" w:styleId="TestocommentoCarattere">
    <w:name w:val="Testo commento Carattere"/>
    <w:basedOn w:val="Carpredefinitoparagrafo"/>
    <w:link w:val="Testocommento"/>
    <w:uiPriority w:val="99"/>
    <w:rsid w:val="00752A15"/>
    <w:rPr>
      <w:sz w:val="20"/>
      <w:szCs w:val="20"/>
    </w:rPr>
  </w:style>
  <w:style w:type="paragraph" w:styleId="Soggettocommento">
    <w:name w:val="annotation subject"/>
    <w:basedOn w:val="Testocommento"/>
    <w:next w:val="Testocommento"/>
    <w:link w:val="SoggettocommentoCarattere"/>
    <w:uiPriority w:val="99"/>
    <w:semiHidden/>
    <w:unhideWhenUsed/>
    <w:rsid w:val="00752A15"/>
    <w:rPr>
      <w:b/>
      <w:bCs/>
    </w:rPr>
  </w:style>
  <w:style w:type="character" w:customStyle="1" w:styleId="SoggettocommentoCarattere">
    <w:name w:val="Soggetto commento Carattere"/>
    <w:basedOn w:val="TestocommentoCarattere"/>
    <w:link w:val="Soggettocommento"/>
    <w:uiPriority w:val="99"/>
    <w:semiHidden/>
    <w:rsid w:val="00752A15"/>
    <w:rPr>
      <w:b/>
      <w:bCs/>
      <w:sz w:val="20"/>
      <w:szCs w:val="20"/>
    </w:rPr>
  </w:style>
  <w:style w:type="character" w:customStyle="1" w:styleId="Titolo4Carattere">
    <w:name w:val="Titolo 4 Carattere"/>
    <w:basedOn w:val="Carpredefinitoparagrafo"/>
    <w:link w:val="Titolo4"/>
    <w:uiPriority w:val="9"/>
    <w:rsid w:val="00D734D6"/>
    <w:rPr>
      <w:rFonts w:asciiTheme="majorHAnsi" w:eastAsiaTheme="majorEastAsia" w:hAnsiTheme="majorHAnsi" w:cstheme="majorBidi"/>
      <w:i/>
      <w:iCs/>
      <w:color w:val="365F91" w:themeColor="accent1" w:themeShade="BF"/>
    </w:rPr>
  </w:style>
  <w:style w:type="paragraph" w:customStyle="1" w:styleId="Normal">
    <w:name w:val="[Normal]"/>
    <w:rsid w:val="00762CE7"/>
    <w:pPr>
      <w:widowControl w:val="0"/>
      <w:autoSpaceDE w:val="0"/>
      <w:autoSpaceDN w:val="0"/>
      <w:adjustRightInd w:val="0"/>
    </w:pPr>
    <w:rPr>
      <w:rFonts w:ascii="Arial" w:hAnsi="Arial" w:cs="Arial"/>
      <w:lang w:val="en-GB"/>
    </w:rPr>
  </w:style>
  <w:style w:type="paragraph" w:customStyle="1" w:styleId="Standard">
    <w:name w:val="Standard"/>
    <w:rsid w:val="00181CC2"/>
    <w:pPr>
      <w:widowControl w:val="0"/>
      <w:suppressAutoHyphens/>
      <w:autoSpaceDN w:val="0"/>
      <w:textAlignment w:val="baseline"/>
    </w:pPr>
    <w:rPr>
      <w:rFonts w:eastAsia="SimSun" w:cs="Arial"/>
      <w:kern w:val="3"/>
      <w:lang w:val="en-GB" w:eastAsia="zh-CN" w:bidi="hi-IN"/>
    </w:rPr>
  </w:style>
  <w:style w:type="character" w:customStyle="1" w:styleId="apple-converted-space">
    <w:name w:val="apple-converted-space"/>
    <w:basedOn w:val="Carpredefinitoparagrafo"/>
    <w:rsid w:val="0053434A"/>
  </w:style>
  <w:style w:type="character" w:styleId="Collegamentoipertestuale">
    <w:name w:val="Hyperlink"/>
    <w:basedOn w:val="Carpredefinitoparagrafo"/>
    <w:uiPriority w:val="99"/>
    <w:semiHidden/>
    <w:unhideWhenUsed/>
    <w:rsid w:val="0053434A"/>
    <w:rPr>
      <w:color w:val="0000FF"/>
      <w:u w:val="single"/>
    </w:rPr>
  </w:style>
  <w:style w:type="character" w:customStyle="1" w:styleId="m5312452035273729172msohyperlink">
    <w:name w:val="m_5312452035273729172msohyperlink"/>
    <w:basedOn w:val="Carpredefinitoparagrafo"/>
    <w:rsid w:val="0053434A"/>
  </w:style>
  <w:style w:type="character" w:customStyle="1" w:styleId="ref-title">
    <w:name w:val="ref-title"/>
    <w:basedOn w:val="Carpredefinitoparagrafo"/>
    <w:rsid w:val="00EB6F49"/>
  </w:style>
  <w:style w:type="character" w:customStyle="1" w:styleId="ref-journal">
    <w:name w:val="ref-journal"/>
    <w:basedOn w:val="Carpredefinitoparagrafo"/>
    <w:rsid w:val="00EB6F49"/>
  </w:style>
  <w:style w:type="character" w:customStyle="1" w:styleId="ref-vol">
    <w:name w:val="ref-vol"/>
    <w:basedOn w:val="Carpredefinitoparagrafo"/>
    <w:rsid w:val="00EB6F49"/>
  </w:style>
  <w:style w:type="paragraph" w:styleId="Sottotito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icmje.org/urm_full.pdf" TargetMode="External"/><Relationship Id="rId4" Type="http://schemas.openxmlformats.org/officeDocument/2006/relationships/styles" Target="styles.xml"/><Relationship Id="rId9" Type="http://schemas.openxmlformats.org/officeDocument/2006/relationships/hyperlink" Target="http://www.equator-network.org/resource-centre/library-of-health-research-reporting/reporting-guideline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Koe08z5kJtXTMGQB8pC1wCid7sQ==">AMUW2mUCr7aTdwRyXJnHCwpjeHsnn/I6Iy/YrO4FuvYkKgA910Iss+lLLZOvCom/XZK30AZZj9NSihQX4n26uDUal2REA1fS18m17kWIrokk0uRNWOcrARNPRx1Wzxg8O563cLZsYl4rA8h6mBplucCi/kgVSae2HQ==</go:docsCustomData>
</go:gDocsCustomXmlDataStorage>
</file>

<file path=customXml/itemProps1.xml><?xml version="1.0" encoding="utf-8"?>
<ds:datastoreItem xmlns:ds="http://schemas.openxmlformats.org/officeDocument/2006/customXml" ds:itemID="{D928A64E-1271-4501-9AE7-69DE40F6257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16</Pages>
  <Words>4081</Words>
  <Characters>23266</Characters>
  <Application>Microsoft Office Word</Application>
  <DocSecurity>0</DocSecurity>
  <Lines>193</Lines>
  <Paragraphs>54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Santi Di Pietro</cp:lastModifiedBy>
  <cp:revision>11</cp:revision>
  <dcterms:created xsi:type="dcterms:W3CDTF">2018-08-06T10:53:00Z</dcterms:created>
  <dcterms:modified xsi:type="dcterms:W3CDTF">2023-08-21T08:44:00Z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Id">
    <vt:lpwstr>428670</vt:lpwstr>
  </property>
  <property fmtid="{D5CDD505-2E9C-101B-9397-08002B2CF9AE}" pid="3" name="ProjectId">
    <vt:lpwstr>-1</vt:lpwstr>
  </property>
  <property fmtid="{D5CDD505-2E9C-101B-9397-08002B2CF9AE}" pid="4" name="InsertAsFootnote">
    <vt:lpwstr>False</vt:lpwstr>
  </property>
  <property fmtid="{D5CDD505-2E9C-101B-9397-08002B2CF9AE}" pid="5" name="StyleId">
    <vt:lpwstr>http://www.zotero.org/styles/vancouver</vt:lpwstr>
  </property>
</Properties>
</file>