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DE8C20A" w14:textId="77777777" w:rsidR="008B751B" w:rsidRPr="00127FCD" w:rsidRDefault="008B751B" w:rsidP="008B751B">
      <w:pPr>
        <w:tabs>
          <w:tab w:val="left" w:pos="5340"/>
        </w:tabs>
        <w:spacing w:line="480" w:lineRule="auto"/>
        <w:jc w:val="center"/>
        <w:rPr>
          <w:iCs/>
          <w:szCs w:val="24"/>
        </w:rPr>
      </w:pPr>
      <w:r w:rsidRPr="00127FCD">
        <w:rPr>
          <w:iCs/>
          <w:szCs w:val="24"/>
        </w:rPr>
        <w:t xml:space="preserve">A novel peptide analogue of spike glycoprotein shows antiviral properties against SARS-CoV-2: </w:t>
      </w:r>
      <w:r>
        <w:rPr>
          <w:iCs/>
          <w:szCs w:val="24"/>
        </w:rPr>
        <w:t>A</w:t>
      </w:r>
      <w:r w:rsidRPr="00127FCD">
        <w:rPr>
          <w:iCs/>
          <w:szCs w:val="24"/>
        </w:rPr>
        <w:t xml:space="preserve">n </w:t>
      </w:r>
      <w:r w:rsidRPr="00127FCD">
        <w:rPr>
          <w:i/>
          <w:iCs/>
          <w:szCs w:val="24"/>
        </w:rPr>
        <w:t>in silico</w:t>
      </w:r>
      <w:r w:rsidRPr="00127FCD">
        <w:rPr>
          <w:iCs/>
          <w:szCs w:val="24"/>
        </w:rPr>
        <w:t xml:space="preserve"> approach through molecular docking, molecular dynamics simulation and MM-PB/GBSA calculations</w:t>
      </w:r>
    </w:p>
    <w:p w14:paraId="7568EA66" w14:textId="77777777" w:rsidR="008B751B" w:rsidRPr="00127FCD" w:rsidRDefault="008B751B" w:rsidP="008B751B">
      <w:pPr>
        <w:tabs>
          <w:tab w:val="left" w:pos="5340"/>
        </w:tabs>
        <w:spacing w:line="480" w:lineRule="auto"/>
        <w:jc w:val="center"/>
        <w:rPr>
          <w:iCs/>
          <w:szCs w:val="24"/>
        </w:rPr>
      </w:pPr>
    </w:p>
    <w:p w14:paraId="54F5330E" w14:textId="77777777" w:rsidR="008B751B" w:rsidRPr="00127FCD" w:rsidRDefault="008B751B" w:rsidP="008B751B">
      <w:pPr>
        <w:tabs>
          <w:tab w:val="left" w:pos="5340"/>
        </w:tabs>
        <w:spacing w:line="480" w:lineRule="auto"/>
        <w:jc w:val="center"/>
        <w:rPr>
          <w:iCs/>
          <w:szCs w:val="24"/>
        </w:rPr>
      </w:pPr>
      <w:r w:rsidRPr="00127FCD">
        <w:rPr>
          <w:iCs/>
          <w:szCs w:val="24"/>
        </w:rPr>
        <w:t>Kunal Dutta</w:t>
      </w:r>
      <w:r w:rsidRPr="00127FCD">
        <w:rPr>
          <w:iCs/>
          <w:szCs w:val="24"/>
          <w:vertAlign w:val="superscript"/>
        </w:rPr>
        <w:t>1, *</w:t>
      </w:r>
      <w:r w:rsidRPr="00127FCD">
        <w:rPr>
          <w:iCs/>
          <w:szCs w:val="24"/>
        </w:rPr>
        <w:t>, Ammar D. Elmezayen</w:t>
      </w:r>
      <w:r w:rsidRPr="00127FCD">
        <w:rPr>
          <w:iCs/>
          <w:szCs w:val="24"/>
          <w:vertAlign w:val="superscript"/>
        </w:rPr>
        <w:t>3</w:t>
      </w:r>
      <w:r w:rsidRPr="00127FCD">
        <w:rPr>
          <w:iCs/>
          <w:szCs w:val="24"/>
        </w:rPr>
        <w:t>, Anas Alobaidi</w:t>
      </w:r>
      <w:r w:rsidRPr="00127FCD">
        <w:rPr>
          <w:iCs/>
          <w:szCs w:val="24"/>
          <w:vertAlign w:val="superscript"/>
        </w:rPr>
        <w:t>3</w:t>
      </w:r>
      <w:r w:rsidRPr="00127FCD">
        <w:rPr>
          <w:iCs/>
          <w:szCs w:val="24"/>
        </w:rPr>
        <w:t>, Wei Zhu</w:t>
      </w:r>
      <w:r w:rsidRPr="00127FCD">
        <w:rPr>
          <w:iCs/>
          <w:szCs w:val="24"/>
          <w:vertAlign w:val="superscript"/>
        </w:rPr>
        <w:t>5</w:t>
      </w:r>
      <w:r w:rsidRPr="00127FCD">
        <w:rPr>
          <w:iCs/>
          <w:szCs w:val="24"/>
        </w:rPr>
        <w:t>, Olga Morojava</w:t>
      </w:r>
      <w:r w:rsidRPr="00127FCD">
        <w:rPr>
          <w:iCs/>
          <w:szCs w:val="24"/>
          <w:vertAlign w:val="superscript"/>
        </w:rPr>
        <w:t>6</w:t>
      </w:r>
      <w:r w:rsidRPr="00127FCD">
        <w:rPr>
          <w:iCs/>
          <w:szCs w:val="24"/>
        </w:rPr>
        <w:t>, Sergey Shityakov</w:t>
      </w:r>
      <w:r w:rsidRPr="00127FCD">
        <w:rPr>
          <w:iCs/>
          <w:szCs w:val="24"/>
          <w:vertAlign w:val="superscript"/>
        </w:rPr>
        <w:t>2,7</w:t>
      </w:r>
      <w:r w:rsidRPr="00127FCD">
        <w:rPr>
          <w:iCs/>
          <w:szCs w:val="24"/>
        </w:rPr>
        <w:t>, Ibrahim Khalifa</w:t>
      </w:r>
      <w:r w:rsidRPr="00127FCD">
        <w:rPr>
          <w:iCs/>
          <w:szCs w:val="24"/>
          <w:vertAlign w:val="superscript"/>
        </w:rPr>
        <w:t>4</w:t>
      </w:r>
    </w:p>
    <w:p w14:paraId="5DB47E6B" w14:textId="77777777" w:rsidR="008B751B" w:rsidRPr="00D46A62" w:rsidRDefault="008B751B" w:rsidP="008B751B">
      <w:pPr>
        <w:tabs>
          <w:tab w:val="left" w:pos="5340"/>
        </w:tabs>
        <w:spacing w:line="480" w:lineRule="auto"/>
        <w:rPr>
          <w:iCs/>
          <w:szCs w:val="24"/>
        </w:rPr>
      </w:pPr>
    </w:p>
    <w:p w14:paraId="7062C302" w14:textId="77777777" w:rsidR="008B751B" w:rsidRPr="00127FCD" w:rsidRDefault="008B751B" w:rsidP="008B751B">
      <w:pPr>
        <w:tabs>
          <w:tab w:val="left" w:pos="5340"/>
        </w:tabs>
        <w:spacing w:line="480" w:lineRule="auto"/>
        <w:jc w:val="center"/>
        <w:rPr>
          <w:iCs/>
          <w:szCs w:val="24"/>
          <w:u w:val="single"/>
        </w:rPr>
      </w:pPr>
      <w:r w:rsidRPr="00127FCD">
        <w:rPr>
          <w:iCs/>
          <w:szCs w:val="24"/>
          <w:u w:val="single"/>
        </w:rPr>
        <w:t>SUPPLEMENTARY SECTION</w:t>
      </w:r>
    </w:p>
    <w:p w14:paraId="17E01266" w14:textId="77777777" w:rsidR="008B751B" w:rsidRDefault="008B751B" w:rsidP="008B751B">
      <w:pPr>
        <w:tabs>
          <w:tab w:val="left" w:pos="5340"/>
        </w:tabs>
        <w:spacing w:line="480" w:lineRule="auto"/>
        <w:jc w:val="both"/>
        <w:rPr>
          <w:i/>
          <w:szCs w:val="24"/>
        </w:rPr>
      </w:pPr>
    </w:p>
    <w:p w14:paraId="0A2E9179" w14:textId="77777777" w:rsidR="008B751B" w:rsidRPr="00F408B2" w:rsidRDefault="008B751B" w:rsidP="008B751B">
      <w:pPr>
        <w:tabs>
          <w:tab w:val="left" w:pos="5340"/>
        </w:tabs>
        <w:spacing w:line="480" w:lineRule="auto"/>
        <w:jc w:val="both"/>
        <w:rPr>
          <w:i/>
          <w:szCs w:val="24"/>
        </w:rPr>
      </w:pPr>
      <w:r w:rsidRPr="00F408B2">
        <w:rPr>
          <w:i/>
          <w:szCs w:val="24"/>
        </w:rPr>
        <w:t xml:space="preserve">Molecular dynamics (MD) simulation of the </w:t>
      </w:r>
      <w:r>
        <w:rPr>
          <w:i/>
          <w:szCs w:val="24"/>
        </w:rPr>
        <w:t>antiviral peptides</w:t>
      </w:r>
    </w:p>
    <w:p w14:paraId="378F8E33" w14:textId="77777777" w:rsidR="008B751B" w:rsidRDefault="008B751B" w:rsidP="008B751B">
      <w:pPr>
        <w:shd w:val="clear" w:color="auto" w:fill="FFFFFF"/>
        <w:spacing w:before="100" w:beforeAutospacing="1" w:after="100" w:afterAutospacing="1" w:line="480" w:lineRule="auto"/>
        <w:jc w:val="both"/>
        <w:textAlignment w:val="baseline"/>
        <w:rPr>
          <w:iCs/>
          <w:szCs w:val="24"/>
        </w:rPr>
      </w:pPr>
      <w:r w:rsidRPr="00236883">
        <w:rPr>
          <w:iCs/>
          <w:szCs w:val="24"/>
        </w:rPr>
        <w:t>MD-simulation of peptide</w:t>
      </w:r>
      <w:r>
        <w:rPr>
          <w:iCs/>
          <w:szCs w:val="24"/>
        </w:rPr>
        <w:t xml:space="preserve"> </w:t>
      </w:r>
      <w:r w:rsidRPr="00236883">
        <w:rPr>
          <w:color w:val="000000" w:themeColor="text1"/>
          <w:szCs w:val="24"/>
        </w:rPr>
        <w:t>analogue</w:t>
      </w:r>
      <w:r w:rsidRPr="00236883">
        <w:rPr>
          <w:iCs/>
          <w:szCs w:val="24"/>
        </w:rPr>
        <w:t xml:space="preserve"> of </w:t>
      </w:r>
      <w:r>
        <w:rPr>
          <w:iCs/>
          <w:szCs w:val="24"/>
        </w:rPr>
        <w:t xml:space="preserve">the </w:t>
      </w:r>
      <w:r w:rsidRPr="00236883">
        <w:rPr>
          <w:iCs/>
          <w:szCs w:val="24"/>
        </w:rPr>
        <w:t>spike glycoprotein were performed using GROMACS (v20</w:t>
      </w:r>
      <w:r>
        <w:rPr>
          <w:iCs/>
          <w:szCs w:val="24"/>
        </w:rPr>
        <w:t>20</w:t>
      </w:r>
      <w:r w:rsidRPr="00236883">
        <w:rPr>
          <w:iCs/>
          <w:szCs w:val="24"/>
        </w:rPr>
        <w:t>)</w:t>
      </w:r>
      <w:r>
        <w:rPr>
          <w:iCs/>
          <w:szCs w:val="24"/>
        </w:rPr>
        <w:t xml:space="preserve">, </w:t>
      </w:r>
      <w:r w:rsidRPr="00236883">
        <w:rPr>
          <w:iCs/>
          <w:szCs w:val="24"/>
        </w:rPr>
        <w:fldChar w:fldCharType="begin"/>
      </w:r>
      <w:r>
        <w:rPr>
          <w:iCs/>
          <w:szCs w:val="24"/>
        </w:rPr>
        <w:instrText xml:space="preserve"> ADDIN EN.CITE &lt;EndNote&gt;&lt;Cite&gt;&lt;Author&gt;Abraham&lt;/Author&gt;&lt;Year&gt;2015&lt;/Year&gt;&lt;RecNum&gt;30&lt;/RecNum&gt;&lt;DisplayText&gt;[17]&lt;/DisplayText&gt;&lt;record&gt;&lt;rec-number&gt;30&lt;/rec-number&gt;&lt;foreign-keys&gt;&lt;key app="EN" db-id="eetzv9vvd95wzwe0ft25pv0vepr2zxvrvpp0"&gt;30&lt;/key&gt;&lt;/foreign-keys&gt;&lt;ref-type name="Journal Article"&gt;17&lt;/ref-type&gt;&lt;contributors&gt;&lt;authors&gt;&lt;author&gt;Abraham, Mark James&lt;/author&gt;&lt;author&gt;Murtola, Teemu&lt;/author&gt;&lt;author&gt;Schulz, Roland&lt;/author&gt;&lt;author&gt;Páll, Szilárd&lt;/author&gt;&lt;author&gt;Smith, Jeremy C&lt;/author&gt;&lt;author&gt;Hess, Berk&lt;/author&gt;&lt;author&gt;Lindahl, Erik&lt;/author&gt;&lt;/authors&gt;&lt;/contributors&gt;&lt;titles&gt;&lt;title&gt;GROMACS: High performance molecular simulations through multi-level parallelism from laptops to supercomputers&lt;/title&gt;&lt;secondary-title&gt;SoftwareX&lt;/secondary-title&gt;&lt;/titles&gt;&lt;periodical&gt;&lt;full-title&gt;SoftwareX&lt;/full-title&gt;&lt;/periodical&gt;&lt;pages&gt;19-25&lt;/pages&gt;&lt;volume&gt;1&lt;/volume&gt;&lt;dates&gt;&lt;year&gt;2015&lt;/year&gt;&lt;/dates&gt;&lt;isbn&gt;2352-7110&lt;/isbn&gt;&lt;urls&gt;&lt;/urls&gt;&lt;/record&gt;&lt;/Cite&gt;&lt;/EndNote&gt;</w:instrText>
      </w:r>
      <w:r w:rsidRPr="00236883">
        <w:rPr>
          <w:iCs/>
          <w:szCs w:val="24"/>
        </w:rPr>
        <w:fldChar w:fldCharType="separate"/>
      </w:r>
      <w:r>
        <w:rPr>
          <w:iCs/>
          <w:szCs w:val="24"/>
        </w:rPr>
        <w:t>[</w:t>
      </w:r>
      <w:hyperlink w:anchor="_ENREF_17" w:tooltip="Abraham, 2015 #30" w:history="1">
        <w:r>
          <w:rPr>
            <w:iCs/>
            <w:szCs w:val="24"/>
          </w:rPr>
          <w:t>17</w:t>
        </w:r>
      </w:hyperlink>
      <w:r>
        <w:rPr>
          <w:iCs/>
          <w:szCs w:val="24"/>
        </w:rPr>
        <w:t>]</w:t>
      </w:r>
      <w:r w:rsidRPr="00236883">
        <w:rPr>
          <w:iCs/>
          <w:szCs w:val="24"/>
        </w:rPr>
        <w:fldChar w:fldCharType="end"/>
      </w:r>
      <w:r w:rsidRPr="00236883">
        <w:rPr>
          <w:iCs/>
          <w:szCs w:val="24"/>
        </w:rPr>
        <w:t xml:space="preserve">. The Pdb2gmx was used to achieve the GROMACS file from protein. The initial protein structure for the simulation was processed using AMBER99SB-ILDN force field and solvated in a cubic box with SPC/E water molecules maintaining the size at least 2.0 nm from all atoms as final. To neutralize the net charge on the protein required Cl- ions were added to the cubic water box. The neutralized systems were further subjected to energy minimization with 500 steps for steepest descent algorithm followed by 100 ps MD simulation with position restraints on the protein non-hydrogen atoms were performed to equilibrate to remove the irregular torsions, and the process was carried out through the steepest descent minimization algorithm for 50000 steps using 1000 kJ/mol/nm as the maximum force. The two steps equilibration, NVT, and NPT were </w:t>
      </w:r>
      <w:r w:rsidRPr="00236883">
        <w:rPr>
          <w:iCs/>
          <w:szCs w:val="24"/>
        </w:rPr>
        <w:lastRenderedPageBreak/>
        <w:t xml:space="preserve">performed for 100 ps before the final MD run. The MD simulations were performed for 50000 ps </w:t>
      </w:r>
      <w:r w:rsidRPr="00236883">
        <w:rPr>
          <w:iCs/>
          <w:szCs w:val="24"/>
        </w:rPr>
        <w:fldChar w:fldCharType="begin"/>
      </w:r>
      <w:r>
        <w:rPr>
          <w:iCs/>
          <w:szCs w:val="24"/>
        </w:rPr>
        <w:instrText xml:space="preserve"> ADDIN EN.CITE &lt;EndNote&gt;&lt;Cite&gt;&lt;Author&gt;Dutta&lt;/Author&gt;&lt;Year&gt;2018&lt;/Year&gt;&lt;RecNum&gt;40&lt;/RecNum&gt;&lt;DisplayText&gt;[30]&lt;/DisplayText&gt;&lt;record&gt;&lt;rec-number&gt;40&lt;/rec-number&gt;&lt;foreign-keys&gt;&lt;key app="EN" db-id="eetzv9vvd95wzwe0ft25pv0vepr2zxvrvpp0"&gt;40&lt;/key&gt;&lt;/foreign-keys&gt;&lt;ref-type name="Journal Article"&gt;17&lt;/ref-type&gt;&lt;contributors&gt;&lt;authors&gt;&lt;author&gt;Dutta, Kunal&lt;/author&gt;&lt;author&gt;Nag, Kaushik&lt;/author&gt;&lt;author&gt;Booth, Valerie&lt;/author&gt;&lt;author&gt;Smyth, Erin&lt;/author&gt;&lt;author&gt;Dueck, Helen&lt;/author&gt;&lt;author&gt;Fritzen-Garcia, Mauricia&lt;/author&gt;&lt;author&gt;Ghosh, Chandradipa&lt;/author&gt;&lt;author&gt;Panda, Amiya Kumar&lt;/author&gt;&lt;/authors&gt;&lt;/contributors&gt;&lt;titles&gt;&lt;title&gt;Paradoxical Bactericidal Effects of Hydrophobic Lung Surfactant Proteins and Their Peptide Mimics Using Liposome Molecular Trojan&lt;/title&gt;&lt;secondary-title&gt;Journal of oleo science&lt;/secondary-title&gt;&lt;/titles&gt;&lt;periodical&gt;&lt;full-title&gt;Journal of oleo science&lt;/full-title&gt;&lt;/periodical&gt;&lt;pages&gt;ess18026&lt;/pages&gt;&lt;dates&gt;&lt;year&gt;2018&lt;/year&gt;&lt;/dates&gt;&lt;isbn&gt;1345-8957&lt;/isbn&gt;&lt;urls&gt;&lt;/urls&gt;&lt;/record&gt;&lt;/Cite&gt;&lt;/EndNote&gt;</w:instrText>
      </w:r>
      <w:r w:rsidRPr="00236883">
        <w:rPr>
          <w:iCs/>
          <w:szCs w:val="24"/>
        </w:rPr>
        <w:fldChar w:fldCharType="separate"/>
      </w:r>
      <w:r>
        <w:rPr>
          <w:iCs/>
          <w:szCs w:val="24"/>
        </w:rPr>
        <w:t>[</w:t>
      </w:r>
      <w:hyperlink w:anchor="_ENREF_30" w:tooltip="Dutta, 2018 #40" w:history="1">
        <w:r>
          <w:rPr>
            <w:iCs/>
            <w:szCs w:val="24"/>
          </w:rPr>
          <w:t>30</w:t>
        </w:r>
      </w:hyperlink>
      <w:r>
        <w:rPr>
          <w:iCs/>
          <w:szCs w:val="24"/>
        </w:rPr>
        <w:t>]</w:t>
      </w:r>
      <w:r w:rsidRPr="00236883">
        <w:rPr>
          <w:iCs/>
          <w:szCs w:val="24"/>
        </w:rPr>
        <w:fldChar w:fldCharType="end"/>
      </w:r>
      <w:r w:rsidRPr="00236883">
        <w:rPr>
          <w:iCs/>
          <w:szCs w:val="24"/>
        </w:rPr>
        <w:t xml:space="preserve">. </w:t>
      </w:r>
    </w:p>
    <w:p w14:paraId="194EF9B2" w14:textId="77777777" w:rsidR="008B751B" w:rsidRDefault="008B751B" w:rsidP="008B751B">
      <w:pPr>
        <w:shd w:val="clear" w:color="auto" w:fill="FFFFFF"/>
        <w:spacing w:before="100" w:beforeAutospacing="1" w:after="100" w:afterAutospacing="1" w:line="480" w:lineRule="auto"/>
        <w:jc w:val="both"/>
        <w:textAlignment w:val="baseline"/>
        <w:rPr>
          <w:iCs/>
          <w:szCs w:val="24"/>
        </w:rPr>
      </w:pPr>
    </w:p>
    <w:tbl>
      <w:tblPr>
        <w:tblStyle w:val="TableGrid"/>
        <w:tblpPr w:leftFromText="180" w:rightFromText="180" w:vertAnchor="page" w:horzAnchor="margin" w:tblpXSpec="center" w:tblpY="177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60"/>
        <w:gridCol w:w="1828"/>
        <w:gridCol w:w="1682"/>
      </w:tblGrid>
      <w:tr w:rsidR="008B751B" w14:paraId="452BAF9A" w14:textId="77777777" w:rsidTr="00057B1E">
        <w:trPr>
          <w:trHeight w:val="1083"/>
        </w:trPr>
        <w:tc>
          <w:tcPr>
            <w:tcW w:w="5670" w:type="dxa"/>
            <w:gridSpan w:val="3"/>
            <w:tcBorders>
              <w:bottom w:val="single" w:sz="4" w:space="0" w:color="auto"/>
            </w:tcBorders>
            <w:vAlign w:val="center"/>
          </w:tcPr>
          <w:p w14:paraId="05CDD9DD" w14:textId="77777777" w:rsidR="008B751B" w:rsidRDefault="008B751B" w:rsidP="00057B1E">
            <w:pPr>
              <w:jc w:val="both"/>
              <w:rPr>
                <w:szCs w:val="24"/>
              </w:rPr>
            </w:pPr>
            <w:bookmarkStart w:id="0" w:name="_Hlk58271740"/>
            <w:r>
              <w:rPr>
                <w:szCs w:val="24"/>
              </w:rPr>
              <w:t>Table S1. Binding f</w:t>
            </w:r>
            <w:r w:rsidRPr="00DB6BA1">
              <w:rPr>
                <w:szCs w:val="24"/>
              </w:rPr>
              <w:t xml:space="preserve">ree </w:t>
            </w:r>
            <w:r>
              <w:rPr>
                <w:szCs w:val="24"/>
              </w:rPr>
              <w:t>e</w:t>
            </w:r>
            <w:r w:rsidRPr="00DB6BA1">
              <w:rPr>
                <w:szCs w:val="24"/>
              </w:rPr>
              <w:t>nerg</w:t>
            </w:r>
            <w:r>
              <w:rPr>
                <w:szCs w:val="24"/>
              </w:rPr>
              <w:t>y (ΔG</w:t>
            </w:r>
            <w:r w:rsidRPr="00D04007">
              <w:rPr>
                <w:szCs w:val="24"/>
                <w:vertAlign w:val="subscript"/>
              </w:rPr>
              <w:t>bind</w:t>
            </w:r>
            <w:r>
              <w:rPr>
                <w:szCs w:val="24"/>
              </w:rPr>
              <w:t>) of different AVP-RBD complex systems c</w:t>
            </w:r>
            <w:r w:rsidRPr="00DB6BA1">
              <w:rPr>
                <w:szCs w:val="24"/>
              </w:rPr>
              <w:t>alculated</w:t>
            </w:r>
            <w:r>
              <w:rPr>
                <w:szCs w:val="24"/>
              </w:rPr>
              <w:t xml:space="preserve"> u</w:t>
            </w:r>
            <w:r w:rsidRPr="00DB6BA1">
              <w:rPr>
                <w:szCs w:val="24"/>
              </w:rPr>
              <w:t>sing MM</w:t>
            </w:r>
            <w:r>
              <w:rPr>
                <w:szCs w:val="24"/>
              </w:rPr>
              <w:t>-G</w:t>
            </w:r>
            <w:r w:rsidRPr="00DB6BA1">
              <w:rPr>
                <w:szCs w:val="24"/>
              </w:rPr>
              <w:t>B</w:t>
            </w:r>
            <w:r>
              <w:rPr>
                <w:szCs w:val="24"/>
              </w:rPr>
              <w:t>/PB</w:t>
            </w:r>
            <w:r w:rsidRPr="00DB6BA1">
              <w:rPr>
                <w:szCs w:val="24"/>
              </w:rPr>
              <w:t xml:space="preserve">SA </w:t>
            </w:r>
            <w:r>
              <w:rPr>
                <w:szCs w:val="24"/>
              </w:rPr>
              <w:t>calculated for 50 ns</w:t>
            </w:r>
            <w:r w:rsidRPr="00127FCD">
              <w:rPr>
                <w:szCs w:val="24"/>
                <w:vertAlign w:val="superscript"/>
              </w:rPr>
              <w:t>*, #</w:t>
            </w:r>
            <w:bookmarkEnd w:id="0"/>
          </w:p>
        </w:tc>
      </w:tr>
      <w:tr w:rsidR="008B751B" w14:paraId="39132E97" w14:textId="77777777" w:rsidTr="00057B1E">
        <w:trPr>
          <w:cantSplit/>
          <w:trHeight w:val="339"/>
        </w:trPr>
        <w:tc>
          <w:tcPr>
            <w:tcW w:w="2160" w:type="dxa"/>
            <w:tcBorders>
              <w:top w:val="single" w:sz="4" w:space="0" w:color="auto"/>
              <w:bottom w:val="single" w:sz="4" w:space="0" w:color="auto"/>
            </w:tcBorders>
            <w:vAlign w:val="center"/>
          </w:tcPr>
          <w:p w14:paraId="37FC8941" w14:textId="77777777" w:rsidR="008B751B" w:rsidRPr="00C00B3D" w:rsidRDefault="008B751B" w:rsidP="00057B1E">
            <w:pPr>
              <w:rPr>
                <w:szCs w:val="24"/>
              </w:rPr>
            </w:pPr>
            <w:r>
              <w:rPr>
                <w:szCs w:val="24"/>
              </w:rPr>
              <w:t>Systems</w:t>
            </w:r>
          </w:p>
        </w:tc>
        <w:tc>
          <w:tcPr>
            <w:tcW w:w="1828" w:type="dxa"/>
            <w:tcBorders>
              <w:top w:val="single" w:sz="4" w:space="0" w:color="auto"/>
              <w:bottom w:val="single" w:sz="4" w:space="0" w:color="auto"/>
            </w:tcBorders>
            <w:vAlign w:val="center"/>
          </w:tcPr>
          <w:p w14:paraId="6E2A4213" w14:textId="77777777" w:rsidR="008B751B" w:rsidRPr="00C00B3D" w:rsidRDefault="008B751B" w:rsidP="00057B1E">
            <w:pPr>
              <w:jc w:val="center"/>
              <w:rPr>
                <w:szCs w:val="24"/>
              </w:rPr>
            </w:pPr>
            <w:r w:rsidRPr="00C00B3D">
              <w:rPr>
                <w:szCs w:val="24"/>
              </w:rPr>
              <w:t>MM-GBSA</w:t>
            </w:r>
            <w:r w:rsidRPr="00EB00D0">
              <w:rPr>
                <w:szCs w:val="24"/>
                <w:vertAlign w:val="superscript"/>
              </w:rPr>
              <w:t>*</w:t>
            </w:r>
          </w:p>
        </w:tc>
        <w:tc>
          <w:tcPr>
            <w:tcW w:w="1682" w:type="dxa"/>
            <w:tcBorders>
              <w:top w:val="single" w:sz="4" w:space="0" w:color="auto"/>
              <w:bottom w:val="single" w:sz="4" w:space="0" w:color="auto"/>
            </w:tcBorders>
            <w:vAlign w:val="center"/>
          </w:tcPr>
          <w:p w14:paraId="6635CD55" w14:textId="77777777" w:rsidR="008B751B" w:rsidRPr="00EC147E" w:rsidRDefault="008B751B" w:rsidP="00057B1E">
            <w:pPr>
              <w:jc w:val="center"/>
              <w:rPr>
                <w:szCs w:val="24"/>
              </w:rPr>
            </w:pPr>
            <w:r w:rsidRPr="00C00B3D">
              <w:rPr>
                <w:szCs w:val="24"/>
              </w:rPr>
              <w:t>MM-PBSA</w:t>
            </w:r>
            <w:r w:rsidRPr="00EB00D0">
              <w:rPr>
                <w:szCs w:val="24"/>
                <w:vertAlign w:val="superscript"/>
              </w:rPr>
              <w:t>#</w:t>
            </w:r>
          </w:p>
        </w:tc>
      </w:tr>
      <w:tr w:rsidR="008B751B" w14:paraId="2211C7F2" w14:textId="77777777" w:rsidTr="00057B1E">
        <w:trPr>
          <w:trHeight w:val="428"/>
        </w:trPr>
        <w:tc>
          <w:tcPr>
            <w:tcW w:w="2160" w:type="dxa"/>
            <w:tcBorders>
              <w:top w:val="single" w:sz="4" w:space="0" w:color="auto"/>
            </w:tcBorders>
            <w:vAlign w:val="center"/>
          </w:tcPr>
          <w:p w14:paraId="2FEF223C" w14:textId="77777777" w:rsidR="008B751B" w:rsidRPr="00DB6BA1" w:rsidRDefault="008B751B" w:rsidP="00057B1E">
            <w:pPr>
              <w:rPr>
                <w:szCs w:val="24"/>
              </w:rPr>
            </w:pPr>
            <w:r w:rsidRPr="00DB6BA1">
              <w:rPr>
                <w:szCs w:val="24"/>
              </w:rPr>
              <w:t>Seq12</w:t>
            </w:r>
            <w:r>
              <w:rPr>
                <w:szCs w:val="24"/>
              </w:rPr>
              <w:t xml:space="preserve"> + </w:t>
            </w:r>
            <w:r w:rsidRPr="004239E8">
              <w:rPr>
                <w:szCs w:val="24"/>
              </w:rPr>
              <w:t>RBD</w:t>
            </w:r>
          </w:p>
        </w:tc>
        <w:tc>
          <w:tcPr>
            <w:tcW w:w="1828" w:type="dxa"/>
            <w:tcBorders>
              <w:top w:val="single" w:sz="4" w:space="0" w:color="auto"/>
            </w:tcBorders>
            <w:vAlign w:val="center"/>
          </w:tcPr>
          <w:p w14:paraId="0401274D" w14:textId="77777777" w:rsidR="008B751B" w:rsidRPr="00DB6BA1" w:rsidRDefault="008B751B" w:rsidP="00057B1E">
            <w:pPr>
              <w:jc w:val="center"/>
              <w:rPr>
                <w:szCs w:val="24"/>
              </w:rPr>
            </w:pPr>
            <w:r w:rsidRPr="009D3C8E">
              <w:rPr>
                <w:szCs w:val="24"/>
              </w:rPr>
              <w:t>-47.8</w:t>
            </w:r>
            <w:r>
              <w:rPr>
                <w:szCs w:val="24"/>
              </w:rPr>
              <w:t>0</w:t>
            </w:r>
          </w:p>
        </w:tc>
        <w:tc>
          <w:tcPr>
            <w:tcW w:w="1682" w:type="dxa"/>
            <w:tcBorders>
              <w:top w:val="single" w:sz="4" w:space="0" w:color="auto"/>
            </w:tcBorders>
            <w:vAlign w:val="center"/>
          </w:tcPr>
          <w:p w14:paraId="3B4D5DBC" w14:textId="77777777" w:rsidR="008B751B" w:rsidRPr="00DB6BA1" w:rsidRDefault="008B751B" w:rsidP="00057B1E">
            <w:pPr>
              <w:jc w:val="center"/>
              <w:rPr>
                <w:szCs w:val="24"/>
              </w:rPr>
            </w:pPr>
            <w:r w:rsidRPr="00F520C9">
              <w:rPr>
                <w:szCs w:val="24"/>
              </w:rPr>
              <w:t xml:space="preserve">-50.95          </w:t>
            </w:r>
          </w:p>
        </w:tc>
      </w:tr>
      <w:tr w:rsidR="008B751B" w14:paraId="5CC4BBD9" w14:textId="77777777" w:rsidTr="00057B1E">
        <w:trPr>
          <w:trHeight w:val="411"/>
        </w:trPr>
        <w:tc>
          <w:tcPr>
            <w:tcW w:w="2160" w:type="dxa"/>
            <w:vAlign w:val="center"/>
          </w:tcPr>
          <w:p w14:paraId="1F304FCE" w14:textId="77777777" w:rsidR="008B751B" w:rsidRPr="00DB6BA1" w:rsidRDefault="008B751B" w:rsidP="00057B1E">
            <w:pPr>
              <w:rPr>
                <w:szCs w:val="24"/>
              </w:rPr>
            </w:pPr>
            <w:r w:rsidRPr="00DB6BA1">
              <w:rPr>
                <w:szCs w:val="24"/>
              </w:rPr>
              <w:t>Seq12</w:t>
            </w:r>
            <w:r>
              <w:rPr>
                <w:szCs w:val="24"/>
              </w:rPr>
              <w:t xml:space="preserve"> + </w:t>
            </w:r>
            <w:r w:rsidRPr="004239E8">
              <w:rPr>
                <w:szCs w:val="24"/>
              </w:rPr>
              <w:t>RBD</w:t>
            </w:r>
            <w:r>
              <w:rPr>
                <w:szCs w:val="24"/>
              </w:rPr>
              <w:t>m</w:t>
            </w:r>
            <w:r w:rsidRPr="00CC625A">
              <w:rPr>
                <w:szCs w:val="24"/>
                <w:vertAlign w:val="superscript"/>
              </w:rPr>
              <w:t>$</w:t>
            </w:r>
          </w:p>
        </w:tc>
        <w:tc>
          <w:tcPr>
            <w:tcW w:w="1828" w:type="dxa"/>
            <w:vAlign w:val="center"/>
          </w:tcPr>
          <w:p w14:paraId="1B7250DA" w14:textId="77777777" w:rsidR="008B751B" w:rsidRDefault="008B751B" w:rsidP="00057B1E">
            <w:pPr>
              <w:jc w:val="center"/>
              <w:rPr>
                <w:szCs w:val="24"/>
              </w:rPr>
            </w:pPr>
            <w:r w:rsidRPr="004F585A">
              <w:rPr>
                <w:szCs w:val="24"/>
              </w:rPr>
              <w:t>-56.31</w:t>
            </w:r>
          </w:p>
        </w:tc>
        <w:tc>
          <w:tcPr>
            <w:tcW w:w="1682" w:type="dxa"/>
            <w:vAlign w:val="center"/>
          </w:tcPr>
          <w:p w14:paraId="0B948BD2" w14:textId="77777777" w:rsidR="008B751B" w:rsidRDefault="008B751B" w:rsidP="00057B1E">
            <w:pPr>
              <w:jc w:val="center"/>
              <w:rPr>
                <w:szCs w:val="24"/>
              </w:rPr>
            </w:pPr>
            <w:r w:rsidRPr="00AF5E78">
              <w:rPr>
                <w:szCs w:val="24"/>
              </w:rPr>
              <w:t xml:space="preserve">-74.79          </w:t>
            </w:r>
          </w:p>
        </w:tc>
      </w:tr>
      <w:tr w:rsidR="008B751B" w14:paraId="7F587BD8" w14:textId="77777777" w:rsidTr="00057B1E">
        <w:trPr>
          <w:trHeight w:val="428"/>
        </w:trPr>
        <w:tc>
          <w:tcPr>
            <w:tcW w:w="2160" w:type="dxa"/>
            <w:vAlign w:val="center"/>
          </w:tcPr>
          <w:p w14:paraId="02675565" w14:textId="77777777" w:rsidR="008B751B" w:rsidRPr="00DB6BA1" w:rsidRDefault="008B751B" w:rsidP="00057B1E">
            <w:pPr>
              <w:rPr>
                <w:szCs w:val="24"/>
              </w:rPr>
            </w:pPr>
            <w:r w:rsidRPr="00DB6BA1">
              <w:rPr>
                <w:szCs w:val="24"/>
              </w:rPr>
              <w:t>Sqe12m</w:t>
            </w:r>
            <w:r>
              <w:rPr>
                <w:szCs w:val="24"/>
              </w:rPr>
              <w:t xml:space="preserve"> + RBD</w:t>
            </w:r>
          </w:p>
        </w:tc>
        <w:tc>
          <w:tcPr>
            <w:tcW w:w="1828" w:type="dxa"/>
            <w:vAlign w:val="center"/>
          </w:tcPr>
          <w:p w14:paraId="5143A3D6" w14:textId="77777777" w:rsidR="008B751B" w:rsidRPr="00DB6BA1" w:rsidRDefault="008B751B" w:rsidP="00057B1E">
            <w:pPr>
              <w:jc w:val="center"/>
              <w:rPr>
                <w:szCs w:val="24"/>
              </w:rPr>
            </w:pPr>
            <w:r>
              <w:rPr>
                <w:szCs w:val="24"/>
              </w:rPr>
              <w:t>-</w:t>
            </w:r>
            <w:r w:rsidRPr="004F585A">
              <w:rPr>
                <w:szCs w:val="24"/>
              </w:rPr>
              <w:t>60.84</w:t>
            </w:r>
          </w:p>
        </w:tc>
        <w:tc>
          <w:tcPr>
            <w:tcW w:w="1682" w:type="dxa"/>
            <w:vAlign w:val="center"/>
          </w:tcPr>
          <w:p w14:paraId="2AF11FAA" w14:textId="77777777" w:rsidR="008B751B" w:rsidRPr="00DB6BA1" w:rsidRDefault="008B751B" w:rsidP="00057B1E">
            <w:pPr>
              <w:jc w:val="center"/>
              <w:rPr>
                <w:szCs w:val="24"/>
              </w:rPr>
            </w:pPr>
            <w:r w:rsidRPr="00603D19">
              <w:rPr>
                <w:szCs w:val="24"/>
              </w:rPr>
              <w:t xml:space="preserve">-62.13          </w:t>
            </w:r>
          </w:p>
        </w:tc>
      </w:tr>
      <w:tr w:rsidR="008B751B" w14:paraId="63D8EF3B" w14:textId="77777777" w:rsidTr="00057B1E">
        <w:trPr>
          <w:trHeight w:val="428"/>
        </w:trPr>
        <w:tc>
          <w:tcPr>
            <w:tcW w:w="2160" w:type="dxa"/>
            <w:vAlign w:val="center"/>
          </w:tcPr>
          <w:p w14:paraId="00940B6D" w14:textId="77777777" w:rsidR="008B751B" w:rsidRPr="00DB6BA1" w:rsidRDefault="008B751B" w:rsidP="00057B1E">
            <w:pPr>
              <w:rPr>
                <w:szCs w:val="24"/>
              </w:rPr>
            </w:pPr>
            <w:r w:rsidRPr="00DB6BA1">
              <w:rPr>
                <w:szCs w:val="24"/>
              </w:rPr>
              <w:t>Sqe12m</w:t>
            </w:r>
            <w:r>
              <w:rPr>
                <w:szCs w:val="24"/>
              </w:rPr>
              <w:t xml:space="preserve"> + RBDm</w:t>
            </w:r>
            <w:r w:rsidRPr="00CC625A">
              <w:rPr>
                <w:szCs w:val="24"/>
                <w:vertAlign w:val="superscript"/>
              </w:rPr>
              <w:t>$</w:t>
            </w:r>
          </w:p>
        </w:tc>
        <w:tc>
          <w:tcPr>
            <w:tcW w:w="1828" w:type="dxa"/>
            <w:vAlign w:val="center"/>
          </w:tcPr>
          <w:p w14:paraId="4A87151C" w14:textId="77777777" w:rsidR="008B751B" w:rsidRDefault="008B751B" w:rsidP="00057B1E">
            <w:pPr>
              <w:jc w:val="center"/>
              <w:rPr>
                <w:szCs w:val="24"/>
              </w:rPr>
            </w:pPr>
            <w:r w:rsidRPr="004F585A">
              <w:rPr>
                <w:szCs w:val="24"/>
              </w:rPr>
              <w:t>-64.18</w:t>
            </w:r>
          </w:p>
        </w:tc>
        <w:tc>
          <w:tcPr>
            <w:tcW w:w="1682" w:type="dxa"/>
            <w:vAlign w:val="center"/>
          </w:tcPr>
          <w:p w14:paraId="3B41BC13" w14:textId="77777777" w:rsidR="008B751B" w:rsidRDefault="008B751B" w:rsidP="00057B1E">
            <w:pPr>
              <w:jc w:val="center"/>
              <w:rPr>
                <w:szCs w:val="24"/>
              </w:rPr>
            </w:pPr>
            <w:r w:rsidRPr="009C5FF7">
              <w:rPr>
                <w:szCs w:val="24"/>
              </w:rPr>
              <w:t xml:space="preserve">-95.47          </w:t>
            </w:r>
          </w:p>
        </w:tc>
      </w:tr>
      <w:tr w:rsidR="008B751B" w14:paraId="1DAC946F" w14:textId="77777777" w:rsidTr="00057B1E">
        <w:trPr>
          <w:trHeight w:val="419"/>
        </w:trPr>
        <w:tc>
          <w:tcPr>
            <w:tcW w:w="2160" w:type="dxa"/>
            <w:vAlign w:val="center"/>
          </w:tcPr>
          <w:p w14:paraId="145E8B78" w14:textId="77777777" w:rsidR="008B751B" w:rsidRPr="00DB6BA1" w:rsidRDefault="008B751B" w:rsidP="00057B1E">
            <w:pPr>
              <w:rPr>
                <w:szCs w:val="24"/>
              </w:rPr>
            </w:pPr>
            <w:r w:rsidRPr="00DB6BA1">
              <w:rPr>
                <w:szCs w:val="24"/>
              </w:rPr>
              <w:t>Seq13m</w:t>
            </w:r>
            <w:r>
              <w:rPr>
                <w:szCs w:val="24"/>
              </w:rPr>
              <w:t xml:space="preserve"> </w:t>
            </w:r>
            <w:r w:rsidRPr="004239E8">
              <w:rPr>
                <w:szCs w:val="24"/>
              </w:rPr>
              <w:t>+</w:t>
            </w:r>
            <w:r>
              <w:rPr>
                <w:szCs w:val="24"/>
              </w:rPr>
              <w:t xml:space="preserve"> </w:t>
            </w:r>
            <w:r w:rsidRPr="004239E8">
              <w:rPr>
                <w:szCs w:val="24"/>
              </w:rPr>
              <w:t>RBD</w:t>
            </w:r>
          </w:p>
        </w:tc>
        <w:tc>
          <w:tcPr>
            <w:tcW w:w="1828" w:type="dxa"/>
            <w:vAlign w:val="center"/>
          </w:tcPr>
          <w:p w14:paraId="0A1936B1" w14:textId="77777777" w:rsidR="008B751B" w:rsidRPr="00DB6BA1" w:rsidRDefault="008B751B" w:rsidP="00057B1E">
            <w:pPr>
              <w:jc w:val="center"/>
              <w:rPr>
                <w:szCs w:val="24"/>
              </w:rPr>
            </w:pPr>
            <w:r w:rsidRPr="002F1551">
              <w:rPr>
                <w:szCs w:val="24"/>
              </w:rPr>
              <w:t>-40.04</w:t>
            </w:r>
          </w:p>
        </w:tc>
        <w:tc>
          <w:tcPr>
            <w:tcW w:w="1682" w:type="dxa"/>
            <w:vAlign w:val="center"/>
          </w:tcPr>
          <w:p w14:paraId="0453CB58" w14:textId="77777777" w:rsidR="008B751B" w:rsidRPr="00DB6BA1" w:rsidRDefault="008B751B" w:rsidP="00057B1E">
            <w:pPr>
              <w:jc w:val="center"/>
              <w:rPr>
                <w:szCs w:val="24"/>
              </w:rPr>
            </w:pPr>
            <w:r w:rsidRPr="009C5FF7">
              <w:rPr>
                <w:szCs w:val="24"/>
              </w:rPr>
              <w:t xml:space="preserve">-29.22          </w:t>
            </w:r>
          </w:p>
        </w:tc>
      </w:tr>
      <w:tr w:rsidR="008B751B" w14:paraId="2F638562" w14:textId="77777777" w:rsidTr="00057B1E">
        <w:trPr>
          <w:trHeight w:val="419"/>
        </w:trPr>
        <w:tc>
          <w:tcPr>
            <w:tcW w:w="2160" w:type="dxa"/>
            <w:tcBorders>
              <w:bottom w:val="single" w:sz="4" w:space="0" w:color="auto"/>
            </w:tcBorders>
            <w:vAlign w:val="center"/>
          </w:tcPr>
          <w:p w14:paraId="00C73946" w14:textId="77777777" w:rsidR="008B751B" w:rsidRPr="00DB6BA1" w:rsidRDefault="008B751B" w:rsidP="00057B1E">
            <w:pPr>
              <w:rPr>
                <w:szCs w:val="24"/>
              </w:rPr>
            </w:pPr>
            <w:r w:rsidRPr="0027319C">
              <w:rPr>
                <w:szCs w:val="24"/>
              </w:rPr>
              <w:t>Seq13m</w:t>
            </w:r>
            <w:r>
              <w:rPr>
                <w:szCs w:val="24"/>
              </w:rPr>
              <w:t xml:space="preserve"> </w:t>
            </w:r>
            <w:r w:rsidRPr="0027319C">
              <w:rPr>
                <w:szCs w:val="24"/>
              </w:rPr>
              <w:t>+</w:t>
            </w:r>
            <w:r>
              <w:rPr>
                <w:szCs w:val="24"/>
              </w:rPr>
              <w:t xml:space="preserve"> </w:t>
            </w:r>
            <w:r w:rsidRPr="0027319C">
              <w:rPr>
                <w:szCs w:val="24"/>
              </w:rPr>
              <w:t>RBD</w:t>
            </w:r>
            <w:r>
              <w:rPr>
                <w:szCs w:val="24"/>
              </w:rPr>
              <w:t>m</w:t>
            </w:r>
            <w:r w:rsidRPr="00CC625A">
              <w:rPr>
                <w:szCs w:val="24"/>
                <w:vertAlign w:val="superscript"/>
              </w:rPr>
              <w:t>$</w:t>
            </w:r>
          </w:p>
        </w:tc>
        <w:tc>
          <w:tcPr>
            <w:tcW w:w="1828" w:type="dxa"/>
            <w:tcBorders>
              <w:bottom w:val="single" w:sz="4" w:space="0" w:color="auto"/>
            </w:tcBorders>
            <w:vAlign w:val="center"/>
          </w:tcPr>
          <w:p w14:paraId="75ECE8D3" w14:textId="77777777" w:rsidR="008B751B" w:rsidRDefault="008B751B" w:rsidP="00057B1E">
            <w:pPr>
              <w:jc w:val="center"/>
              <w:rPr>
                <w:szCs w:val="24"/>
              </w:rPr>
            </w:pPr>
            <w:r w:rsidRPr="002F1551">
              <w:rPr>
                <w:szCs w:val="24"/>
              </w:rPr>
              <w:t>-35.51</w:t>
            </w:r>
          </w:p>
        </w:tc>
        <w:tc>
          <w:tcPr>
            <w:tcW w:w="1682" w:type="dxa"/>
            <w:tcBorders>
              <w:bottom w:val="single" w:sz="4" w:space="0" w:color="auto"/>
            </w:tcBorders>
            <w:vAlign w:val="center"/>
          </w:tcPr>
          <w:p w14:paraId="1CACE1EA" w14:textId="77777777" w:rsidR="008B751B" w:rsidRDefault="008B751B" w:rsidP="00057B1E">
            <w:pPr>
              <w:jc w:val="center"/>
              <w:rPr>
                <w:szCs w:val="24"/>
              </w:rPr>
            </w:pPr>
            <w:r w:rsidRPr="0061311C">
              <w:rPr>
                <w:szCs w:val="24"/>
              </w:rPr>
              <w:t xml:space="preserve">-76.08          </w:t>
            </w:r>
          </w:p>
        </w:tc>
      </w:tr>
      <w:tr w:rsidR="008B751B" w14:paraId="029F7BF1" w14:textId="77777777" w:rsidTr="00057B1E">
        <w:trPr>
          <w:trHeight w:val="2291"/>
        </w:trPr>
        <w:tc>
          <w:tcPr>
            <w:tcW w:w="5670" w:type="dxa"/>
            <w:gridSpan w:val="3"/>
            <w:tcBorders>
              <w:top w:val="single" w:sz="4" w:space="0" w:color="auto"/>
            </w:tcBorders>
            <w:vAlign w:val="center"/>
          </w:tcPr>
          <w:p w14:paraId="1800BCFF" w14:textId="77777777" w:rsidR="008B751B" w:rsidRPr="00B227BB" w:rsidRDefault="008B751B" w:rsidP="00057B1E">
            <w:pPr>
              <w:spacing w:line="276" w:lineRule="auto"/>
              <w:rPr>
                <w:szCs w:val="24"/>
              </w:rPr>
            </w:pPr>
            <w:r w:rsidRPr="00B227BB">
              <w:rPr>
                <w:szCs w:val="24"/>
                <w:vertAlign w:val="superscript"/>
              </w:rPr>
              <w:t>#</w:t>
            </w:r>
            <w:r w:rsidRPr="00B227BB">
              <w:rPr>
                <w:szCs w:val="24"/>
              </w:rPr>
              <w:t xml:space="preserve"> MM-PBSA </w:t>
            </w:r>
            <w:r>
              <w:rPr>
                <w:szCs w:val="24"/>
              </w:rPr>
              <w:t xml:space="preserve">was </w:t>
            </w:r>
            <w:r w:rsidRPr="00B227BB">
              <w:rPr>
                <w:szCs w:val="24"/>
              </w:rPr>
              <w:t>calculated using CaFE tools</w:t>
            </w:r>
            <w:r>
              <w:rPr>
                <w:szCs w:val="24"/>
              </w:rPr>
              <w:t xml:space="preserve"> with the MD-trajectory generated using NAMD software</w:t>
            </w:r>
            <w:r w:rsidRPr="00B227BB">
              <w:rPr>
                <w:szCs w:val="24"/>
              </w:rPr>
              <w:t>.</w:t>
            </w:r>
          </w:p>
          <w:p w14:paraId="6F5F458C" w14:textId="77777777" w:rsidR="008B751B" w:rsidRPr="00B227BB" w:rsidRDefault="008B751B" w:rsidP="00057B1E">
            <w:pPr>
              <w:spacing w:line="276" w:lineRule="auto"/>
              <w:rPr>
                <w:szCs w:val="24"/>
              </w:rPr>
            </w:pPr>
            <w:r w:rsidRPr="00B227BB">
              <w:rPr>
                <w:szCs w:val="24"/>
              </w:rPr>
              <w:t>* MM-</w:t>
            </w:r>
            <w:r>
              <w:rPr>
                <w:szCs w:val="24"/>
              </w:rPr>
              <w:t>GB</w:t>
            </w:r>
            <w:r w:rsidRPr="00B227BB">
              <w:rPr>
                <w:szCs w:val="24"/>
              </w:rPr>
              <w:t xml:space="preserve">SA </w:t>
            </w:r>
            <w:r>
              <w:rPr>
                <w:szCs w:val="24"/>
              </w:rPr>
              <w:t xml:space="preserve">was </w:t>
            </w:r>
            <w:r w:rsidRPr="00B227BB">
              <w:rPr>
                <w:szCs w:val="24"/>
              </w:rPr>
              <w:t>calculated using GROMACS (v2020</w:t>
            </w:r>
            <w:r>
              <w:rPr>
                <w:szCs w:val="24"/>
              </w:rPr>
              <w:t xml:space="preserve">). </w:t>
            </w:r>
            <w:r w:rsidRPr="00B227BB">
              <w:rPr>
                <w:szCs w:val="24"/>
              </w:rPr>
              <w:t>Generalized Born ESURF calculated using 'LCPO' surface areas</w:t>
            </w:r>
            <w:r>
              <w:rPr>
                <w:szCs w:val="24"/>
              </w:rPr>
              <w:t>.</w:t>
            </w:r>
          </w:p>
          <w:p w14:paraId="34FBED91" w14:textId="77777777" w:rsidR="008B751B" w:rsidRPr="00B227BB" w:rsidRDefault="008B751B" w:rsidP="00057B1E">
            <w:pPr>
              <w:spacing w:line="276" w:lineRule="auto"/>
              <w:rPr>
                <w:szCs w:val="24"/>
              </w:rPr>
            </w:pPr>
            <w:r w:rsidRPr="00B227BB">
              <w:rPr>
                <w:szCs w:val="24"/>
                <w:vertAlign w:val="superscript"/>
              </w:rPr>
              <w:t xml:space="preserve">$ </w:t>
            </w:r>
            <w:r w:rsidRPr="00B227BB">
              <w:rPr>
                <w:szCs w:val="24"/>
              </w:rPr>
              <w:t>Combined mutant model of receptor binding domain is manually optimized to best energy model (RBDm).</w:t>
            </w:r>
          </w:p>
          <w:p w14:paraId="3FD5A81F" w14:textId="77777777" w:rsidR="008B751B" w:rsidRPr="00DB6BA1" w:rsidRDefault="008B751B" w:rsidP="00057B1E">
            <w:pPr>
              <w:spacing w:line="276" w:lineRule="auto"/>
              <w:rPr>
                <w:b/>
                <w:bCs/>
                <w:szCs w:val="24"/>
              </w:rPr>
            </w:pPr>
            <w:r w:rsidRPr="00B227BB">
              <w:rPr>
                <w:szCs w:val="24"/>
              </w:rPr>
              <w:t>Energy units are in kcal/mol.</w:t>
            </w:r>
          </w:p>
        </w:tc>
      </w:tr>
    </w:tbl>
    <w:p w14:paraId="3B627563" w14:textId="77777777" w:rsidR="008B751B" w:rsidRDefault="008B751B" w:rsidP="008B751B">
      <w:pPr>
        <w:shd w:val="clear" w:color="auto" w:fill="FFFFFF"/>
        <w:spacing w:before="100" w:beforeAutospacing="1" w:after="100" w:afterAutospacing="1" w:line="480" w:lineRule="auto"/>
        <w:jc w:val="both"/>
        <w:textAlignment w:val="baseline"/>
        <w:rPr>
          <w:iCs/>
          <w:szCs w:val="24"/>
        </w:rPr>
      </w:pPr>
    </w:p>
    <w:p w14:paraId="4B3E3095" w14:textId="77777777" w:rsidR="008B751B" w:rsidRPr="00236883" w:rsidRDefault="008B751B" w:rsidP="008B751B">
      <w:pPr>
        <w:shd w:val="clear" w:color="auto" w:fill="FFFFFF"/>
        <w:spacing w:before="100" w:beforeAutospacing="1" w:after="100" w:afterAutospacing="1" w:line="480" w:lineRule="auto"/>
        <w:jc w:val="both"/>
        <w:textAlignment w:val="baseline"/>
        <w:rPr>
          <w:iCs/>
          <w:szCs w:val="24"/>
        </w:rPr>
      </w:pPr>
    </w:p>
    <w:p w14:paraId="2BDA97E6" w14:textId="77777777" w:rsidR="008B751B" w:rsidRDefault="008B751B" w:rsidP="008B751B"/>
    <w:p w14:paraId="7C022F3D" w14:textId="77777777" w:rsidR="008B751B" w:rsidRDefault="008B751B" w:rsidP="008B751B">
      <w:pPr>
        <w:spacing w:line="480" w:lineRule="auto"/>
        <w:rPr>
          <w:rFonts w:ascii="Arial" w:hAnsi="Arial" w:cs="Arial"/>
          <w:b/>
          <w:bCs/>
          <w:color w:val="00B0F0"/>
          <w:sz w:val="32"/>
          <w:szCs w:val="32"/>
        </w:rPr>
      </w:pPr>
    </w:p>
    <w:p w14:paraId="7ADB2B72" w14:textId="77777777" w:rsidR="008B751B" w:rsidRDefault="008B751B" w:rsidP="008B751B">
      <w:pPr>
        <w:spacing w:line="480" w:lineRule="auto"/>
        <w:rPr>
          <w:rFonts w:ascii="Arial" w:hAnsi="Arial" w:cs="Arial"/>
          <w:b/>
          <w:bCs/>
          <w:color w:val="00B0F0"/>
          <w:sz w:val="32"/>
          <w:szCs w:val="32"/>
        </w:rPr>
      </w:pPr>
    </w:p>
    <w:p w14:paraId="451EB105" w14:textId="77777777" w:rsidR="008B751B" w:rsidRDefault="008B751B" w:rsidP="008B751B">
      <w:pPr>
        <w:spacing w:line="480" w:lineRule="auto"/>
        <w:rPr>
          <w:rFonts w:ascii="Arial" w:hAnsi="Arial" w:cs="Arial"/>
          <w:b/>
          <w:bCs/>
          <w:color w:val="00B0F0"/>
          <w:sz w:val="32"/>
          <w:szCs w:val="32"/>
        </w:rPr>
      </w:pPr>
    </w:p>
    <w:p w14:paraId="4579E95A" w14:textId="77777777" w:rsidR="008B751B" w:rsidRDefault="008B751B" w:rsidP="008B751B">
      <w:pPr>
        <w:spacing w:line="480" w:lineRule="auto"/>
        <w:rPr>
          <w:rFonts w:ascii="Arial" w:hAnsi="Arial" w:cs="Arial"/>
          <w:b/>
          <w:bCs/>
          <w:color w:val="00B0F0"/>
          <w:sz w:val="32"/>
          <w:szCs w:val="32"/>
        </w:rPr>
      </w:pPr>
    </w:p>
    <w:p w14:paraId="70FA080B" w14:textId="77777777" w:rsidR="008B751B" w:rsidRDefault="008B751B" w:rsidP="008B751B">
      <w:pPr>
        <w:spacing w:line="480" w:lineRule="auto"/>
        <w:rPr>
          <w:rFonts w:ascii="Arial" w:hAnsi="Arial" w:cs="Arial"/>
          <w:b/>
          <w:bCs/>
          <w:color w:val="00B0F0"/>
          <w:sz w:val="32"/>
          <w:szCs w:val="32"/>
        </w:rPr>
      </w:pPr>
    </w:p>
    <w:p w14:paraId="431392D8" w14:textId="77777777" w:rsidR="008B751B" w:rsidRDefault="008B751B" w:rsidP="008B751B">
      <w:pPr>
        <w:spacing w:line="480" w:lineRule="auto"/>
        <w:rPr>
          <w:rFonts w:ascii="Arial" w:hAnsi="Arial" w:cs="Arial"/>
          <w:b/>
          <w:bCs/>
          <w:color w:val="00B0F0"/>
          <w:sz w:val="32"/>
          <w:szCs w:val="32"/>
        </w:rPr>
      </w:pPr>
    </w:p>
    <w:p w14:paraId="60F54441" w14:textId="77777777" w:rsidR="008B751B" w:rsidRDefault="008B751B" w:rsidP="008B751B">
      <w:pPr>
        <w:spacing w:line="480" w:lineRule="auto"/>
        <w:rPr>
          <w:rFonts w:ascii="Arial" w:hAnsi="Arial" w:cs="Arial"/>
          <w:b/>
          <w:bCs/>
          <w:color w:val="00B0F0"/>
          <w:sz w:val="32"/>
          <w:szCs w:val="32"/>
        </w:rPr>
      </w:pPr>
    </w:p>
    <w:p w14:paraId="3C485F02" w14:textId="77777777" w:rsidR="008B751B" w:rsidRDefault="008B751B" w:rsidP="008B751B">
      <w:pPr>
        <w:spacing w:line="480" w:lineRule="auto"/>
        <w:rPr>
          <w:rFonts w:ascii="Arial" w:hAnsi="Arial" w:cs="Arial"/>
          <w:b/>
          <w:bCs/>
          <w:color w:val="00B0F0"/>
          <w:sz w:val="32"/>
          <w:szCs w:val="32"/>
        </w:rPr>
      </w:pPr>
    </w:p>
    <w:p w14:paraId="3F71B10F" w14:textId="77777777" w:rsidR="008B751B" w:rsidRDefault="008B751B" w:rsidP="008B751B">
      <w:pPr>
        <w:spacing w:line="480" w:lineRule="auto"/>
        <w:rPr>
          <w:rFonts w:ascii="Arial" w:hAnsi="Arial" w:cs="Arial"/>
          <w:b/>
          <w:bCs/>
          <w:color w:val="00B0F0"/>
          <w:sz w:val="32"/>
          <w:szCs w:val="32"/>
        </w:rPr>
      </w:pPr>
    </w:p>
    <w:p w14:paraId="07A2646B" w14:textId="77777777" w:rsidR="008B751B" w:rsidRDefault="008B751B" w:rsidP="008B751B">
      <w:pPr>
        <w:spacing w:line="480" w:lineRule="auto"/>
        <w:rPr>
          <w:rFonts w:ascii="Arial" w:hAnsi="Arial" w:cs="Arial"/>
          <w:b/>
          <w:bCs/>
          <w:color w:val="00B0F0"/>
          <w:sz w:val="32"/>
          <w:szCs w:val="32"/>
        </w:rPr>
      </w:pPr>
    </w:p>
    <w:p w14:paraId="7BF319C9" w14:textId="77777777" w:rsidR="008B751B" w:rsidRDefault="008B751B" w:rsidP="008B751B">
      <w:pPr>
        <w:spacing w:line="480" w:lineRule="auto"/>
        <w:rPr>
          <w:rFonts w:ascii="Arial" w:hAnsi="Arial" w:cs="Arial"/>
          <w:b/>
          <w:bCs/>
          <w:color w:val="00B0F0"/>
          <w:sz w:val="32"/>
          <w:szCs w:val="32"/>
        </w:rPr>
      </w:pPr>
    </w:p>
    <w:p w14:paraId="383127B6" w14:textId="77777777" w:rsidR="008B751B" w:rsidRDefault="008B751B" w:rsidP="008B751B">
      <w:pPr>
        <w:spacing w:line="480" w:lineRule="auto"/>
        <w:rPr>
          <w:rFonts w:ascii="Arial" w:hAnsi="Arial" w:cs="Arial"/>
          <w:b/>
          <w:bCs/>
          <w:color w:val="00B0F0"/>
          <w:sz w:val="32"/>
          <w:szCs w:val="32"/>
        </w:rPr>
      </w:pPr>
    </w:p>
    <w:p w14:paraId="50CD35FA" w14:textId="77777777" w:rsidR="008B751B" w:rsidRDefault="008B751B" w:rsidP="008B751B">
      <w:pPr>
        <w:spacing w:line="480" w:lineRule="auto"/>
        <w:rPr>
          <w:rFonts w:ascii="Arial" w:hAnsi="Arial" w:cs="Arial"/>
          <w:b/>
          <w:bCs/>
          <w:color w:val="00B0F0"/>
          <w:sz w:val="32"/>
          <w:szCs w:val="32"/>
        </w:rPr>
      </w:pPr>
    </w:p>
    <w:p w14:paraId="6B9C8EE2" w14:textId="77777777" w:rsidR="008B751B" w:rsidRDefault="008B751B" w:rsidP="008B751B">
      <w:pPr>
        <w:spacing w:line="480" w:lineRule="auto"/>
        <w:rPr>
          <w:rFonts w:ascii="Arial" w:hAnsi="Arial" w:cs="Arial"/>
          <w:b/>
          <w:bCs/>
          <w:color w:val="00B0F0"/>
          <w:sz w:val="32"/>
          <w:szCs w:val="32"/>
        </w:rPr>
      </w:pPr>
    </w:p>
    <w:p w14:paraId="702276D9" w14:textId="77777777" w:rsidR="008B751B" w:rsidRPr="00BA3CA8" w:rsidRDefault="008B751B" w:rsidP="008B751B">
      <w:pPr>
        <w:spacing w:line="480" w:lineRule="auto"/>
        <w:rPr>
          <w:rFonts w:ascii="Arial" w:hAnsi="Arial" w:cs="Arial"/>
          <w:b/>
          <w:bCs/>
          <w:color w:val="00B0F0"/>
          <w:sz w:val="32"/>
          <w:szCs w:val="32"/>
        </w:rPr>
      </w:pPr>
      <w:r w:rsidRPr="00BA3CA8">
        <w:rPr>
          <w:rFonts w:ascii="Arial" w:hAnsi="Arial" w:cs="Arial"/>
          <w:b/>
          <w:bCs/>
          <w:color w:val="00B0F0"/>
          <w:sz w:val="32"/>
          <w:szCs w:val="32"/>
        </w:rPr>
        <w:t xml:space="preserve">&gt;Seq12 </w:t>
      </w:r>
    </w:p>
    <w:p w14:paraId="753661AF" w14:textId="77777777" w:rsidR="008B751B" w:rsidRPr="00CB024E" w:rsidRDefault="008B751B" w:rsidP="008B751B">
      <w:pPr>
        <w:spacing w:line="480" w:lineRule="auto"/>
        <w:rPr>
          <w:rFonts w:ascii="Arial" w:hAnsi="Arial" w:cs="Arial"/>
          <w:b/>
          <w:bCs/>
          <w:sz w:val="32"/>
          <w:szCs w:val="32"/>
        </w:rPr>
      </w:pPr>
      <w:r w:rsidRPr="00BA3CA8">
        <w:rPr>
          <w:rFonts w:ascii="Arial" w:hAnsi="Arial" w:cs="Arial"/>
          <w:b/>
          <w:bCs/>
          <w:sz w:val="32"/>
          <w:szCs w:val="32"/>
        </w:rPr>
        <w:t>QKQIANQFNK</w:t>
      </w:r>
      <w:r w:rsidRPr="00CB024E">
        <w:rPr>
          <w:rFonts w:ascii="Arial" w:hAnsi="Arial" w:cs="Arial"/>
          <w:b/>
          <w:bCs/>
          <w:sz w:val="32"/>
          <w:szCs w:val="32"/>
        </w:rPr>
        <w:t xml:space="preserve"> </w:t>
      </w:r>
      <w:r w:rsidRPr="00BA3CA8">
        <w:rPr>
          <w:rFonts w:ascii="Arial" w:hAnsi="Arial" w:cs="Arial"/>
          <w:b/>
          <w:bCs/>
          <w:color w:val="BFBFBF" w:themeColor="background1" w:themeShade="BF"/>
          <w:sz w:val="32"/>
          <w:szCs w:val="32"/>
        </w:rPr>
        <w:t>AMSQMQEGFT</w:t>
      </w:r>
      <w:r w:rsidRPr="00CB024E">
        <w:rPr>
          <w:rFonts w:ascii="Arial" w:hAnsi="Arial" w:cs="Arial"/>
          <w:b/>
          <w:bCs/>
          <w:sz w:val="32"/>
          <w:szCs w:val="32"/>
        </w:rPr>
        <w:t xml:space="preserve"> TTNEALHKVQ </w:t>
      </w:r>
      <w:r w:rsidRPr="00BA3CA8">
        <w:rPr>
          <w:rFonts w:ascii="Arial" w:hAnsi="Arial" w:cs="Arial"/>
          <w:b/>
          <w:bCs/>
          <w:color w:val="BFBFBF" w:themeColor="background1" w:themeShade="BF"/>
          <w:sz w:val="32"/>
          <w:szCs w:val="32"/>
        </w:rPr>
        <w:t>DAVNQNAQAL</w:t>
      </w:r>
      <w:r w:rsidRPr="00CB024E">
        <w:rPr>
          <w:rFonts w:ascii="Arial" w:hAnsi="Arial" w:cs="Arial"/>
          <w:b/>
          <w:bCs/>
          <w:sz w:val="32"/>
          <w:szCs w:val="32"/>
        </w:rPr>
        <w:t xml:space="preserve"> NKLVKEL</w:t>
      </w:r>
    </w:p>
    <w:p w14:paraId="424E6458" w14:textId="77777777" w:rsidR="008B751B" w:rsidRPr="00BA3CA8" w:rsidRDefault="008B751B" w:rsidP="008B751B">
      <w:pPr>
        <w:spacing w:line="480" w:lineRule="auto"/>
        <w:rPr>
          <w:rFonts w:ascii="Arial" w:hAnsi="Arial" w:cs="Arial"/>
          <w:b/>
          <w:bCs/>
          <w:color w:val="00B0F0"/>
          <w:sz w:val="32"/>
          <w:szCs w:val="32"/>
        </w:rPr>
      </w:pPr>
      <w:r w:rsidRPr="00BA3CA8">
        <w:rPr>
          <w:rFonts w:ascii="Arial" w:hAnsi="Arial" w:cs="Arial"/>
          <w:b/>
          <w:bCs/>
          <w:color w:val="00B0F0"/>
          <w:sz w:val="32"/>
          <w:szCs w:val="32"/>
        </w:rPr>
        <w:t>&gt;Seq12m</w:t>
      </w:r>
    </w:p>
    <w:p w14:paraId="546C61DA" w14:textId="77777777" w:rsidR="008B751B" w:rsidRPr="00CB024E" w:rsidRDefault="008B751B" w:rsidP="008B751B">
      <w:pPr>
        <w:spacing w:line="480" w:lineRule="auto"/>
        <w:rPr>
          <w:rFonts w:ascii="Arial" w:hAnsi="Arial" w:cs="Arial"/>
          <w:b/>
          <w:bCs/>
          <w:sz w:val="32"/>
          <w:szCs w:val="32"/>
        </w:rPr>
      </w:pPr>
      <w:r w:rsidRPr="00CB024E">
        <w:rPr>
          <w:rFonts w:ascii="Arial" w:hAnsi="Arial" w:cs="Arial"/>
          <w:b/>
          <w:bCs/>
          <w:sz w:val="32"/>
          <w:szCs w:val="32"/>
        </w:rPr>
        <w:t xml:space="preserve">QSQIANQFNK </w:t>
      </w:r>
      <w:r w:rsidRPr="00BA3CA8">
        <w:rPr>
          <w:rFonts w:ascii="Arial" w:hAnsi="Arial" w:cs="Arial"/>
          <w:b/>
          <w:bCs/>
          <w:color w:val="BFBFBF" w:themeColor="background1" w:themeShade="BF"/>
          <w:sz w:val="32"/>
          <w:szCs w:val="32"/>
        </w:rPr>
        <w:t>AMSQMQEGFT</w:t>
      </w:r>
      <w:r w:rsidRPr="00CB024E">
        <w:rPr>
          <w:rFonts w:ascii="Arial" w:hAnsi="Arial" w:cs="Arial"/>
          <w:b/>
          <w:bCs/>
          <w:sz w:val="32"/>
          <w:szCs w:val="32"/>
        </w:rPr>
        <w:t xml:space="preserve"> TTNEALHKVQ </w:t>
      </w:r>
      <w:r w:rsidRPr="00BA3CA8">
        <w:rPr>
          <w:rFonts w:ascii="Arial" w:hAnsi="Arial" w:cs="Arial"/>
          <w:b/>
          <w:bCs/>
          <w:color w:val="BFBFBF" w:themeColor="background1" w:themeShade="BF"/>
          <w:sz w:val="32"/>
          <w:szCs w:val="32"/>
        </w:rPr>
        <w:t>DAVNQNAQAL</w:t>
      </w:r>
      <w:r w:rsidRPr="00CB024E">
        <w:rPr>
          <w:rFonts w:ascii="Arial" w:hAnsi="Arial" w:cs="Arial"/>
          <w:b/>
          <w:bCs/>
          <w:sz w:val="32"/>
          <w:szCs w:val="32"/>
        </w:rPr>
        <w:t xml:space="preserve"> NKLVKEL </w:t>
      </w:r>
    </w:p>
    <w:p w14:paraId="5CF2D8E3" w14:textId="77777777" w:rsidR="008B751B" w:rsidRPr="00BA3CA8" w:rsidRDefault="008B751B" w:rsidP="008B751B">
      <w:pPr>
        <w:spacing w:line="480" w:lineRule="auto"/>
        <w:rPr>
          <w:rFonts w:ascii="Arial" w:hAnsi="Arial" w:cs="Arial"/>
          <w:b/>
          <w:bCs/>
          <w:color w:val="00B0F0"/>
          <w:sz w:val="32"/>
          <w:szCs w:val="32"/>
        </w:rPr>
      </w:pPr>
      <w:r w:rsidRPr="00BA3CA8">
        <w:rPr>
          <w:rFonts w:ascii="Arial" w:hAnsi="Arial" w:cs="Arial"/>
          <w:b/>
          <w:bCs/>
          <w:color w:val="00B0F0"/>
          <w:sz w:val="32"/>
          <w:szCs w:val="32"/>
        </w:rPr>
        <w:t>&gt;Seq13m</w:t>
      </w:r>
    </w:p>
    <w:p w14:paraId="6B775D7F" w14:textId="77777777" w:rsidR="008B751B" w:rsidRPr="00CB024E" w:rsidRDefault="008B751B" w:rsidP="008B751B">
      <w:pPr>
        <w:spacing w:line="480" w:lineRule="auto"/>
        <w:rPr>
          <w:rFonts w:ascii="Arial" w:hAnsi="Arial" w:cs="Arial"/>
          <w:b/>
          <w:bCs/>
          <w:sz w:val="32"/>
          <w:szCs w:val="32"/>
        </w:rPr>
      </w:pPr>
      <w:r w:rsidRPr="00CB024E">
        <w:rPr>
          <w:rFonts w:ascii="Arial" w:hAnsi="Arial" w:cs="Arial"/>
          <w:b/>
          <w:bCs/>
          <w:sz w:val="32"/>
          <w:szCs w:val="32"/>
        </w:rPr>
        <w:t xml:space="preserve">EELILDYFSY </w:t>
      </w:r>
      <w:r w:rsidRPr="00BA3CA8">
        <w:rPr>
          <w:rFonts w:ascii="Arial" w:hAnsi="Arial" w:cs="Arial"/>
          <w:b/>
          <w:bCs/>
          <w:color w:val="BFBFBF" w:themeColor="background1" w:themeShade="BF"/>
          <w:sz w:val="32"/>
          <w:szCs w:val="32"/>
        </w:rPr>
        <w:t>PLSMKRDLSV</w:t>
      </w:r>
      <w:r w:rsidRPr="00CB024E">
        <w:rPr>
          <w:rFonts w:ascii="Arial" w:hAnsi="Arial" w:cs="Arial"/>
          <w:b/>
          <w:bCs/>
          <w:sz w:val="32"/>
          <w:szCs w:val="32"/>
        </w:rPr>
        <w:t xml:space="preserve"> GSAGPISQFN </w:t>
      </w:r>
      <w:r w:rsidRPr="00BA3CA8">
        <w:rPr>
          <w:rFonts w:ascii="Arial" w:hAnsi="Arial" w:cs="Arial"/>
          <w:b/>
          <w:bCs/>
          <w:color w:val="BFBFBF" w:themeColor="background1" w:themeShade="BF"/>
          <w:sz w:val="32"/>
          <w:szCs w:val="32"/>
        </w:rPr>
        <w:t>YKQPFSNPTC</w:t>
      </w:r>
      <w:r w:rsidRPr="00CB024E">
        <w:rPr>
          <w:rFonts w:ascii="Arial" w:hAnsi="Arial" w:cs="Arial"/>
          <w:b/>
          <w:bCs/>
          <w:sz w:val="32"/>
          <w:szCs w:val="32"/>
        </w:rPr>
        <w:t xml:space="preserve"> L</w:t>
      </w:r>
    </w:p>
    <w:p w14:paraId="5D4AB397" w14:textId="77777777" w:rsidR="008B751B" w:rsidRDefault="008B751B" w:rsidP="008B751B">
      <w:pPr>
        <w:rPr>
          <w:szCs w:val="24"/>
        </w:rPr>
      </w:pPr>
    </w:p>
    <w:p w14:paraId="15D89BC6" w14:textId="77777777" w:rsidR="008B751B" w:rsidRPr="002E72E8" w:rsidRDefault="008B751B" w:rsidP="008B751B">
      <w:pPr>
        <w:rPr>
          <w:szCs w:val="24"/>
        </w:rPr>
      </w:pPr>
      <w:r w:rsidRPr="002E72E8">
        <w:rPr>
          <w:szCs w:val="24"/>
        </w:rPr>
        <w:t>Figure S1. Fasta sequence of antiviral peptides.</w:t>
      </w:r>
    </w:p>
    <w:p w14:paraId="1BCCE704" w14:textId="77777777" w:rsidR="008B751B" w:rsidRDefault="008B751B" w:rsidP="008B751B"/>
    <w:p w14:paraId="1EC74E09" w14:textId="77777777" w:rsidR="008B751B" w:rsidRDefault="008B751B" w:rsidP="008B751B"/>
    <w:p w14:paraId="5F0970FB" w14:textId="77777777" w:rsidR="008B751B" w:rsidRDefault="008B751B" w:rsidP="008B751B"/>
    <w:p w14:paraId="0840327E" w14:textId="77777777" w:rsidR="008B751B" w:rsidRDefault="008B751B" w:rsidP="008B751B"/>
    <w:p w14:paraId="21DDAF11" w14:textId="77777777" w:rsidR="008B751B" w:rsidRPr="00097066" w:rsidRDefault="008B751B" w:rsidP="008B751B">
      <w:pPr>
        <w:rPr>
          <w:rFonts w:ascii="Arial" w:hAnsi="Arial" w:cs="Arial"/>
          <w:b/>
          <w:bCs/>
        </w:rPr>
      </w:pPr>
    </w:p>
    <w:p w14:paraId="5091E7DB" w14:textId="77777777" w:rsidR="008B751B" w:rsidRDefault="008B751B" w:rsidP="008B751B">
      <w:pPr>
        <w:jc w:val="center"/>
      </w:pPr>
      <w:r>
        <w:drawing>
          <wp:inline distT="0" distB="0" distL="0" distR="0" wp14:anchorId="7B4181E1" wp14:editId="1B209AF0">
            <wp:extent cx="5943600" cy="5658762"/>
            <wp:effectExtent l="0" t="0" r="0" b="0"/>
            <wp:docPr id="30" name="Picture 30" descr="Graphical user interfac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descr="Graphical user interface, chart&#10;&#10;Description automatically generated"/>
                    <pic:cNvPicPr/>
                  </pic:nvPicPr>
                  <pic:blipFill>
                    <a:blip r:embed="rId4">
                      <a:extLst>
                        <a:ext uri="{28A0092B-C50C-407E-A947-70E740481C1C}">
                          <a14:useLocalDpi xmlns:a14="http://schemas.microsoft.com/office/drawing/2010/main" val="0"/>
                        </a:ext>
                      </a:extLst>
                    </a:blip>
                    <a:stretch>
                      <a:fillRect/>
                    </a:stretch>
                  </pic:blipFill>
                  <pic:spPr>
                    <a:xfrm>
                      <a:off x="0" y="0"/>
                      <a:ext cx="5943600" cy="5658762"/>
                    </a:xfrm>
                    <a:prstGeom prst="rect">
                      <a:avLst/>
                    </a:prstGeom>
                  </pic:spPr>
                </pic:pic>
              </a:graphicData>
            </a:graphic>
          </wp:inline>
        </w:drawing>
      </w:r>
    </w:p>
    <w:p w14:paraId="08789DBF" w14:textId="77777777" w:rsidR="008B751B" w:rsidRPr="002E72E8" w:rsidRDefault="008B751B" w:rsidP="008B751B">
      <w:pPr>
        <w:tabs>
          <w:tab w:val="left" w:pos="5340"/>
        </w:tabs>
        <w:spacing w:line="480" w:lineRule="auto"/>
        <w:jc w:val="both"/>
        <w:rPr>
          <w:szCs w:val="24"/>
        </w:rPr>
      </w:pPr>
      <w:r w:rsidRPr="002E72E8">
        <w:rPr>
          <w:szCs w:val="24"/>
        </w:rPr>
        <w:t xml:space="preserve">Figure S2. Predicted epitopes for major histocompatibility complex class-II (MHC-II) against the spike glycoprotein. Antiviral peptides </w:t>
      </w:r>
      <w:r>
        <w:rPr>
          <w:szCs w:val="24"/>
        </w:rPr>
        <w:t xml:space="preserve">(black frame) </w:t>
      </w:r>
      <w:r w:rsidRPr="002E72E8">
        <w:rPr>
          <w:szCs w:val="24"/>
        </w:rPr>
        <w:t>were mapped within predicted epitopes and presented respectively as Seq12, Seq12m, and Se13m (</w:t>
      </w:r>
      <w:r>
        <w:rPr>
          <w:szCs w:val="24"/>
        </w:rPr>
        <w:t>u</w:t>
      </w:r>
      <w:r w:rsidRPr="002E72E8">
        <w:rPr>
          <w:szCs w:val="24"/>
        </w:rPr>
        <w:t>pwards to downwards).</w:t>
      </w:r>
    </w:p>
    <w:p w14:paraId="16484C0E" w14:textId="77777777" w:rsidR="008B751B" w:rsidRDefault="008B751B" w:rsidP="008B751B"/>
    <w:p w14:paraId="6E9A7A3E" w14:textId="77777777" w:rsidR="008B751B" w:rsidRDefault="008B751B" w:rsidP="008B751B"/>
    <w:p w14:paraId="37508F77" w14:textId="77777777" w:rsidR="008B751B" w:rsidRDefault="008B751B" w:rsidP="008B751B"/>
    <w:p w14:paraId="289C9449" w14:textId="77777777" w:rsidR="008B751B" w:rsidRDefault="008B751B" w:rsidP="008B751B">
      <w:pPr>
        <w:rPr>
          <w:rFonts w:ascii="Arial" w:hAnsi="Arial" w:cs="Arial"/>
          <w:b/>
          <w:bCs/>
          <w:sz w:val="28"/>
          <w:szCs w:val="28"/>
        </w:rPr>
      </w:pPr>
    </w:p>
    <w:p w14:paraId="19F17602" w14:textId="77777777" w:rsidR="008B751B" w:rsidRDefault="008B751B" w:rsidP="008B751B">
      <w:pPr>
        <w:jc w:val="center"/>
      </w:pPr>
      <w:r w:rsidRPr="00605869">
        <w:rPr>
          <w:iCs/>
          <w:szCs w:val="24"/>
        </w:rPr>
        <mc:AlternateContent>
          <mc:Choice Requires="wps">
            <w:drawing>
              <wp:anchor distT="45720" distB="45720" distL="114300" distR="114300" simplePos="0" relativeHeight="251659264" behindDoc="0" locked="0" layoutInCell="1" allowOverlap="1" wp14:anchorId="4CE4A8F3" wp14:editId="7B326238">
                <wp:simplePos x="0" y="0"/>
                <wp:positionH relativeFrom="column">
                  <wp:posOffset>-189889</wp:posOffset>
                </wp:positionH>
                <wp:positionV relativeFrom="paragraph">
                  <wp:posOffset>-77087</wp:posOffset>
                </wp:positionV>
                <wp:extent cx="612475" cy="1404620"/>
                <wp:effectExtent l="0" t="0" r="0" b="0"/>
                <wp:wrapNone/>
                <wp:docPr id="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475" cy="1404620"/>
                        </a:xfrm>
                        <a:prstGeom prst="rect">
                          <a:avLst/>
                        </a:prstGeom>
                        <a:solidFill>
                          <a:srgbClr val="FFFFFF"/>
                        </a:solidFill>
                        <a:ln w="9525">
                          <a:noFill/>
                          <a:miter lim="800000"/>
                          <a:headEnd/>
                          <a:tailEnd/>
                        </a:ln>
                      </wps:spPr>
                      <wps:txbx>
                        <w:txbxContent>
                          <w:p w14:paraId="2ABE34B1" w14:textId="77777777" w:rsidR="008B751B" w:rsidRDefault="008B751B" w:rsidP="008B751B"/>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4CE4A8F3" id="_x0000_t202" coordsize="21600,21600" o:spt="202" path="m,l,21600r21600,l21600,xe">
                <v:stroke joinstyle="miter"/>
                <v:path gradientshapeok="t" o:connecttype="rect"/>
              </v:shapetype>
              <v:shape id="Text Box 2" o:spid="_x0000_s1026" type="#_x0000_t202" style="position:absolute;left:0;text-align:left;margin-left:-14.95pt;margin-top:-6.05pt;width:48.25pt;height:110.6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" stroked="f">
                <v:textbox style="mso-fit-shape-to-text:t">
                  <w:txbxContent>
                    <w:p w14:paraId="2ABE34B1" w14:textId="77777777" w:rsidR="008B751B" w:rsidRDefault="008B751B" w:rsidP="008B751B"/>
                  </w:txbxContent>
                </v:textbox>
              </v:shape>
            </w:pict>
          </mc:Fallback>
        </mc:AlternateContent>
      </w:r>
      <w:r>
        <w:drawing>
          <wp:inline distT="0" distB="0" distL="0" distR="0" wp14:anchorId="56EEE66B" wp14:editId="260A7C40">
            <wp:extent cx="5275580" cy="3160659"/>
            <wp:effectExtent l="0" t="0" r="1270" b="1905"/>
            <wp:docPr id="31" name="Picture 31" descr="Graphical user interface, application, table, Exce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descr="Graphical user interface, application, table, Excel&#10;&#10;Description automatically generated"/>
                    <pic:cNvPicPr/>
                  </pic:nvPicPr>
                  <pic:blipFill rotWithShape="1">
                    <a:blip r:embed="rId5"/>
                    <a:srcRect l="15112" t="20061" r="14904" b="5358"/>
                    <a:stretch/>
                  </pic:blipFill>
                  <pic:spPr bwMode="auto">
                    <a:xfrm>
                      <a:off x="0" y="0"/>
                      <a:ext cx="5275580" cy="3160659"/>
                    </a:xfrm>
                    <a:prstGeom prst="rect">
                      <a:avLst/>
                    </a:prstGeom>
                    <a:ln>
                      <a:noFill/>
                    </a:ln>
                    <a:extLst>
                      <a:ext uri="{53640926-AAD7-44D8-BBD7-CCE9431645EC}">
                        <a14:shadowObscured xmlns:a14="http://schemas.microsoft.com/office/drawing/2010/main"/>
                      </a:ext>
                    </a:extLst>
                  </pic:spPr>
                </pic:pic>
              </a:graphicData>
            </a:graphic>
          </wp:inline>
        </w:drawing>
      </w:r>
    </w:p>
    <w:p w14:paraId="5F48FB1F" w14:textId="77777777" w:rsidR="008B751B" w:rsidRDefault="008B751B" w:rsidP="008B751B">
      <w:pPr>
        <w:jc w:val="center"/>
      </w:pPr>
      <w:r>
        <w:drawing>
          <wp:inline distT="0" distB="0" distL="0" distR="0" wp14:anchorId="7B4D73DF" wp14:editId="65631CEF">
            <wp:extent cx="4451350" cy="3342640"/>
            <wp:effectExtent l="0" t="0" r="6350" b="0"/>
            <wp:docPr id="247" name="Picture 247" descr="Graphical user interface, table, Exce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7" name="Picture 247" descr="Graphical user interface, table, Excel&#10;&#10;Description automatically generated"/>
                    <pic:cNvPicPr/>
                  </pic:nvPicPr>
                  <pic:blipFill rotWithShape="1">
                    <a:blip r:embed="rId6"/>
                    <a:srcRect l="20516" t="15679" r="20368" b="5359"/>
                    <a:stretch/>
                  </pic:blipFill>
                  <pic:spPr bwMode="auto">
                    <a:xfrm>
                      <a:off x="0" y="0"/>
                      <a:ext cx="4461860" cy="3350532"/>
                    </a:xfrm>
                    <a:prstGeom prst="rect">
                      <a:avLst/>
                    </a:prstGeom>
                    <a:ln>
                      <a:noFill/>
                    </a:ln>
                    <a:extLst>
                      <a:ext uri="{53640926-AAD7-44D8-BBD7-CCE9431645EC}">
                        <a14:shadowObscured xmlns:a14="http://schemas.microsoft.com/office/drawing/2010/main"/>
                      </a:ext>
                    </a:extLst>
                  </pic:spPr>
                </pic:pic>
              </a:graphicData>
            </a:graphic>
          </wp:inline>
        </w:drawing>
      </w:r>
    </w:p>
    <w:p w14:paraId="0DD6D0A5" w14:textId="77777777" w:rsidR="008B751B" w:rsidRDefault="008B751B" w:rsidP="008B751B">
      <w:pPr>
        <w:jc w:val="center"/>
      </w:pPr>
      <w:r>
        <w:lastRenderedPageBreak/>
        <w:drawing>
          <wp:inline distT="0" distB="0" distL="0" distR="0" wp14:anchorId="2659DE75" wp14:editId="60B7FBFA">
            <wp:extent cx="4451350" cy="3552825"/>
            <wp:effectExtent l="0" t="0" r="6350" b="9525"/>
            <wp:docPr id="248" name="Picture 248" descr="Graphical user interface, table, Exce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8" name="Picture 248" descr="Graphical user interface, table, Excel&#10;&#10;Description automatically generated"/>
                    <pic:cNvPicPr/>
                  </pic:nvPicPr>
                  <pic:blipFill rotWithShape="1">
                    <a:blip r:embed="rId7"/>
                    <a:srcRect l="20082" t="11117" r="20883" b="5069"/>
                    <a:stretch/>
                  </pic:blipFill>
                  <pic:spPr bwMode="auto">
                    <a:xfrm>
                      <a:off x="0" y="0"/>
                      <a:ext cx="4461461" cy="3560895"/>
                    </a:xfrm>
                    <a:prstGeom prst="rect">
                      <a:avLst/>
                    </a:prstGeom>
                    <a:ln>
                      <a:noFill/>
                    </a:ln>
                    <a:extLst>
                      <a:ext uri="{53640926-AAD7-44D8-BBD7-CCE9431645EC}">
                        <a14:shadowObscured xmlns:a14="http://schemas.microsoft.com/office/drawing/2010/main"/>
                      </a:ext>
                    </a:extLst>
                  </pic:spPr>
                </pic:pic>
              </a:graphicData>
            </a:graphic>
          </wp:inline>
        </w:drawing>
      </w:r>
    </w:p>
    <w:p w14:paraId="050F1180" w14:textId="77777777" w:rsidR="008B751B" w:rsidRDefault="008B751B" w:rsidP="008B751B">
      <w:pPr>
        <w:jc w:val="center"/>
      </w:pPr>
      <w:r>
        <w:drawing>
          <wp:inline distT="0" distB="0" distL="0" distR="0" wp14:anchorId="0D4A9EFC" wp14:editId="02C1D203">
            <wp:extent cx="4756150" cy="3279140"/>
            <wp:effectExtent l="0" t="0" r="6350" b="0"/>
            <wp:docPr id="249" name="Picture 249" descr="Graphical user interface, table, Exce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9" name="Picture 249" descr="Graphical user interface, table, Excel&#10;&#10;Description automatically generated"/>
                    <pic:cNvPicPr/>
                  </pic:nvPicPr>
                  <pic:blipFill rotWithShape="1">
                    <a:blip r:embed="rId8"/>
                    <a:srcRect l="18034" t="17959" r="18974" b="4789"/>
                    <a:stretch/>
                  </pic:blipFill>
                  <pic:spPr bwMode="auto">
                    <a:xfrm>
                      <a:off x="0" y="0"/>
                      <a:ext cx="4756150" cy="3279140"/>
                    </a:xfrm>
                    <a:prstGeom prst="rect">
                      <a:avLst/>
                    </a:prstGeom>
                    <a:ln>
                      <a:noFill/>
                    </a:ln>
                    <a:extLst>
                      <a:ext uri="{53640926-AAD7-44D8-BBD7-CCE9431645EC}">
                        <a14:shadowObscured xmlns:a14="http://schemas.microsoft.com/office/drawing/2010/main"/>
                      </a:ext>
                    </a:extLst>
                  </pic:spPr>
                </pic:pic>
              </a:graphicData>
            </a:graphic>
          </wp:inline>
        </w:drawing>
      </w:r>
    </w:p>
    <w:p w14:paraId="2E1F20E3" w14:textId="77777777" w:rsidR="008B751B" w:rsidRDefault="008B751B" w:rsidP="008B751B">
      <w:pPr>
        <w:jc w:val="center"/>
      </w:pPr>
      <w:r>
        <w:lastRenderedPageBreak/>
        <w:drawing>
          <wp:inline distT="0" distB="0" distL="0" distR="0" wp14:anchorId="60A273DC" wp14:editId="5343B6A9">
            <wp:extent cx="4603750" cy="3293745"/>
            <wp:effectExtent l="0" t="0" r="6350" b="1905"/>
            <wp:docPr id="250" name="Picture 250" descr="Graphical user interface, table, Exce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0" name="Picture 250" descr="Graphical user interface, table, Excel&#10;&#10;Description automatically generated"/>
                    <pic:cNvPicPr/>
                  </pic:nvPicPr>
                  <pic:blipFill rotWithShape="1">
                    <a:blip r:embed="rId9"/>
                    <a:srcRect l="18919" t="16819" r="19930" b="5359"/>
                    <a:stretch/>
                  </pic:blipFill>
                  <pic:spPr bwMode="auto">
                    <a:xfrm>
                      <a:off x="0" y="0"/>
                      <a:ext cx="4613796" cy="3300932"/>
                    </a:xfrm>
                    <a:prstGeom prst="rect">
                      <a:avLst/>
                    </a:prstGeom>
                    <a:ln>
                      <a:noFill/>
                    </a:ln>
                    <a:extLst>
                      <a:ext uri="{53640926-AAD7-44D8-BBD7-CCE9431645EC}">
                        <a14:shadowObscured xmlns:a14="http://schemas.microsoft.com/office/drawing/2010/main"/>
                      </a:ext>
                    </a:extLst>
                  </pic:spPr>
                </pic:pic>
              </a:graphicData>
            </a:graphic>
          </wp:inline>
        </w:drawing>
      </w:r>
    </w:p>
    <w:p w14:paraId="7B3D5F94" w14:textId="77777777" w:rsidR="008B751B" w:rsidRDefault="008B751B" w:rsidP="008B751B">
      <w:pPr>
        <w:jc w:val="center"/>
      </w:pPr>
      <w:r>
        <w:drawing>
          <wp:inline distT="0" distB="0" distL="0" distR="0" wp14:anchorId="67C345E9" wp14:editId="495DF7A7">
            <wp:extent cx="4826000" cy="428625"/>
            <wp:effectExtent l="0" t="0" r="0" b="9525"/>
            <wp:docPr id="251" name="Picture 251" descr="Graphical user interface, application,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1" name="Picture 251" descr="Graphical user interface, application, table&#10;&#10;Description automatically generated"/>
                    <pic:cNvPicPr/>
                  </pic:nvPicPr>
                  <pic:blipFill rotWithShape="1">
                    <a:blip r:embed="rId10"/>
                    <a:srcRect l="15329" t="27651" r="20344" b="61517"/>
                    <a:stretch/>
                  </pic:blipFill>
                  <pic:spPr bwMode="auto">
                    <a:xfrm>
                      <a:off x="0" y="0"/>
                      <a:ext cx="4832544" cy="429206"/>
                    </a:xfrm>
                    <a:prstGeom prst="rect">
                      <a:avLst/>
                    </a:prstGeom>
                    <a:ln>
                      <a:noFill/>
                    </a:ln>
                    <a:extLst>
                      <a:ext uri="{53640926-AAD7-44D8-BBD7-CCE9431645EC}">
                        <a14:shadowObscured xmlns:a14="http://schemas.microsoft.com/office/drawing/2010/main"/>
                      </a:ext>
                    </a:extLst>
                  </pic:spPr>
                </pic:pic>
              </a:graphicData>
            </a:graphic>
          </wp:inline>
        </w:drawing>
      </w:r>
    </w:p>
    <w:p w14:paraId="7C88BD07" w14:textId="77777777" w:rsidR="008B751B" w:rsidRDefault="008B751B" w:rsidP="008B751B"/>
    <w:p w14:paraId="24C8B6F2" w14:textId="77777777" w:rsidR="008B751B" w:rsidRPr="00D46A62" w:rsidRDefault="008B751B" w:rsidP="008B751B">
      <w:pPr>
        <w:tabs>
          <w:tab w:val="left" w:pos="5340"/>
        </w:tabs>
        <w:spacing w:line="480" w:lineRule="auto"/>
        <w:jc w:val="both"/>
        <w:rPr>
          <w:szCs w:val="24"/>
        </w:rPr>
      </w:pPr>
      <w:r w:rsidRPr="00D46A62">
        <w:rPr>
          <w:szCs w:val="24"/>
        </w:rPr>
        <w:t xml:space="preserve">Figure S3. Mutation profile of the receptor binding domain of SARS-CoV-2 </w:t>
      </w:r>
    </w:p>
    <w:p w14:paraId="431F3010" w14:textId="77777777" w:rsidR="008B751B" w:rsidRDefault="008B751B" w:rsidP="008B751B"/>
    <w:p w14:paraId="1E83C0F6" w14:textId="77777777" w:rsidR="008B751B" w:rsidRDefault="008B751B" w:rsidP="008B751B"/>
    <w:p w14:paraId="3F8E6D77" w14:textId="77777777" w:rsidR="008B751B" w:rsidRDefault="008B751B" w:rsidP="008B751B"/>
    <w:p w14:paraId="560A4EBD" w14:textId="77777777" w:rsidR="008B751B" w:rsidRDefault="008B751B" w:rsidP="008B751B"/>
    <w:p w14:paraId="647B80B3" w14:textId="77777777" w:rsidR="008B751B" w:rsidRDefault="008B751B" w:rsidP="008B751B">
      <w:pPr>
        <w:jc w:val="center"/>
      </w:pPr>
      <w:r>
        <w:lastRenderedPageBreak/>
        <w:drawing>
          <wp:inline distT="0" distB="0" distL="0" distR="0" wp14:anchorId="34F28CBF" wp14:editId="580E5560">
            <wp:extent cx="4931410" cy="5897914"/>
            <wp:effectExtent l="0" t="0" r="2540" b="7620"/>
            <wp:docPr id="252" name="Picture 252"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2" name="Picture 252" descr="Chart&#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4934034" cy="5901052"/>
                    </a:xfrm>
                    <a:prstGeom prst="rect">
                      <a:avLst/>
                    </a:prstGeom>
                  </pic:spPr>
                </pic:pic>
              </a:graphicData>
            </a:graphic>
          </wp:inline>
        </w:drawing>
      </w:r>
    </w:p>
    <w:p w14:paraId="71053D46" w14:textId="77777777" w:rsidR="008B751B" w:rsidRDefault="008B751B" w:rsidP="008B751B"/>
    <w:p w14:paraId="710C95FF" w14:textId="77777777" w:rsidR="008B751B" w:rsidRDefault="008B751B" w:rsidP="008B751B"/>
    <w:p w14:paraId="0AE34350" w14:textId="77777777" w:rsidR="008B751B" w:rsidRPr="00DB20CD" w:rsidRDefault="008B751B" w:rsidP="008B751B"/>
    <w:p w14:paraId="4B9A084A" w14:textId="77777777" w:rsidR="008B751B" w:rsidRPr="00DB20CD" w:rsidRDefault="008B751B" w:rsidP="008B751B">
      <w:bookmarkStart w:id="1" w:name="_Hlk58260791"/>
      <w:r w:rsidRPr="00DB20CD">
        <w:t>Figure S4.</w:t>
      </w:r>
      <w:r>
        <w:t xml:space="preserve"> Structural similarity dendrogram. The dendrogram is derived by average linkage clustering of the structural similarities (based on Dali Z-scores).</w:t>
      </w:r>
    </w:p>
    <w:bookmarkEnd w:id="1"/>
    <w:p w14:paraId="6F3CC982" w14:textId="77777777" w:rsidR="008B751B" w:rsidRDefault="008B751B" w:rsidP="008B751B"/>
    <w:p w14:paraId="0A0B7D23" w14:textId="77777777" w:rsidR="008B751B" w:rsidRDefault="008B751B" w:rsidP="008B751B"/>
    <w:p w14:paraId="648F4EDE" w14:textId="31FC04F3" w:rsidR="008B751B" w:rsidRPr="0033049F" w:rsidRDefault="008B751B" w:rsidP="008B751B">
      <w:pPr>
        <w:spacing w:line="360" w:lineRule="auto"/>
        <w:jc w:val="both"/>
      </w:pPr>
    </w:p>
    <w:p w14:paraId="68D17635" w14:textId="77777777" w:rsidR="008B751B" w:rsidRDefault="008B751B" w:rsidP="008B751B">
      <w:pPr>
        <w:jc w:val="center"/>
      </w:pPr>
      <w:r>
        <w:lastRenderedPageBreak/>
        <mc:AlternateContent>
          <mc:Choice Requires="wps">
            <w:drawing>
              <wp:anchor distT="45720" distB="45720" distL="114300" distR="114300" simplePos="0" relativeHeight="251663360" behindDoc="0" locked="0" layoutInCell="1" allowOverlap="1" wp14:anchorId="38EE237C" wp14:editId="22D41D32">
                <wp:simplePos x="0" y="0"/>
                <wp:positionH relativeFrom="column">
                  <wp:posOffset>4562475</wp:posOffset>
                </wp:positionH>
                <wp:positionV relativeFrom="paragraph">
                  <wp:posOffset>5638800</wp:posOffset>
                </wp:positionV>
                <wp:extent cx="504825" cy="1404620"/>
                <wp:effectExtent l="0" t="0" r="0" b="0"/>
                <wp:wrapNone/>
                <wp:docPr id="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825" cy="1404620"/>
                        </a:xfrm>
                        <a:prstGeom prst="rect">
                          <a:avLst/>
                        </a:prstGeom>
                        <a:noFill/>
                        <a:ln w="9525">
                          <a:noFill/>
                          <a:miter lim="800000"/>
                          <a:headEnd/>
                          <a:tailEnd/>
                        </a:ln>
                      </wps:spPr>
                      <wps:txbx>
                        <w:txbxContent>
                          <w:p w14:paraId="139261D9" w14:textId="77777777" w:rsidR="008B751B" w:rsidRPr="00736EE9" w:rsidRDefault="008B751B" w:rsidP="008B751B">
                            <w:pPr>
                              <w:rPr>
                                <w:b/>
                                <w:bCs/>
                                <w:szCs w:val="24"/>
                              </w:rPr>
                            </w:pPr>
                            <w:r w:rsidRPr="00736EE9">
                              <w:rPr>
                                <w:b/>
                                <w:bCs/>
                                <w:szCs w:val="24"/>
                              </w:rPr>
                              <w:t>(</w:t>
                            </w:r>
                            <w:r>
                              <w:rPr>
                                <w:b/>
                                <w:bCs/>
                                <w:szCs w:val="24"/>
                              </w:rPr>
                              <w:t>b</w:t>
                            </w:r>
                            <w:r w:rsidRPr="00736EE9">
                              <w:rPr>
                                <w:b/>
                                <w:bCs/>
                                <w:szCs w:val="24"/>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8EE237C" id="_x0000_s1027" type="#_x0000_t202" style="position:absolute;left:0;text-align:left;margin-left:359.25pt;margin-top:444pt;width:39.75pt;height:110.6pt;z-index:25166336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" filled="f" stroked="f">
                <v:textbox style="mso-fit-shape-to-text:t">
                  <w:txbxContent>
                    <w:p w14:paraId="139261D9" w14:textId="77777777" w:rsidR="008B751B" w:rsidRPr="00736EE9" w:rsidRDefault="008B751B" w:rsidP="008B751B">
                      <w:pPr>
                        <w:rPr>
                          <w:b/>
                          <w:bCs/>
                          <w:szCs w:val="24"/>
                        </w:rPr>
                      </w:pPr>
                      <w:r w:rsidRPr="00736EE9">
                        <w:rPr>
                          <w:b/>
                          <w:bCs/>
                          <w:szCs w:val="24"/>
                        </w:rPr>
                        <w:t>(</w:t>
                      </w:r>
                      <w:r>
                        <w:rPr>
                          <w:b/>
                          <w:bCs/>
                          <w:szCs w:val="24"/>
                        </w:rPr>
                        <w:t>b</w:t>
                      </w:r>
                      <w:r w:rsidRPr="00736EE9">
                        <w:rPr>
                          <w:b/>
                          <w:bCs/>
                          <w:szCs w:val="24"/>
                        </w:rPr>
                        <w:t>)</w:t>
                      </w:r>
                    </w:p>
                  </w:txbxContent>
                </v:textbox>
              </v:shape>
            </w:pict>
          </mc:Fallback>
        </mc:AlternateContent>
      </w:r>
      <w:r>
        <mc:AlternateContent>
          <mc:Choice Requires="wps">
            <w:drawing>
              <wp:anchor distT="45720" distB="45720" distL="114300" distR="114300" simplePos="0" relativeHeight="251662336" behindDoc="0" locked="0" layoutInCell="1" allowOverlap="1" wp14:anchorId="3E70D624" wp14:editId="09D3E7CA">
                <wp:simplePos x="0" y="0"/>
                <wp:positionH relativeFrom="column">
                  <wp:posOffset>447675</wp:posOffset>
                </wp:positionH>
                <wp:positionV relativeFrom="paragraph">
                  <wp:posOffset>0</wp:posOffset>
                </wp:positionV>
                <wp:extent cx="695325" cy="1404620"/>
                <wp:effectExtent l="0" t="0" r="0" b="0"/>
                <wp:wrapNone/>
                <wp:docPr id="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5325" cy="1404620"/>
                        </a:xfrm>
                        <a:prstGeom prst="rect">
                          <a:avLst/>
                        </a:prstGeom>
                        <a:noFill/>
                        <a:ln w="9525">
                          <a:noFill/>
                          <a:miter lim="800000"/>
                          <a:headEnd/>
                          <a:tailEnd/>
                        </a:ln>
                      </wps:spPr>
                      <wps:txbx>
                        <w:txbxContent>
                          <w:p w14:paraId="7DF139EC" w14:textId="77777777" w:rsidR="008B751B" w:rsidRPr="00736EE9" w:rsidRDefault="008B751B" w:rsidP="008B751B">
                            <w:pPr>
                              <w:rPr>
                                <w:b/>
                                <w:bCs/>
                                <w:szCs w:val="24"/>
                              </w:rPr>
                            </w:pPr>
                            <w:r w:rsidRPr="00736EE9">
                              <w:rPr>
                                <w:b/>
                                <w:bCs/>
                                <w:szCs w:val="24"/>
                              </w:rPr>
                              <w:t>(a)</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E70D624" id="_x0000_s1028" type="#_x0000_t202" style="position:absolute;left:0;text-align:left;margin-left:35.25pt;margin-top:0;width:54.75pt;height:110.6pt;z-index:25166233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" filled="f" stroked="f">
                <v:textbox style="mso-fit-shape-to-text:t">
                  <w:txbxContent>
                    <w:p w14:paraId="7DF139EC" w14:textId="77777777" w:rsidR="008B751B" w:rsidRPr="00736EE9" w:rsidRDefault="008B751B" w:rsidP="008B751B">
                      <w:pPr>
                        <w:rPr>
                          <w:b/>
                          <w:bCs/>
                          <w:szCs w:val="24"/>
                        </w:rPr>
                      </w:pPr>
                      <w:r w:rsidRPr="00736EE9">
                        <w:rPr>
                          <w:b/>
                          <w:bCs/>
                          <w:szCs w:val="24"/>
                        </w:rPr>
                        <w:t>(a)</w:t>
                      </w:r>
                    </w:p>
                  </w:txbxContent>
                </v:textbox>
              </v:shape>
            </w:pict>
          </mc:Fallback>
        </mc:AlternateContent>
      </w:r>
      <w:r>
        <w:drawing>
          <wp:inline distT="0" distB="0" distL="0" distR="0" wp14:anchorId="216FF984" wp14:editId="5FC3FB38">
            <wp:extent cx="4111752" cy="5410200"/>
            <wp:effectExtent l="0" t="0" r="3175" b="0"/>
            <wp:docPr id="253" name="Picture 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rotWithShape="1">
                    <a:blip r:embed="rId12" cstate="print">
                      <a:extLst>
                        <a:ext uri="{28A0092B-C50C-407E-A947-70E740481C1C}">
                          <a14:useLocalDpi xmlns:a14="http://schemas.microsoft.com/office/drawing/2010/main" val="0"/>
                        </a:ext>
                      </a:extLst>
                    </a:blip>
                    <a:srcRect l="27411" t="1961" r="34711"/>
                    <a:stretch/>
                  </pic:blipFill>
                  <pic:spPr bwMode="auto">
                    <a:xfrm>
                      <a:off x="0" y="0"/>
                      <a:ext cx="4186449" cy="5508486"/>
                    </a:xfrm>
                    <a:prstGeom prst="rect">
                      <a:avLst/>
                    </a:prstGeom>
                    <a:ln>
                      <a:noFill/>
                    </a:ln>
                    <a:extLst>
                      <a:ext uri="{53640926-AAD7-44D8-BBD7-CCE9431645EC}">
                        <a14:shadowObscured xmlns:a14="http://schemas.microsoft.com/office/drawing/2010/main"/>
                      </a:ext>
                    </a:extLst>
                  </pic:spPr>
                </pic:pic>
              </a:graphicData>
            </a:graphic>
          </wp:inline>
        </w:drawing>
      </w:r>
      <w:r>
        <w:lastRenderedPageBreak/>
        <w:drawing>
          <wp:inline distT="0" distB="0" distL="0" distR="0" wp14:anchorId="7C896B02" wp14:editId="3EDB197F">
            <wp:extent cx="6043231" cy="3419475"/>
            <wp:effectExtent l="0" t="0" r="0" b="0"/>
            <wp:docPr id="254" name="Picture 254"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4" name="Picture 254" descr="Chart&#10;&#10;Description automatically generated"/>
                    <pic:cNvPicPr/>
                  </pic:nvPicPr>
                  <pic:blipFill rotWithShape="1">
                    <a:blip r:embed="rId13" cstate="print">
                      <a:extLst>
                        <a:ext uri="{28A0092B-C50C-407E-A947-70E740481C1C}">
                          <a14:useLocalDpi xmlns:a14="http://schemas.microsoft.com/office/drawing/2010/main" val="0"/>
                        </a:ext>
                      </a:extLst>
                    </a:blip>
                    <a:srcRect l="5825" t="4005" r="22839" b="26955"/>
                    <a:stretch/>
                  </pic:blipFill>
                  <pic:spPr bwMode="auto">
                    <a:xfrm>
                      <a:off x="0" y="0"/>
                      <a:ext cx="6072324" cy="3435937"/>
                    </a:xfrm>
                    <a:prstGeom prst="rect">
                      <a:avLst/>
                    </a:prstGeom>
                    <a:ln>
                      <a:noFill/>
                    </a:ln>
                    <a:extLst>
                      <a:ext uri="{53640926-AAD7-44D8-BBD7-CCE9431645EC}">
                        <a14:shadowObscured xmlns:a14="http://schemas.microsoft.com/office/drawing/2010/main"/>
                      </a:ext>
                    </a:extLst>
                  </pic:spPr>
                </pic:pic>
              </a:graphicData>
            </a:graphic>
          </wp:inline>
        </w:drawing>
      </w:r>
    </w:p>
    <w:p w14:paraId="46B0CE1B" w14:textId="77777777" w:rsidR="008B751B" w:rsidRDefault="008B751B" w:rsidP="008B751B">
      <w:r>
        <mc:AlternateContent>
          <mc:Choice Requires="wps">
            <w:drawing>
              <wp:anchor distT="45720" distB="45720" distL="114300" distR="114300" simplePos="0" relativeHeight="251660288" behindDoc="0" locked="0" layoutInCell="1" allowOverlap="1" wp14:anchorId="766DFB05" wp14:editId="7443DF81">
                <wp:simplePos x="0" y="0"/>
                <wp:positionH relativeFrom="column">
                  <wp:posOffset>333375</wp:posOffset>
                </wp:positionH>
                <wp:positionV relativeFrom="paragraph">
                  <wp:posOffset>285750</wp:posOffset>
                </wp:positionV>
                <wp:extent cx="695325" cy="1404620"/>
                <wp:effectExtent l="0" t="0" r="0" b="0"/>
                <wp:wrapNone/>
                <wp:docPr id="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5325" cy="1404620"/>
                        </a:xfrm>
                        <a:prstGeom prst="rect">
                          <a:avLst/>
                        </a:prstGeom>
                        <a:noFill/>
                        <a:ln w="9525">
                          <a:noFill/>
                          <a:miter lim="800000"/>
                          <a:headEnd/>
                          <a:tailEnd/>
                        </a:ln>
                      </wps:spPr>
                      <wps:txbx>
                        <w:txbxContent>
                          <w:p w14:paraId="288FE402" w14:textId="77777777" w:rsidR="008B751B" w:rsidRPr="00736EE9" w:rsidRDefault="008B751B" w:rsidP="008B751B">
                            <w:pPr>
                              <w:rPr>
                                <w:b/>
                                <w:bCs/>
                                <w:szCs w:val="24"/>
                              </w:rPr>
                            </w:pPr>
                            <w:r w:rsidRPr="00736EE9">
                              <w:rPr>
                                <w:b/>
                                <w:bCs/>
                                <w:szCs w:val="24"/>
                              </w:rPr>
                              <w:t>(</w:t>
                            </w:r>
                            <w:r>
                              <w:rPr>
                                <w:b/>
                                <w:bCs/>
                                <w:szCs w:val="24"/>
                              </w:rPr>
                              <w:t>c</w:t>
                            </w:r>
                            <w:r w:rsidRPr="00736EE9">
                              <w:rPr>
                                <w:b/>
                                <w:bCs/>
                                <w:szCs w:val="24"/>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66DFB05" id="_x0000_s1029" type="#_x0000_t202" style="position:absolute;margin-left:26.25pt;margin-top:22.5pt;width:54.75pt;height:110.6pt;z-index:25166028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" filled="f" stroked="f">
                <v:textbox style="mso-fit-shape-to-text:t">
                  <w:txbxContent>
                    <w:p w14:paraId="288FE402" w14:textId="77777777" w:rsidR="008B751B" w:rsidRPr="00736EE9" w:rsidRDefault="008B751B" w:rsidP="008B751B">
                      <w:pPr>
                        <w:rPr>
                          <w:b/>
                          <w:bCs/>
                          <w:szCs w:val="24"/>
                        </w:rPr>
                      </w:pPr>
                      <w:r w:rsidRPr="00736EE9">
                        <w:rPr>
                          <w:b/>
                          <w:bCs/>
                          <w:szCs w:val="24"/>
                        </w:rPr>
                        <w:t>(</w:t>
                      </w:r>
                      <w:r>
                        <w:rPr>
                          <w:b/>
                          <w:bCs/>
                          <w:szCs w:val="24"/>
                        </w:rPr>
                        <w:t>c</w:t>
                      </w:r>
                      <w:r w:rsidRPr="00736EE9">
                        <w:rPr>
                          <w:b/>
                          <w:bCs/>
                          <w:szCs w:val="24"/>
                        </w:rPr>
                        <w:t>)</w:t>
                      </w:r>
                    </w:p>
                  </w:txbxContent>
                </v:textbox>
              </v:shape>
            </w:pict>
          </mc:Fallback>
        </mc:AlternateContent>
      </w:r>
    </w:p>
    <w:p w14:paraId="07DFCF82" w14:textId="77777777" w:rsidR="008B751B" w:rsidRDefault="008B751B" w:rsidP="008B751B">
      <w:pPr>
        <w:jc w:val="center"/>
      </w:pPr>
      <w:r>
        <w:lastRenderedPageBreak/>
        <w:drawing>
          <wp:inline distT="0" distB="0" distL="0" distR="0" wp14:anchorId="6AE25F42" wp14:editId="096D4983">
            <wp:extent cx="4371975" cy="4556641"/>
            <wp:effectExtent l="0" t="0" r="0" b="0"/>
            <wp:docPr id="18" name="Picture 18" descr="A picture containing ligh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A picture containing light&#10;&#10;Description automatically generated"/>
                    <pic:cNvPicPr/>
                  </pic:nvPicPr>
                  <pic:blipFill rotWithShape="1">
                    <a:blip r:embed="rId14" cstate="print">
                      <a:extLst>
                        <a:ext uri="{28A0092B-C50C-407E-A947-70E740481C1C}">
                          <a14:useLocalDpi xmlns:a14="http://schemas.microsoft.com/office/drawing/2010/main" val="0"/>
                        </a:ext>
                      </a:extLst>
                    </a:blip>
                    <a:srcRect l="22602" t="8663" r="22897" b="4885"/>
                    <a:stretch/>
                  </pic:blipFill>
                  <pic:spPr bwMode="auto">
                    <a:xfrm>
                      <a:off x="0" y="0"/>
                      <a:ext cx="4371975" cy="4556641"/>
                    </a:xfrm>
                    <a:prstGeom prst="rect">
                      <a:avLst/>
                    </a:prstGeom>
                    <a:ln>
                      <a:noFill/>
                    </a:ln>
                    <a:extLst>
                      <a:ext uri="{53640926-AAD7-44D8-BBD7-CCE9431645EC}">
                        <a14:shadowObscured xmlns:a14="http://schemas.microsoft.com/office/drawing/2010/main"/>
                      </a:ext>
                    </a:extLst>
                  </pic:spPr>
                </pic:pic>
              </a:graphicData>
            </a:graphic>
          </wp:inline>
        </w:drawing>
      </w:r>
    </w:p>
    <w:p w14:paraId="30285EB5" w14:textId="77777777" w:rsidR="008B751B" w:rsidRDefault="008B751B" w:rsidP="008B751B">
      <w:pPr>
        <w:jc w:val="center"/>
      </w:pPr>
      <w:r>
        <w:lastRenderedPageBreak/>
        <mc:AlternateContent>
          <mc:Choice Requires="wps">
            <w:drawing>
              <wp:anchor distT="45720" distB="45720" distL="114300" distR="114300" simplePos="0" relativeHeight="251661312" behindDoc="0" locked="0" layoutInCell="1" allowOverlap="1" wp14:anchorId="40A9D4AC" wp14:editId="4E509929">
                <wp:simplePos x="0" y="0"/>
                <wp:positionH relativeFrom="column">
                  <wp:posOffset>352425</wp:posOffset>
                </wp:positionH>
                <wp:positionV relativeFrom="paragraph">
                  <wp:posOffset>300990</wp:posOffset>
                </wp:positionV>
                <wp:extent cx="695325" cy="1404620"/>
                <wp:effectExtent l="0" t="0" r="0" b="0"/>
                <wp:wrapNone/>
                <wp:docPr id="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5325" cy="1404620"/>
                        </a:xfrm>
                        <a:prstGeom prst="rect">
                          <a:avLst/>
                        </a:prstGeom>
                        <a:noFill/>
                        <a:ln w="9525">
                          <a:noFill/>
                          <a:miter lim="800000"/>
                          <a:headEnd/>
                          <a:tailEnd/>
                        </a:ln>
                      </wps:spPr>
                      <wps:txbx>
                        <w:txbxContent>
                          <w:p w14:paraId="0F1E296B" w14:textId="77777777" w:rsidR="008B751B" w:rsidRPr="00736EE9" w:rsidRDefault="008B751B" w:rsidP="008B751B">
                            <w:pPr>
                              <w:rPr>
                                <w:b/>
                                <w:bCs/>
                                <w:szCs w:val="24"/>
                              </w:rPr>
                            </w:pPr>
                            <w:r w:rsidRPr="00736EE9">
                              <w:rPr>
                                <w:b/>
                                <w:bCs/>
                                <w:szCs w:val="24"/>
                              </w:rPr>
                              <w:t>(</w:t>
                            </w:r>
                            <w:r>
                              <w:rPr>
                                <w:b/>
                                <w:bCs/>
                                <w:szCs w:val="24"/>
                              </w:rPr>
                              <w:t>d</w:t>
                            </w:r>
                            <w:r w:rsidRPr="00736EE9">
                              <w:rPr>
                                <w:b/>
                                <w:bCs/>
                                <w:szCs w:val="24"/>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0A9D4AC" id="_x0000_s1030" type="#_x0000_t202" style="position:absolute;left:0;text-align:left;margin-left:27.75pt;margin-top:23.7pt;width:54.75pt;height:110.6pt;z-index:25166131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" filled="f" stroked="f">
                <v:textbox style="mso-fit-shape-to-text:t">
                  <w:txbxContent>
                    <w:p w14:paraId="0F1E296B" w14:textId="77777777" w:rsidR="008B751B" w:rsidRPr="00736EE9" w:rsidRDefault="008B751B" w:rsidP="008B751B">
                      <w:pPr>
                        <w:rPr>
                          <w:b/>
                          <w:bCs/>
                          <w:szCs w:val="24"/>
                        </w:rPr>
                      </w:pPr>
                      <w:r w:rsidRPr="00736EE9">
                        <w:rPr>
                          <w:b/>
                          <w:bCs/>
                          <w:szCs w:val="24"/>
                        </w:rPr>
                        <w:t>(</w:t>
                      </w:r>
                      <w:r>
                        <w:rPr>
                          <w:b/>
                          <w:bCs/>
                          <w:szCs w:val="24"/>
                        </w:rPr>
                        <w:t>d</w:t>
                      </w:r>
                      <w:r w:rsidRPr="00736EE9">
                        <w:rPr>
                          <w:b/>
                          <w:bCs/>
                          <w:szCs w:val="24"/>
                        </w:rPr>
                        <w:t>)</w:t>
                      </w:r>
                    </w:p>
                  </w:txbxContent>
                </v:textbox>
              </v:shape>
            </w:pict>
          </mc:Fallback>
        </mc:AlternateContent>
      </w:r>
      <w:r>
        <w:drawing>
          <wp:inline distT="0" distB="0" distL="0" distR="0" wp14:anchorId="05108919" wp14:editId="66683755">
            <wp:extent cx="5677898" cy="3571875"/>
            <wp:effectExtent l="0" t="0" r="0" b="0"/>
            <wp:docPr id="19" name="Picture 19" descr="Char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Chart&#10;&#10;Description automatically generated with medium confidenc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708612" cy="3591197"/>
                    </a:xfrm>
                    <a:prstGeom prst="rect">
                      <a:avLst/>
                    </a:prstGeom>
                  </pic:spPr>
                </pic:pic>
              </a:graphicData>
            </a:graphic>
          </wp:inline>
        </w:drawing>
      </w:r>
    </w:p>
    <w:p w14:paraId="17C60D3D" w14:textId="77777777" w:rsidR="008B751B" w:rsidRDefault="008B751B" w:rsidP="008B751B"/>
    <w:p w14:paraId="23F69B94" w14:textId="77777777" w:rsidR="008B751B" w:rsidRPr="00736EE9" w:rsidRDefault="008B751B" w:rsidP="008B751B">
      <w:pPr>
        <w:spacing w:line="480" w:lineRule="auto"/>
        <w:rPr>
          <w:szCs w:val="24"/>
        </w:rPr>
      </w:pPr>
      <w:bookmarkStart w:id="2" w:name="_Hlk58317378"/>
      <w:r w:rsidRPr="00E0308F">
        <w:rPr>
          <w:szCs w:val="24"/>
        </w:rPr>
        <w:t>Figure S</w:t>
      </w:r>
      <w:r>
        <w:rPr>
          <w:szCs w:val="24"/>
        </w:rPr>
        <w:t>5</w:t>
      </w:r>
      <w:r w:rsidRPr="00E0308F">
        <w:rPr>
          <w:szCs w:val="24"/>
        </w:rPr>
        <w:t>. RRDis Map of different mutant models of the RBD of the SARS-CoV-2. (a) RBD and RBDm overlapping, (b) RRDis Map, (c) RBDb/c/e overlapping, (d) RRDis Map.</w:t>
      </w:r>
    </w:p>
    <w:bookmarkEnd w:id="2"/>
    <w:p w14:paraId="46BB3C01" w14:textId="77777777" w:rsidR="008B751B" w:rsidRDefault="008B751B" w:rsidP="008B751B"/>
    <w:p w14:paraId="17F9D7E5" w14:textId="77777777" w:rsidR="008B751B" w:rsidRDefault="008B751B" w:rsidP="008B751B"/>
    <w:p w14:paraId="66DC2463" w14:textId="77777777" w:rsidR="008B751B" w:rsidRDefault="008B751B" w:rsidP="008B751B"/>
    <w:p w14:paraId="266CCCA6" w14:textId="77777777" w:rsidR="008B751B" w:rsidRDefault="008B751B" w:rsidP="008B751B"/>
    <w:p w14:paraId="36F3B840" w14:textId="77777777" w:rsidR="008B751B" w:rsidRDefault="008B751B" w:rsidP="008B751B"/>
    <w:p w14:paraId="3EF02EB7" w14:textId="77777777" w:rsidR="008B751B" w:rsidRDefault="008B751B" w:rsidP="008B751B">
      <w:pPr>
        <w:jc w:val="center"/>
      </w:pPr>
      <w:r>
        <w:lastRenderedPageBreak/>
        <mc:AlternateContent>
          <mc:Choice Requires="wps">
            <w:drawing>
              <wp:anchor distT="45720" distB="45720" distL="114300" distR="114300" simplePos="0" relativeHeight="251669504" behindDoc="0" locked="0" layoutInCell="1" allowOverlap="1" wp14:anchorId="471F9B02" wp14:editId="228A817B">
                <wp:simplePos x="0" y="0"/>
                <wp:positionH relativeFrom="column">
                  <wp:posOffset>5186016</wp:posOffset>
                </wp:positionH>
                <wp:positionV relativeFrom="paragraph">
                  <wp:posOffset>4605655</wp:posOffset>
                </wp:positionV>
                <wp:extent cx="634620" cy="1404620"/>
                <wp:effectExtent l="0" t="0" r="0" b="0"/>
                <wp:wrapNone/>
                <wp:docPr id="21"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4620" cy="1404620"/>
                        </a:xfrm>
                        <a:prstGeom prst="rect">
                          <a:avLst/>
                        </a:prstGeom>
                        <a:noFill/>
                        <a:ln w="9525">
                          <a:noFill/>
                          <a:miter lim="800000"/>
                          <a:headEnd/>
                          <a:tailEnd/>
                        </a:ln>
                      </wps:spPr>
                      <wps:txbx>
                        <w:txbxContent>
                          <w:p w14:paraId="710414E9" w14:textId="77777777" w:rsidR="008B751B" w:rsidRPr="00FD200C" w:rsidRDefault="008B751B" w:rsidP="008B751B">
                            <w:pPr>
                              <w:jc w:val="right"/>
                              <w:rPr>
                                <w:rFonts w:ascii="Arial" w:hAnsi="Arial" w:cs="Arial"/>
                                <w:b/>
                                <w:bCs/>
                                <w:sz w:val="28"/>
                                <w:szCs w:val="28"/>
                              </w:rPr>
                            </w:pPr>
                            <w:r>
                              <w:rPr>
                                <w:rFonts w:ascii="Arial" w:hAnsi="Arial" w:cs="Arial"/>
                                <w:b/>
                                <w:bCs/>
                                <w:sz w:val="28"/>
                                <w:szCs w:val="28"/>
                              </w:rPr>
                              <w:t>iii</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71F9B02" id="Text Box 21" o:spid="_x0000_s1031" type="#_x0000_t202" style="position:absolute;left:0;text-align:left;margin-left:408.35pt;margin-top:362.65pt;width:49.95pt;height:110.6pt;z-index:25166950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" filled="f" stroked="f">
                <v:textbox style="mso-fit-shape-to-text:t">
                  <w:txbxContent>
                    <w:p w14:paraId="710414E9" w14:textId="77777777" w:rsidR="008B751B" w:rsidRPr="00FD200C" w:rsidRDefault="008B751B" w:rsidP="008B751B">
                      <w:pPr>
                        <w:jc w:val="right"/>
                        <w:rPr>
                          <w:rFonts w:ascii="Arial" w:hAnsi="Arial" w:cs="Arial"/>
                          <w:b/>
                          <w:bCs/>
                          <w:sz w:val="28"/>
                          <w:szCs w:val="28"/>
                        </w:rPr>
                      </w:pPr>
                      <w:r>
                        <w:rPr>
                          <w:rFonts w:ascii="Arial" w:hAnsi="Arial" w:cs="Arial"/>
                          <w:b/>
                          <w:bCs/>
                          <w:sz w:val="28"/>
                          <w:szCs w:val="28"/>
                        </w:rPr>
                        <w:t>iii</w:t>
                      </w:r>
                    </w:p>
                  </w:txbxContent>
                </v:textbox>
              </v:shape>
            </w:pict>
          </mc:Fallback>
        </mc:AlternateContent>
      </w:r>
      <w:r>
        <mc:AlternateContent>
          <mc:Choice Requires="wps">
            <w:drawing>
              <wp:anchor distT="45720" distB="45720" distL="114300" distR="114300" simplePos="0" relativeHeight="251668480" behindDoc="0" locked="0" layoutInCell="1" allowOverlap="1" wp14:anchorId="369618C9" wp14:editId="3741AD56">
                <wp:simplePos x="0" y="0"/>
                <wp:positionH relativeFrom="column">
                  <wp:posOffset>2360599</wp:posOffset>
                </wp:positionH>
                <wp:positionV relativeFrom="paragraph">
                  <wp:posOffset>4605664</wp:posOffset>
                </wp:positionV>
                <wp:extent cx="634620" cy="1404620"/>
                <wp:effectExtent l="0" t="0" r="0" b="0"/>
                <wp:wrapNone/>
                <wp:docPr id="25"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4620" cy="1404620"/>
                        </a:xfrm>
                        <a:prstGeom prst="rect">
                          <a:avLst/>
                        </a:prstGeom>
                        <a:noFill/>
                        <a:ln w="9525">
                          <a:noFill/>
                          <a:miter lim="800000"/>
                          <a:headEnd/>
                          <a:tailEnd/>
                        </a:ln>
                      </wps:spPr>
                      <wps:txbx>
                        <w:txbxContent>
                          <w:p w14:paraId="3EB1618C" w14:textId="77777777" w:rsidR="008B751B" w:rsidRPr="00FD200C" w:rsidRDefault="008B751B" w:rsidP="008B751B">
                            <w:pPr>
                              <w:jc w:val="right"/>
                              <w:rPr>
                                <w:rFonts w:ascii="Arial" w:hAnsi="Arial" w:cs="Arial"/>
                                <w:b/>
                                <w:bCs/>
                                <w:sz w:val="28"/>
                                <w:szCs w:val="28"/>
                              </w:rPr>
                            </w:pPr>
                            <w:r>
                              <w:rPr>
                                <w:rFonts w:ascii="Arial" w:hAnsi="Arial" w:cs="Arial"/>
                                <w:b/>
                                <w:bCs/>
                                <w:sz w:val="28"/>
                                <w:szCs w:val="28"/>
                              </w:rPr>
                              <w:t>ii</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69618C9" id="Text Box 25" o:spid="_x0000_s1032" type="#_x0000_t202" style="position:absolute;left:0;text-align:left;margin-left:185.85pt;margin-top:362.65pt;width:49.95pt;height:110.6pt;z-index:25166848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" filled="f" stroked="f">
                <v:textbox style="mso-fit-shape-to-text:t">
                  <w:txbxContent>
                    <w:p w14:paraId="3EB1618C" w14:textId="77777777" w:rsidR="008B751B" w:rsidRPr="00FD200C" w:rsidRDefault="008B751B" w:rsidP="008B751B">
                      <w:pPr>
                        <w:jc w:val="right"/>
                        <w:rPr>
                          <w:rFonts w:ascii="Arial" w:hAnsi="Arial" w:cs="Arial"/>
                          <w:b/>
                          <w:bCs/>
                          <w:sz w:val="28"/>
                          <w:szCs w:val="28"/>
                        </w:rPr>
                      </w:pPr>
                      <w:r>
                        <w:rPr>
                          <w:rFonts w:ascii="Arial" w:hAnsi="Arial" w:cs="Arial"/>
                          <w:b/>
                          <w:bCs/>
                          <w:sz w:val="28"/>
                          <w:szCs w:val="28"/>
                        </w:rPr>
                        <w:t>ii</w:t>
                      </w:r>
                    </w:p>
                  </w:txbxContent>
                </v:textbox>
              </v:shape>
            </w:pict>
          </mc:Fallback>
        </mc:AlternateContent>
      </w:r>
      <w:r>
        <mc:AlternateContent>
          <mc:Choice Requires="wps">
            <w:drawing>
              <wp:anchor distT="45720" distB="45720" distL="114300" distR="114300" simplePos="0" relativeHeight="251667456" behindDoc="0" locked="0" layoutInCell="1" allowOverlap="1" wp14:anchorId="6DA39FAB" wp14:editId="393164BF">
                <wp:simplePos x="0" y="0"/>
                <wp:positionH relativeFrom="column">
                  <wp:posOffset>3234349</wp:posOffset>
                </wp:positionH>
                <wp:positionV relativeFrom="paragraph">
                  <wp:posOffset>2346960</wp:posOffset>
                </wp:positionV>
                <wp:extent cx="634620" cy="1404620"/>
                <wp:effectExtent l="0" t="0" r="0" b="0"/>
                <wp:wrapNone/>
                <wp:docPr id="26"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4620" cy="1404620"/>
                        </a:xfrm>
                        <a:prstGeom prst="rect">
                          <a:avLst/>
                        </a:prstGeom>
                        <a:noFill/>
                        <a:ln w="9525">
                          <a:noFill/>
                          <a:miter lim="800000"/>
                          <a:headEnd/>
                          <a:tailEnd/>
                        </a:ln>
                      </wps:spPr>
                      <wps:txbx>
                        <w:txbxContent>
                          <w:p w14:paraId="0A725EB1" w14:textId="77777777" w:rsidR="008B751B" w:rsidRPr="00FD200C" w:rsidRDefault="008B751B" w:rsidP="008B751B">
                            <w:pPr>
                              <w:rPr>
                                <w:rFonts w:ascii="Arial" w:hAnsi="Arial" w:cs="Arial"/>
                                <w:b/>
                                <w:bCs/>
                                <w:sz w:val="28"/>
                                <w:szCs w:val="28"/>
                              </w:rPr>
                            </w:pPr>
                            <w:r>
                              <w:rPr>
                                <w:rFonts w:ascii="Arial" w:hAnsi="Arial" w:cs="Arial"/>
                                <w:b/>
                                <w:bCs/>
                                <w:sz w:val="28"/>
                                <w:szCs w:val="28"/>
                              </w:rPr>
                              <w:t>(b) i</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DA39FAB" id="Text Box 26" o:spid="_x0000_s1033" type="#_x0000_t202" style="position:absolute;left:0;text-align:left;margin-left:254.65pt;margin-top:184.8pt;width:49.95pt;height:110.6pt;z-index:25166745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" filled="f" stroked="f">
                <v:textbox style="mso-fit-shape-to-text:t">
                  <w:txbxContent>
                    <w:p w14:paraId="0A725EB1" w14:textId="77777777" w:rsidR="008B751B" w:rsidRPr="00FD200C" w:rsidRDefault="008B751B" w:rsidP="008B751B">
                      <w:pPr>
                        <w:rPr>
                          <w:rFonts w:ascii="Arial" w:hAnsi="Arial" w:cs="Arial"/>
                          <w:b/>
                          <w:bCs/>
                          <w:sz w:val="28"/>
                          <w:szCs w:val="28"/>
                        </w:rPr>
                      </w:pPr>
                      <w:r>
                        <w:rPr>
                          <w:rFonts w:ascii="Arial" w:hAnsi="Arial" w:cs="Arial"/>
                          <w:b/>
                          <w:bCs/>
                          <w:sz w:val="28"/>
                          <w:szCs w:val="28"/>
                        </w:rPr>
                        <w:t>(b) i</w:t>
                      </w:r>
                    </w:p>
                  </w:txbxContent>
                </v:textbox>
              </v:shape>
            </w:pict>
          </mc:Fallback>
        </mc:AlternateContent>
      </w:r>
      <w:r>
        <mc:AlternateContent>
          <mc:Choice Requires="wps">
            <w:drawing>
              <wp:anchor distT="45720" distB="45720" distL="114300" distR="114300" simplePos="0" relativeHeight="251666432" behindDoc="0" locked="0" layoutInCell="1" allowOverlap="1" wp14:anchorId="36F2D685" wp14:editId="1D1C6BB5">
                <wp:simplePos x="0" y="0"/>
                <wp:positionH relativeFrom="column">
                  <wp:posOffset>422977</wp:posOffset>
                </wp:positionH>
                <wp:positionV relativeFrom="paragraph">
                  <wp:posOffset>2346798</wp:posOffset>
                </wp:positionV>
                <wp:extent cx="634620" cy="1404620"/>
                <wp:effectExtent l="0" t="0" r="0" b="0"/>
                <wp:wrapNone/>
                <wp:docPr id="27"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4620" cy="1404620"/>
                        </a:xfrm>
                        <a:prstGeom prst="rect">
                          <a:avLst/>
                        </a:prstGeom>
                        <a:noFill/>
                        <a:ln w="9525">
                          <a:noFill/>
                          <a:miter lim="800000"/>
                          <a:headEnd/>
                          <a:tailEnd/>
                        </a:ln>
                      </wps:spPr>
                      <wps:txbx>
                        <w:txbxContent>
                          <w:p w14:paraId="113479E8" w14:textId="77777777" w:rsidR="008B751B" w:rsidRPr="00FD200C" w:rsidRDefault="008B751B" w:rsidP="008B751B">
                            <w:pPr>
                              <w:rPr>
                                <w:rFonts w:ascii="Arial" w:hAnsi="Arial" w:cs="Arial"/>
                                <w:b/>
                                <w:bCs/>
                                <w:sz w:val="28"/>
                                <w:szCs w:val="28"/>
                              </w:rPr>
                            </w:pPr>
                            <w:r>
                              <w:rPr>
                                <w:rFonts w:ascii="Arial" w:hAnsi="Arial" w:cs="Arial"/>
                                <w:b/>
                                <w:bCs/>
                                <w:sz w:val="28"/>
                                <w:szCs w:val="28"/>
                              </w:rPr>
                              <w:t>iii</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6F2D685" id="Text Box 27" o:spid="_x0000_s1034" type="#_x0000_t202" style="position:absolute;left:0;text-align:left;margin-left:33.3pt;margin-top:184.8pt;width:49.95pt;height:110.6pt;z-index:25166643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" filled="f" stroked="f">
                <v:textbox style="mso-fit-shape-to-text:t">
                  <w:txbxContent>
                    <w:p w14:paraId="113479E8" w14:textId="77777777" w:rsidR="008B751B" w:rsidRPr="00FD200C" w:rsidRDefault="008B751B" w:rsidP="008B751B">
                      <w:pPr>
                        <w:rPr>
                          <w:rFonts w:ascii="Arial" w:hAnsi="Arial" w:cs="Arial"/>
                          <w:b/>
                          <w:bCs/>
                          <w:sz w:val="28"/>
                          <w:szCs w:val="28"/>
                        </w:rPr>
                      </w:pPr>
                      <w:r>
                        <w:rPr>
                          <w:rFonts w:ascii="Arial" w:hAnsi="Arial" w:cs="Arial"/>
                          <w:b/>
                          <w:bCs/>
                          <w:sz w:val="28"/>
                          <w:szCs w:val="28"/>
                        </w:rPr>
                        <w:t>iii</w:t>
                      </w:r>
                    </w:p>
                  </w:txbxContent>
                </v:textbox>
              </v:shape>
            </w:pict>
          </mc:Fallback>
        </mc:AlternateContent>
      </w:r>
      <w:r>
        <mc:AlternateContent>
          <mc:Choice Requires="wps">
            <w:drawing>
              <wp:anchor distT="45720" distB="45720" distL="114300" distR="114300" simplePos="0" relativeHeight="251665408" behindDoc="0" locked="0" layoutInCell="1" allowOverlap="1" wp14:anchorId="665CCBDA" wp14:editId="110566E1">
                <wp:simplePos x="0" y="0"/>
                <wp:positionH relativeFrom="column">
                  <wp:posOffset>5185979</wp:posOffset>
                </wp:positionH>
                <wp:positionV relativeFrom="paragraph">
                  <wp:posOffset>53975</wp:posOffset>
                </wp:positionV>
                <wp:extent cx="634620" cy="1404620"/>
                <wp:effectExtent l="0" t="0" r="0" b="0"/>
                <wp:wrapNone/>
                <wp:docPr id="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4620" cy="1404620"/>
                        </a:xfrm>
                        <a:prstGeom prst="rect">
                          <a:avLst/>
                        </a:prstGeom>
                        <a:noFill/>
                        <a:ln w="9525">
                          <a:noFill/>
                          <a:miter lim="800000"/>
                          <a:headEnd/>
                          <a:tailEnd/>
                        </a:ln>
                      </wps:spPr>
                      <wps:txbx>
                        <w:txbxContent>
                          <w:p w14:paraId="0E6636F8" w14:textId="77777777" w:rsidR="008B751B" w:rsidRPr="00FD200C" w:rsidRDefault="008B751B" w:rsidP="008B751B">
                            <w:pPr>
                              <w:jc w:val="right"/>
                              <w:rPr>
                                <w:rFonts w:ascii="Arial" w:hAnsi="Arial" w:cs="Arial"/>
                                <w:b/>
                                <w:bCs/>
                                <w:sz w:val="28"/>
                                <w:szCs w:val="28"/>
                              </w:rPr>
                            </w:pPr>
                            <w:r>
                              <w:rPr>
                                <w:rFonts w:ascii="Arial" w:hAnsi="Arial" w:cs="Arial"/>
                                <w:b/>
                                <w:bCs/>
                                <w:sz w:val="28"/>
                                <w:szCs w:val="28"/>
                              </w:rPr>
                              <w:t>ii</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65CCBDA" id="_x0000_s1035" type="#_x0000_t202" style="position:absolute;left:0;text-align:left;margin-left:408.35pt;margin-top:4.25pt;width:49.95pt;height:110.6pt;z-index:25166540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" filled="f" stroked="f">
                <v:textbox style="mso-fit-shape-to-text:t">
                  <w:txbxContent>
                    <w:p w14:paraId="0E6636F8" w14:textId="77777777" w:rsidR="008B751B" w:rsidRPr="00FD200C" w:rsidRDefault="008B751B" w:rsidP="008B751B">
                      <w:pPr>
                        <w:jc w:val="right"/>
                        <w:rPr>
                          <w:rFonts w:ascii="Arial" w:hAnsi="Arial" w:cs="Arial"/>
                          <w:b/>
                          <w:bCs/>
                          <w:sz w:val="28"/>
                          <w:szCs w:val="28"/>
                        </w:rPr>
                      </w:pPr>
                      <w:r>
                        <w:rPr>
                          <w:rFonts w:ascii="Arial" w:hAnsi="Arial" w:cs="Arial"/>
                          <w:b/>
                          <w:bCs/>
                          <w:sz w:val="28"/>
                          <w:szCs w:val="28"/>
                        </w:rPr>
                        <w:t>ii</w:t>
                      </w:r>
                    </w:p>
                  </w:txbxContent>
                </v:textbox>
              </v:shape>
            </w:pict>
          </mc:Fallback>
        </mc:AlternateContent>
      </w:r>
      <w:r>
        <mc:AlternateContent>
          <mc:Choice Requires="wps">
            <w:drawing>
              <wp:anchor distT="45720" distB="45720" distL="114300" distR="114300" simplePos="0" relativeHeight="251664384" behindDoc="0" locked="0" layoutInCell="1" allowOverlap="1" wp14:anchorId="174882CF" wp14:editId="53CEF419">
                <wp:simplePos x="0" y="0"/>
                <wp:positionH relativeFrom="column">
                  <wp:posOffset>423081</wp:posOffset>
                </wp:positionH>
                <wp:positionV relativeFrom="paragraph">
                  <wp:posOffset>54591</wp:posOffset>
                </wp:positionV>
                <wp:extent cx="634620" cy="1404620"/>
                <wp:effectExtent l="0" t="0" r="0" b="0"/>
                <wp:wrapNone/>
                <wp:docPr id="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4620" cy="1404620"/>
                        </a:xfrm>
                        <a:prstGeom prst="rect">
                          <a:avLst/>
                        </a:prstGeom>
                        <a:noFill/>
                        <a:ln w="9525">
                          <a:noFill/>
                          <a:miter lim="800000"/>
                          <a:headEnd/>
                          <a:tailEnd/>
                        </a:ln>
                      </wps:spPr>
                      <wps:txbx>
                        <w:txbxContent>
                          <w:p w14:paraId="734029C8" w14:textId="77777777" w:rsidR="008B751B" w:rsidRPr="00FD200C" w:rsidRDefault="008B751B" w:rsidP="008B751B">
                            <w:pPr>
                              <w:rPr>
                                <w:rFonts w:ascii="Arial" w:hAnsi="Arial" w:cs="Arial"/>
                                <w:b/>
                                <w:bCs/>
                                <w:sz w:val="28"/>
                                <w:szCs w:val="28"/>
                              </w:rPr>
                            </w:pPr>
                            <w:r>
                              <w:rPr>
                                <w:rFonts w:ascii="Arial" w:hAnsi="Arial" w:cs="Arial"/>
                                <w:b/>
                                <w:bCs/>
                                <w:sz w:val="28"/>
                                <w:szCs w:val="28"/>
                              </w:rPr>
                              <w:t>(a) i</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74882CF" id="_x0000_s1036" type="#_x0000_t202" style="position:absolute;left:0;text-align:left;margin-left:33.3pt;margin-top:4.3pt;width:49.95pt;height:110.6pt;z-index:25166438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" filled="f" stroked="f">
                <v:textbox style="mso-fit-shape-to-text:t">
                  <w:txbxContent>
                    <w:p w14:paraId="734029C8" w14:textId="77777777" w:rsidR="008B751B" w:rsidRPr="00FD200C" w:rsidRDefault="008B751B" w:rsidP="008B751B">
                      <w:pPr>
                        <w:rPr>
                          <w:rFonts w:ascii="Arial" w:hAnsi="Arial" w:cs="Arial"/>
                          <w:b/>
                          <w:bCs/>
                          <w:sz w:val="28"/>
                          <w:szCs w:val="28"/>
                        </w:rPr>
                      </w:pPr>
                      <w:r>
                        <w:rPr>
                          <w:rFonts w:ascii="Arial" w:hAnsi="Arial" w:cs="Arial"/>
                          <w:b/>
                          <w:bCs/>
                          <w:sz w:val="28"/>
                          <w:szCs w:val="28"/>
                        </w:rPr>
                        <w:t>(a) i</w:t>
                      </w:r>
                    </w:p>
                  </w:txbxContent>
                </v:textbox>
              </v:shape>
            </w:pict>
          </mc:Fallback>
        </mc:AlternateContent>
      </w:r>
      <w:r>
        <w:drawing>
          <wp:inline distT="0" distB="0" distL="0" distR="0" wp14:anchorId="45774610" wp14:editId="0BC7ABA2">
            <wp:extent cx="5943600" cy="7038975"/>
            <wp:effectExtent l="0" t="0" r="0" b="9525"/>
            <wp:docPr id="255" name="Picture 255"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5" name="Picture 255" descr="Chart, scatter chart&#10;&#10;Description automatically generated"/>
                    <pic:cNvPicPr/>
                  </pic:nvPicPr>
                  <pic:blipFill rotWithShape="1">
                    <a:blip r:embed="rId16">
                      <a:extLst>
                        <a:ext uri="{28A0092B-C50C-407E-A947-70E740481C1C}">
                          <a14:useLocalDpi xmlns:a14="http://schemas.microsoft.com/office/drawing/2010/main" val="0"/>
                        </a:ext>
                      </a:extLst>
                    </a:blip>
                    <a:srcRect b="1685"/>
                    <a:stretch/>
                  </pic:blipFill>
                  <pic:spPr bwMode="auto">
                    <a:xfrm>
                      <a:off x="0" y="0"/>
                      <a:ext cx="5943600" cy="7038975"/>
                    </a:xfrm>
                    <a:prstGeom prst="rect">
                      <a:avLst/>
                    </a:prstGeom>
                    <a:ln>
                      <a:noFill/>
                    </a:ln>
                    <a:extLst>
                      <a:ext uri="{53640926-AAD7-44D8-BBD7-CCE9431645EC}">
                        <a14:shadowObscured xmlns:a14="http://schemas.microsoft.com/office/drawing/2010/main"/>
                      </a:ext>
                    </a:extLst>
                  </pic:spPr>
                </pic:pic>
              </a:graphicData>
            </a:graphic>
          </wp:inline>
        </w:drawing>
      </w:r>
    </w:p>
    <w:p w14:paraId="1F3CF68D" w14:textId="77777777" w:rsidR="008B751B" w:rsidRPr="0033049F" w:rsidRDefault="008B751B" w:rsidP="008B751B">
      <w:pPr>
        <w:spacing w:line="480" w:lineRule="auto"/>
        <w:jc w:val="both"/>
        <w:rPr>
          <w:szCs w:val="24"/>
        </w:rPr>
      </w:pPr>
      <w:r w:rsidRPr="0033049F">
        <w:rPr>
          <w:szCs w:val="24"/>
        </w:rPr>
        <w:t xml:space="preserve">Figure S6. HADDOCK scores and the i-l-RMSD of the docked clusters. (a) HADDOCK clusters of antiviral peptides with the receptor-binding domain of the SARS-CoV-2, (i) Seq12 + RBD, (ii) Seq12m + RBD, (iii) Seq13m + RBD, (b) HADDOCK clusters with antiviral peptides with mutant </w:t>
      </w:r>
      <w:r w:rsidRPr="0033049F">
        <w:rPr>
          <w:szCs w:val="24"/>
        </w:rPr>
        <w:lastRenderedPageBreak/>
        <w:t>receptor binding domain of the SARS-CoV-2, (i) Seq12 + RBDm, (ii) Seq12m + RBDm, (iii) Seq13m + RBDm. The results and graphics presented here are based on water-refined models generated by HADDOCK. The clusters (indicated in color in the graphs) are calculated based on the interface-ligand RMSDs calculated by HADDOCK, with the interface defined automatically based on all observed contacts. RMSD = Root mean square deviation, i-RMSD = Interface RMSD calculated on the backbone (CA, C, N, O, P) atoms of all residues involved in intermolecular contact using a 10 Å cutoff. l-RMSD = Ligand-RMSD calculated on the backbone atoms (CA, C, N, O, P) of all (N&gt;1) molecules after fitting on the backbone atoms of the first (N = 1) molecule. a.u = arbitrary units</w:t>
      </w:r>
    </w:p>
    <w:p w14:paraId="00CB516C" w14:textId="77777777" w:rsidR="008B751B" w:rsidRDefault="008B751B" w:rsidP="008B751B"/>
    <w:p w14:paraId="12FF59AE" w14:textId="77777777" w:rsidR="008B751B" w:rsidRPr="00777A74" w:rsidRDefault="008B751B" w:rsidP="008B751B">
      <w:pPr>
        <w:spacing w:line="480" w:lineRule="auto"/>
        <w:rPr>
          <w:szCs w:val="24"/>
        </w:rPr>
      </w:pPr>
      <w:r w:rsidRPr="00777A74">
        <w:rPr>
          <w:szCs w:val="24"/>
        </w:rPr>
        <w:t xml:space="preserve">References </w:t>
      </w:r>
    </w:p>
    <w:p w14:paraId="69201996" w14:textId="77777777" w:rsidR="008B751B" w:rsidRPr="00777A74" w:rsidRDefault="008B751B" w:rsidP="008B751B">
      <w:pPr>
        <w:spacing w:line="480" w:lineRule="auto"/>
        <w:rPr>
          <w:szCs w:val="24"/>
        </w:rPr>
      </w:pPr>
    </w:p>
    <w:p w14:paraId="0F828FBC" w14:textId="77777777" w:rsidR="008B751B" w:rsidRDefault="008B751B" w:rsidP="008B751B">
      <w:pPr>
        <w:spacing w:after="0" w:line="240" w:lineRule="auto"/>
        <w:ind w:left="720" w:hanging="720"/>
        <w:rPr>
          <w:szCs w:val="24"/>
        </w:rPr>
      </w:pPr>
      <w:r w:rsidRPr="00777A74">
        <w:rPr>
          <w:szCs w:val="24"/>
        </w:rPr>
        <w:fldChar w:fldCharType="begin"/>
      </w:r>
      <w:r w:rsidRPr="00777A74">
        <w:rPr>
          <w:szCs w:val="24"/>
        </w:rPr>
        <w:instrText xml:space="preserve"> ADDIN EN.REFLIST </w:instrText>
      </w:r>
      <w:r w:rsidRPr="00777A74">
        <w:rPr>
          <w:szCs w:val="24"/>
        </w:rPr>
        <w:fldChar w:fldCharType="separate"/>
      </w:r>
      <w:bookmarkStart w:id="3" w:name="_ENREF_1"/>
      <w:r>
        <w:rPr>
          <w:szCs w:val="24"/>
        </w:rPr>
        <w:t>1.</w:t>
      </w:r>
      <w:r>
        <w:rPr>
          <w:szCs w:val="24"/>
        </w:rPr>
        <w:tab/>
        <w:t xml:space="preserve">Ting, D.S.W., et al., </w:t>
      </w:r>
      <w:r w:rsidRPr="006D5578">
        <w:rPr>
          <w:i/>
          <w:szCs w:val="24"/>
        </w:rPr>
        <w:t>Digital technology and COVID-19.</w:t>
      </w:r>
      <w:r>
        <w:rPr>
          <w:szCs w:val="24"/>
        </w:rPr>
        <w:t xml:space="preserve"> Nature medicine, 2020. </w:t>
      </w:r>
      <w:r w:rsidRPr="006D5578">
        <w:rPr>
          <w:b/>
          <w:szCs w:val="24"/>
        </w:rPr>
        <w:t>26</w:t>
      </w:r>
      <w:r>
        <w:rPr>
          <w:szCs w:val="24"/>
        </w:rPr>
        <w:t>(4): p. 459-461.</w:t>
      </w:r>
      <w:bookmarkEnd w:id="3"/>
    </w:p>
    <w:p w14:paraId="1ED0E13C" w14:textId="77777777" w:rsidR="008B751B" w:rsidRDefault="008B751B" w:rsidP="008B751B">
      <w:pPr>
        <w:spacing w:after="0" w:line="240" w:lineRule="auto"/>
        <w:ind w:left="720" w:hanging="720"/>
        <w:rPr>
          <w:szCs w:val="24"/>
        </w:rPr>
      </w:pPr>
      <w:bookmarkStart w:id="4" w:name="_ENREF_2"/>
      <w:r>
        <w:rPr>
          <w:szCs w:val="24"/>
        </w:rPr>
        <w:t>2.</w:t>
      </w:r>
      <w:r>
        <w:rPr>
          <w:szCs w:val="24"/>
        </w:rPr>
        <w:tab/>
        <w:t xml:space="preserve">Elmezayen, A.D., et al., </w:t>
      </w:r>
      <w:r w:rsidRPr="006D5578">
        <w:rPr>
          <w:i/>
          <w:szCs w:val="24"/>
        </w:rPr>
        <w:t>Drug repurposing for coronavirus (COVID-19): in silico screening of known drugs against coronavirus 3CL hydrolase and protease enzymes.</w:t>
      </w:r>
      <w:r>
        <w:rPr>
          <w:szCs w:val="24"/>
        </w:rPr>
        <w:t xml:space="preserve"> Journal of Biomolecular Structure and Dynamics, 2020(just-accepted): p. 1-12.</w:t>
      </w:r>
      <w:bookmarkEnd w:id="4"/>
    </w:p>
    <w:p w14:paraId="4E5D8EA4" w14:textId="77777777" w:rsidR="008B751B" w:rsidRDefault="008B751B" w:rsidP="008B751B">
      <w:pPr>
        <w:spacing w:after="0" w:line="240" w:lineRule="auto"/>
        <w:ind w:left="720" w:hanging="720"/>
        <w:rPr>
          <w:szCs w:val="24"/>
        </w:rPr>
      </w:pPr>
      <w:bookmarkStart w:id="5" w:name="_ENREF_3"/>
      <w:r>
        <w:rPr>
          <w:szCs w:val="24"/>
        </w:rPr>
        <w:t>3.</w:t>
      </w:r>
      <w:r>
        <w:rPr>
          <w:szCs w:val="24"/>
        </w:rPr>
        <w:tab/>
        <w:t xml:space="preserve">Dutta, K., et al., </w:t>
      </w:r>
      <w:r w:rsidRPr="006D5578">
        <w:rPr>
          <w:i/>
          <w:szCs w:val="24"/>
        </w:rPr>
        <w:t>Beclabuvir can inhibit the RNA-dependent RNA polymerase of newly emerged novel coronavirus (SARS-CoV-2).</w:t>
      </w:r>
      <w:r>
        <w:rPr>
          <w:szCs w:val="24"/>
        </w:rPr>
        <w:t xml:space="preserve"> 2020.</w:t>
      </w:r>
      <w:bookmarkEnd w:id="5"/>
    </w:p>
    <w:p w14:paraId="76360D3B" w14:textId="77777777" w:rsidR="008B751B" w:rsidRDefault="008B751B" w:rsidP="008B751B">
      <w:pPr>
        <w:spacing w:after="0" w:line="240" w:lineRule="auto"/>
        <w:ind w:left="720" w:hanging="720"/>
        <w:rPr>
          <w:szCs w:val="24"/>
        </w:rPr>
      </w:pPr>
      <w:bookmarkStart w:id="6" w:name="_ENREF_4"/>
      <w:r>
        <w:rPr>
          <w:szCs w:val="24"/>
        </w:rPr>
        <w:t>4.</w:t>
      </w:r>
      <w:r>
        <w:rPr>
          <w:szCs w:val="24"/>
        </w:rPr>
        <w:tab/>
        <w:t xml:space="preserve">Khalifa, I., et al., </w:t>
      </w:r>
      <w:r w:rsidRPr="006D5578">
        <w:rPr>
          <w:i/>
          <w:szCs w:val="24"/>
        </w:rPr>
        <w:t>Tannins inhibit SARS‐CoV‐2 through binding with catalytic dyad residues of 3CLpro: An in silico approach with 19 structural different hydrolysable tannins.</w:t>
      </w:r>
      <w:r>
        <w:rPr>
          <w:szCs w:val="24"/>
        </w:rPr>
        <w:t xml:space="preserve"> Journal of food biochemistry, 2020. </w:t>
      </w:r>
      <w:r w:rsidRPr="006D5578">
        <w:rPr>
          <w:b/>
          <w:szCs w:val="24"/>
        </w:rPr>
        <w:t>44</w:t>
      </w:r>
      <w:r>
        <w:rPr>
          <w:szCs w:val="24"/>
        </w:rPr>
        <w:t>(10): p. e13432.</w:t>
      </w:r>
      <w:bookmarkEnd w:id="6"/>
    </w:p>
    <w:p w14:paraId="12A6809B" w14:textId="77777777" w:rsidR="008B751B" w:rsidRDefault="008B751B" w:rsidP="008B751B">
      <w:pPr>
        <w:spacing w:after="0" w:line="240" w:lineRule="auto"/>
        <w:ind w:left="720" w:hanging="720"/>
        <w:rPr>
          <w:szCs w:val="24"/>
        </w:rPr>
      </w:pPr>
      <w:bookmarkStart w:id="7" w:name="_ENREF_5"/>
      <w:r>
        <w:rPr>
          <w:szCs w:val="24"/>
        </w:rPr>
        <w:t>5.</w:t>
      </w:r>
      <w:r>
        <w:rPr>
          <w:szCs w:val="24"/>
        </w:rPr>
        <w:tab/>
        <w:t xml:space="preserve">Prompetchara, E., C. Ketloy, and T. Palaga, </w:t>
      </w:r>
      <w:r w:rsidRPr="006D5578">
        <w:rPr>
          <w:i/>
          <w:szCs w:val="24"/>
        </w:rPr>
        <w:t>Immune responses in COVID-19 and potential vaccines: Lessons learned from SARS and MERS epidemic.</w:t>
      </w:r>
      <w:r>
        <w:rPr>
          <w:szCs w:val="24"/>
        </w:rPr>
        <w:t xml:space="preserve"> Asian Pac J Allergy Immunol, 2020. </w:t>
      </w:r>
      <w:r w:rsidRPr="006D5578">
        <w:rPr>
          <w:b/>
          <w:szCs w:val="24"/>
        </w:rPr>
        <w:t>38</w:t>
      </w:r>
      <w:r>
        <w:rPr>
          <w:szCs w:val="24"/>
        </w:rPr>
        <w:t>(1): p. 1-9.</w:t>
      </w:r>
      <w:bookmarkEnd w:id="7"/>
    </w:p>
    <w:p w14:paraId="18A06AA4" w14:textId="77777777" w:rsidR="008B751B" w:rsidRDefault="008B751B" w:rsidP="008B751B">
      <w:pPr>
        <w:spacing w:after="0" w:line="240" w:lineRule="auto"/>
        <w:ind w:left="720" w:hanging="720"/>
        <w:rPr>
          <w:szCs w:val="24"/>
        </w:rPr>
      </w:pPr>
      <w:bookmarkStart w:id="8" w:name="_ENREF_6"/>
      <w:r>
        <w:rPr>
          <w:szCs w:val="24"/>
        </w:rPr>
        <w:t>6.</w:t>
      </w:r>
      <w:r>
        <w:rPr>
          <w:szCs w:val="24"/>
        </w:rPr>
        <w:tab/>
        <w:t xml:space="preserve">Robson, B., </w:t>
      </w:r>
      <w:r w:rsidRPr="006D5578">
        <w:rPr>
          <w:i/>
          <w:szCs w:val="24"/>
        </w:rPr>
        <w:t>COVID-19 Coronavirus spike protein analysis for synthetic vaccines, a peptidomimetic antagonist, and therapeutic drugs, and analysis of a proposed Achilles’ heel conserved region to minimize probability of escape mutations and drug resistance.</w:t>
      </w:r>
      <w:r>
        <w:rPr>
          <w:szCs w:val="24"/>
        </w:rPr>
        <w:t xml:space="preserve"> Computers in Biology and Medicine, 2020: p. 103749.</w:t>
      </w:r>
      <w:bookmarkEnd w:id="8"/>
    </w:p>
    <w:p w14:paraId="5D27CF1F" w14:textId="77777777" w:rsidR="008B751B" w:rsidRDefault="008B751B" w:rsidP="008B751B">
      <w:pPr>
        <w:spacing w:after="0" w:line="240" w:lineRule="auto"/>
        <w:ind w:left="720" w:hanging="720"/>
        <w:rPr>
          <w:szCs w:val="24"/>
        </w:rPr>
      </w:pPr>
      <w:bookmarkStart w:id="9" w:name="_ENREF_7"/>
      <w:r>
        <w:rPr>
          <w:szCs w:val="24"/>
        </w:rPr>
        <w:t>7.</w:t>
      </w:r>
      <w:r>
        <w:rPr>
          <w:szCs w:val="24"/>
        </w:rPr>
        <w:tab/>
        <w:t xml:space="preserve">Peeri, N.C., et al., </w:t>
      </w:r>
      <w:r w:rsidRPr="006D5578">
        <w:rPr>
          <w:i/>
          <w:szCs w:val="24"/>
        </w:rPr>
        <w:t>The SARS, MERS and novel coronavirus (COVID-19) epidemics, the newest and biggest global health threats: what lessons have we learned?</w:t>
      </w:r>
      <w:r>
        <w:rPr>
          <w:szCs w:val="24"/>
        </w:rPr>
        <w:t xml:space="preserve"> International journal of epidemiology, 2020.</w:t>
      </w:r>
      <w:bookmarkEnd w:id="9"/>
    </w:p>
    <w:p w14:paraId="5B41C548" w14:textId="77777777" w:rsidR="008B751B" w:rsidRDefault="008B751B" w:rsidP="008B751B">
      <w:pPr>
        <w:spacing w:after="0" w:line="240" w:lineRule="auto"/>
        <w:ind w:left="720" w:hanging="720"/>
        <w:rPr>
          <w:szCs w:val="24"/>
        </w:rPr>
      </w:pPr>
      <w:bookmarkStart w:id="10" w:name="_ENREF_8"/>
      <w:r>
        <w:rPr>
          <w:szCs w:val="24"/>
        </w:rPr>
        <w:lastRenderedPageBreak/>
        <w:t>8.</w:t>
      </w:r>
      <w:r>
        <w:rPr>
          <w:szCs w:val="24"/>
        </w:rPr>
        <w:tab/>
        <w:t xml:space="preserve">Zhang, Y., </w:t>
      </w:r>
      <w:r w:rsidRPr="006D5578">
        <w:rPr>
          <w:i/>
          <w:szCs w:val="24"/>
        </w:rPr>
        <w:t>I-TASSER server for protein 3D structure prediction.</w:t>
      </w:r>
      <w:r>
        <w:rPr>
          <w:szCs w:val="24"/>
        </w:rPr>
        <w:t xml:space="preserve"> BMC bioinformatics, 2008. </w:t>
      </w:r>
      <w:r w:rsidRPr="006D5578">
        <w:rPr>
          <w:b/>
          <w:szCs w:val="24"/>
        </w:rPr>
        <w:t>9</w:t>
      </w:r>
      <w:r>
        <w:rPr>
          <w:szCs w:val="24"/>
        </w:rPr>
        <w:t>(1): p. 40.</w:t>
      </w:r>
      <w:bookmarkEnd w:id="10"/>
    </w:p>
    <w:p w14:paraId="053A4003" w14:textId="77777777" w:rsidR="008B751B" w:rsidRDefault="008B751B" w:rsidP="008B751B">
      <w:pPr>
        <w:spacing w:after="0" w:line="240" w:lineRule="auto"/>
        <w:ind w:left="720" w:hanging="720"/>
        <w:rPr>
          <w:szCs w:val="24"/>
        </w:rPr>
      </w:pPr>
      <w:bookmarkStart w:id="11" w:name="_ENREF_9"/>
      <w:r>
        <w:rPr>
          <w:szCs w:val="24"/>
        </w:rPr>
        <w:t>9.</w:t>
      </w:r>
      <w:r>
        <w:rPr>
          <w:szCs w:val="24"/>
        </w:rPr>
        <w:tab/>
        <w:t xml:space="preserve">Guex, N. and M.C. Peitsch, </w:t>
      </w:r>
      <w:r w:rsidRPr="006D5578">
        <w:rPr>
          <w:i/>
          <w:szCs w:val="24"/>
        </w:rPr>
        <w:t>SWISS‐MODEL and the Swiss‐Pdb Viewer: an environment for comparative protein modeling.</w:t>
      </w:r>
      <w:r>
        <w:rPr>
          <w:szCs w:val="24"/>
        </w:rPr>
        <w:t xml:space="preserve"> electrophoresis, 1997. </w:t>
      </w:r>
      <w:r w:rsidRPr="006D5578">
        <w:rPr>
          <w:b/>
          <w:szCs w:val="24"/>
        </w:rPr>
        <w:t>18</w:t>
      </w:r>
      <w:r>
        <w:rPr>
          <w:szCs w:val="24"/>
        </w:rPr>
        <w:t>(15): p. 2714-2723.</w:t>
      </w:r>
      <w:bookmarkEnd w:id="11"/>
    </w:p>
    <w:p w14:paraId="26B6794D" w14:textId="77777777" w:rsidR="008B751B" w:rsidRDefault="008B751B" w:rsidP="008B751B">
      <w:pPr>
        <w:spacing w:after="0" w:line="240" w:lineRule="auto"/>
        <w:ind w:left="720" w:hanging="720"/>
        <w:rPr>
          <w:szCs w:val="24"/>
        </w:rPr>
      </w:pPr>
      <w:bookmarkStart w:id="12" w:name="_ENREF_10"/>
      <w:r>
        <w:rPr>
          <w:szCs w:val="24"/>
        </w:rPr>
        <w:t>10.</w:t>
      </w:r>
      <w:r>
        <w:rPr>
          <w:szCs w:val="24"/>
        </w:rPr>
        <w:tab/>
        <w:t xml:space="preserve">Laskowski, R.A., et al., </w:t>
      </w:r>
      <w:r w:rsidRPr="006D5578">
        <w:rPr>
          <w:i/>
          <w:szCs w:val="24"/>
        </w:rPr>
        <w:t>PROCHECK: a program to check the stereochemical quality of protein structures.</w:t>
      </w:r>
      <w:r>
        <w:rPr>
          <w:szCs w:val="24"/>
        </w:rPr>
        <w:t xml:space="preserve"> Journal of applied crystallography, 1993. </w:t>
      </w:r>
      <w:r w:rsidRPr="006D5578">
        <w:rPr>
          <w:b/>
          <w:szCs w:val="24"/>
        </w:rPr>
        <w:t>26</w:t>
      </w:r>
      <w:r>
        <w:rPr>
          <w:szCs w:val="24"/>
        </w:rPr>
        <w:t>(2): p. 283-291.</w:t>
      </w:r>
      <w:bookmarkEnd w:id="12"/>
    </w:p>
    <w:p w14:paraId="41583A04" w14:textId="77777777" w:rsidR="008B751B" w:rsidRDefault="008B751B" w:rsidP="008B751B">
      <w:pPr>
        <w:spacing w:after="0" w:line="240" w:lineRule="auto"/>
        <w:ind w:left="720" w:hanging="720"/>
        <w:rPr>
          <w:szCs w:val="24"/>
        </w:rPr>
      </w:pPr>
      <w:bookmarkStart w:id="13" w:name="_ENREF_11"/>
      <w:r>
        <w:rPr>
          <w:szCs w:val="24"/>
        </w:rPr>
        <w:t>11.</w:t>
      </w:r>
      <w:r>
        <w:rPr>
          <w:szCs w:val="24"/>
        </w:rPr>
        <w:tab/>
        <w:t xml:space="preserve">Bailey, T.L., et al., </w:t>
      </w:r>
      <w:r w:rsidRPr="006D5578">
        <w:rPr>
          <w:i/>
          <w:szCs w:val="24"/>
        </w:rPr>
        <w:t>MEME SUITE: tools for motif discovery and searching.</w:t>
      </w:r>
      <w:r>
        <w:rPr>
          <w:szCs w:val="24"/>
        </w:rPr>
        <w:t xml:space="preserve"> Nucleic acids research, 2009. </w:t>
      </w:r>
      <w:r w:rsidRPr="006D5578">
        <w:rPr>
          <w:b/>
          <w:szCs w:val="24"/>
        </w:rPr>
        <w:t>37</w:t>
      </w:r>
      <w:r>
        <w:rPr>
          <w:szCs w:val="24"/>
        </w:rPr>
        <w:t>(suppl_2): p. W202-W208.</w:t>
      </w:r>
      <w:bookmarkEnd w:id="13"/>
    </w:p>
    <w:p w14:paraId="70B68A62" w14:textId="77777777" w:rsidR="008B751B" w:rsidRDefault="008B751B" w:rsidP="008B751B">
      <w:pPr>
        <w:spacing w:after="0" w:line="240" w:lineRule="auto"/>
        <w:ind w:left="720" w:hanging="720"/>
        <w:rPr>
          <w:szCs w:val="24"/>
        </w:rPr>
      </w:pPr>
      <w:bookmarkStart w:id="14" w:name="_ENREF_12"/>
      <w:r>
        <w:rPr>
          <w:szCs w:val="24"/>
        </w:rPr>
        <w:t>12.</w:t>
      </w:r>
      <w:r>
        <w:rPr>
          <w:szCs w:val="24"/>
        </w:rPr>
        <w:tab/>
        <w:t xml:space="preserve">Altschul, S.F., et al., </w:t>
      </w:r>
      <w:r w:rsidRPr="006D5578">
        <w:rPr>
          <w:i/>
          <w:szCs w:val="24"/>
        </w:rPr>
        <w:t>Gapped BLAST and PSI-BLAST: a new generation of protein database search programs.</w:t>
      </w:r>
      <w:r>
        <w:rPr>
          <w:szCs w:val="24"/>
        </w:rPr>
        <w:t xml:space="preserve"> Nucleic acids research, 1997. </w:t>
      </w:r>
      <w:r w:rsidRPr="006D5578">
        <w:rPr>
          <w:b/>
          <w:szCs w:val="24"/>
        </w:rPr>
        <w:t>25</w:t>
      </w:r>
      <w:r>
        <w:rPr>
          <w:szCs w:val="24"/>
        </w:rPr>
        <w:t>(17): p. 3389-3402.</w:t>
      </w:r>
      <w:bookmarkEnd w:id="14"/>
    </w:p>
    <w:p w14:paraId="25E7D720" w14:textId="77777777" w:rsidR="008B751B" w:rsidRDefault="008B751B" w:rsidP="008B751B">
      <w:pPr>
        <w:spacing w:after="0" w:line="240" w:lineRule="auto"/>
        <w:ind w:left="720" w:hanging="720"/>
        <w:rPr>
          <w:szCs w:val="24"/>
        </w:rPr>
      </w:pPr>
      <w:bookmarkStart w:id="15" w:name="_ENREF_13"/>
      <w:r>
        <w:rPr>
          <w:szCs w:val="24"/>
        </w:rPr>
        <w:t>13.</w:t>
      </w:r>
      <w:r>
        <w:rPr>
          <w:szCs w:val="24"/>
        </w:rPr>
        <w:tab/>
        <w:t xml:space="preserve">Schaduangrat, N., et al., </w:t>
      </w:r>
      <w:r w:rsidRPr="006D5578">
        <w:rPr>
          <w:i/>
          <w:szCs w:val="24"/>
        </w:rPr>
        <w:t>Meta-iAVP: A sequence-based meta-predictor for improving the prediction of antiviral peptides using effective feature representation.</w:t>
      </w:r>
      <w:r>
        <w:rPr>
          <w:szCs w:val="24"/>
        </w:rPr>
        <w:t xml:space="preserve"> International journal of molecular sciences, 2019. </w:t>
      </w:r>
      <w:r w:rsidRPr="006D5578">
        <w:rPr>
          <w:b/>
          <w:szCs w:val="24"/>
        </w:rPr>
        <w:t>20</w:t>
      </w:r>
      <w:r>
        <w:rPr>
          <w:szCs w:val="24"/>
        </w:rPr>
        <w:t>(22): p. 5743.</w:t>
      </w:r>
      <w:bookmarkEnd w:id="15"/>
    </w:p>
    <w:p w14:paraId="4A34B47A" w14:textId="77777777" w:rsidR="008B751B" w:rsidRDefault="008B751B" w:rsidP="008B751B">
      <w:pPr>
        <w:spacing w:after="0" w:line="240" w:lineRule="auto"/>
        <w:ind w:left="720" w:hanging="720"/>
        <w:rPr>
          <w:szCs w:val="24"/>
        </w:rPr>
      </w:pPr>
      <w:bookmarkStart w:id="16" w:name="_ENREF_14"/>
      <w:r>
        <w:rPr>
          <w:szCs w:val="24"/>
        </w:rPr>
        <w:t>14.</w:t>
      </w:r>
      <w:r>
        <w:rPr>
          <w:szCs w:val="24"/>
        </w:rPr>
        <w:tab/>
        <w:t xml:space="preserve">Thakur, N., A. Qureshi, and M. Kumar, </w:t>
      </w:r>
      <w:r w:rsidRPr="006D5578">
        <w:rPr>
          <w:i/>
          <w:szCs w:val="24"/>
        </w:rPr>
        <w:t>AVPpred: collection and prediction of highly effective antiviral peptides.</w:t>
      </w:r>
      <w:r>
        <w:rPr>
          <w:szCs w:val="24"/>
        </w:rPr>
        <w:t xml:space="preserve"> Nucleic acids research, 2012. </w:t>
      </w:r>
      <w:r w:rsidRPr="006D5578">
        <w:rPr>
          <w:b/>
          <w:szCs w:val="24"/>
        </w:rPr>
        <w:t>40</w:t>
      </w:r>
      <w:r>
        <w:rPr>
          <w:szCs w:val="24"/>
        </w:rPr>
        <w:t>(W1): p. W199-W204.</w:t>
      </w:r>
      <w:bookmarkEnd w:id="16"/>
    </w:p>
    <w:p w14:paraId="62FC7B98" w14:textId="77777777" w:rsidR="008B751B" w:rsidRDefault="008B751B" w:rsidP="008B751B">
      <w:pPr>
        <w:spacing w:after="0" w:line="240" w:lineRule="auto"/>
        <w:ind w:left="720" w:hanging="720"/>
        <w:rPr>
          <w:szCs w:val="24"/>
        </w:rPr>
      </w:pPr>
      <w:bookmarkStart w:id="17" w:name="_ENREF_15"/>
      <w:r>
        <w:rPr>
          <w:szCs w:val="24"/>
        </w:rPr>
        <w:t>15.</w:t>
      </w:r>
      <w:r>
        <w:rPr>
          <w:szCs w:val="24"/>
        </w:rPr>
        <w:tab/>
        <w:t xml:space="preserve">Qureshi, A., H. Tandon, and M. Kumar, </w:t>
      </w:r>
      <w:r w:rsidRPr="006D5578">
        <w:rPr>
          <w:i/>
          <w:szCs w:val="24"/>
        </w:rPr>
        <w:t>AVP‐IC50Pred: Multiple machine learning techniques‐based prediction of peptide antiviral activity in terms of half maximal inhibitory concentration (IC50).</w:t>
      </w:r>
      <w:r>
        <w:rPr>
          <w:szCs w:val="24"/>
        </w:rPr>
        <w:t xml:space="preserve"> Peptide Science, 2015. </w:t>
      </w:r>
      <w:r w:rsidRPr="006D5578">
        <w:rPr>
          <w:b/>
          <w:szCs w:val="24"/>
        </w:rPr>
        <w:t>104</w:t>
      </w:r>
      <w:r>
        <w:rPr>
          <w:szCs w:val="24"/>
        </w:rPr>
        <w:t>(6): p. 753-763.</w:t>
      </w:r>
      <w:bookmarkEnd w:id="17"/>
    </w:p>
    <w:p w14:paraId="0B1E56CE" w14:textId="77777777" w:rsidR="008B751B" w:rsidRDefault="008B751B" w:rsidP="008B751B">
      <w:pPr>
        <w:spacing w:after="0" w:line="240" w:lineRule="auto"/>
        <w:ind w:left="720" w:hanging="720"/>
        <w:rPr>
          <w:szCs w:val="24"/>
        </w:rPr>
      </w:pPr>
      <w:bookmarkStart w:id="18" w:name="_ENREF_16"/>
      <w:r>
        <w:rPr>
          <w:szCs w:val="24"/>
        </w:rPr>
        <w:t>16.</w:t>
      </w:r>
      <w:r>
        <w:rPr>
          <w:szCs w:val="24"/>
        </w:rPr>
        <w:tab/>
        <w:t xml:space="preserve">Lamiable, A., et al., </w:t>
      </w:r>
      <w:r w:rsidRPr="006D5578">
        <w:rPr>
          <w:i/>
          <w:szCs w:val="24"/>
        </w:rPr>
        <w:t>PEP-FOLD3: faster de novo structure prediction for linear peptides in solution and in complex.</w:t>
      </w:r>
      <w:r>
        <w:rPr>
          <w:szCs w:val="24"/>
        </w:rPr>
        <w:t xml:space="preserve"> Nucleic acids research, 2016. </w:t>
      </w:r>
      <w:r w:rsidRPr="006D5578">
        <w:rPr>
          <w:b/>
          <w:szCs w:val="24"/>
        </w:rPr>
        <w:t>44</w:t>
      </w:r>
      <w:r>
        <w:rPr>
          <w:szCs w:val="24"/>
        </w:rPr>
        <w:t>(W1): p. W449-W454.</w:t>
      </w:r>
      <w:bookmarkEnd w:id="18"/>
    </w:p>
    <w:p w14:paraId="25F4D57C" w14:textId="77777777" w:rsidR="008B751B" w:rsidRDefault="008B751B" w:rsidP="008B751B">
      <w:pPr>
        <w:spacing w:after="0" w:line="240" w:lineRule="auto"/>
        <w:ind w:left="720" w:hanging="720"/>
        <w:rPr>
          <w:szCs w:val="24"/>
        </w:rPr>
      </w:pPr>
      <w:bookmarkStart w:id="19" w:name="_ENREF_17"/>
      <w:r>
        <w:rPr>
          <w:szCs w:val="24"/>
        </w:rPr>
        <w:t>17.</w:t>
      </w:r>
      <w:r>
        <w:rPr>
          <w:szCs w:val="24"/>
        </w:rPr>
        <w:tab/>
        <w:t xml:space="preserve">Abraham, M.J., et al., </w:t>
      </w:r>
      <w:r w:rsidRPr="006D5578">
        <w:rPr>
          <w:i/>
          <w:szCs w:val="24"/>
        </w:rPr>
        <w:t>GROMACS: High performance molecular simulations through multi-level parallelism from laptops to supercomputers.</w:t>
      </w:r>
      <w:r>
        <w:rPr>
          <w:szCs w:val="24"/>
        </w:rPr>
        <w:t xml:space="preserve"> SoftwareX, 2015. </w:t>
      </w:r>
      <w:r w:rsidRPr="006D5578">
        <w:rPr>
          <w:b/>
          <w:szCs w:val="24"/>
        </w:rPr>
        <w:t>1</w:t>
      </w:r>
      <w:r>
        <w:rPr>
          <w:szCs w:val="24"/>
        </w:rPr>
        <w:t>: p. 19-25.</w:t>
      </w:r>
      <w:bookmarkEnd w:id="19"/>
    </w:p>
    <w:p w14:paraId="3CAEB5D0" w14:textId="77777777" w:rsidR="008B751B" w:rsidRDefault="008B751B" w:rsidP="008B751B">
      <w:pPr>
        <w:spacing w:after="0" w:line="240" w:lineRule="auto"/>
        <w:ind w:left="720" w:hanging="720"/>
        <w:rPr>
          <w:szCs w:val="24"/>
        </w:rPr>
      </w:pPr>
      <w:bookmarkStart w:id="20" w:name="_ENREF_18"/>
      <w:r>
        <w:rPr>
          <w:szCs w:val="24"/>
        </w:rPr>
        <w:t>18.</w:t>
      </w:r>
      <w:r>
        <w:rPr>
          <w:szCs w:val="24"/>
        </w:rPr>
        <w:tab/>
        <w:t xml:space="preserve">Lear, S. and S.L. Cobb, </w:t>
      </w:r>
      <w:r w:rsidRPr="006D5578">
        <w:rPr>
          <w:i/>
          <w:szCs w:val="24"/>
        </w:rPr>
        <w:t>Pep-Calc. com: a set of web utilities for the calculation of peptide and peptoid properties and automatic mass spectral peak assignment.</w:t>
      </w:r>
      <w:r>
        <w:rPr>
          <w:szCs w:val="24"/>
        </w:rPr>
        <w:t xml:space="preserve"> Journal of computer-aided molecular design, 2016. </w:t>
      </w:r>
      <w:r w:rsidRPr="006D5578">
        <w:rPr>
          <w:b/>
          <w:szCs w:val="24"/>
        </w:rPr>
        <w:t>30</w:t>
      </w:r>
      <w:r>
        <w:rPr>
          <w:szCs w:val="24"/>
        </w:rPr>
        <w:t>(3): p. 271-277.</w:t>
      </w:r>
      <w:bookmarkEnd w:id="20"/>
    </w:p>
    <w:p w14:paraId="1581B625" w14:textId="77777777" w:rsidR="008B751B" w:rsidRDefault="008B751B" w:rsidP="008B751B">
      <w:pPr>
        <w:spacing w:after="0" w:line="240" w:lineRule="auto"/>
        <w:ind w:left="720" w:hanging="720"/>
        <w:rPr>
          <w:szCs w:val="24"/>
        </w:rPr>
      </w:pPr>
      <w:bookmarkStart w:id="21" w:name="_ENREF_19"/>
      <w:r>
        <w:rPr>
          <w:szCs w:val="24"/>
        </w:rPr>
        <w:t>19.</w:t>
      </w:r>
      <w:r>
        <w:rPr>
          <w:szCs w:val="24"/>
        </w:rPr>
        <w:tab/>
        <w:t xml:space="preserve">Portal, E.B.R., </w:t>
      </w:r>
      <w:r w:rsidRPr="006D5578">
        <w:rPr>
          <w:i/>
          <w:szCs w:val="24"/>
        </w:rPr>
        <w:t>ProtParam tool</w:t>
      </w:r>
      <w:r>
        <w:rPr>
          <w:szCs w:val="24"/>
        </w:rPr>
        <w:t>, 2011.</w:t>
      </w:r>
      <w:bookmarkEnd w:id="21"/>
    </w:p>
    <w:p w14:paraId="2C356B28" w14:textId="77777777" w:rsidR="008B751B" w:rsidRDefault="008B751B" w:rsidP="008B751B">
      <w:pPr>
        <w:spacing w:after="0" w:line="240" w:lineRule="auto"/>
        <w:ind w:left="720" w:hanging="720"/>
        <w:rPr>
          <w:szCs w:val="24"/>
        </w:rPr>
      </w:pPr>
      <w:bookmarkStart w:id="22" w:name="_ENREF_20"/>
      <w:r>
        <w:rPr>
          <w:szCs w:val="24"/>
        </w:rPr>
        <w:t>20.</w:t>
      </w:r>
      <w:r>
        <w:rPr>
          <w:szCs w:val="24"/>
        </w:rPr>
        <w:tab/>
        <w:t xml:space="preserve">Saha, S. and G. Raghava, </w:t>
      </w:r>
      <w:r w:rsidRPr="006D5578">
        <w:rPr>
          <w:i/>
          <w:szCs w:val="24"/>
        </w:rPr>
        <w:t>AlgPred: prediction of allergenic proteins and mapping of IgE epitopes.</w:t>
      </w:r>
      <w:r>
        <w:rPr>
          <w:szCs w:val="24"/>
        </w:rPr>
        <w:t xml:space="preserve"> Nucleic acids research, 2006. </w:t>
      </w:r>
      <w:r w:rsidRPr="006D5578">
        <w:rPr>
          <w:b/>
          <w:szCs w:val="24"/>
        </w:rPr>
        <w:t>34</w:t>
      </w:r>
      <w:r>
        <w:rPr>
          <w:szCs w:val="24"/>
        </w:rPr>
        <w:t>(suppl_2): p. W202-W209.</w:t>
      </w:r>
      <w:bookmarkEnd w:id="22"/>
    </w:p>
    <w:p w14:paraId="185C9C79" w14:textId="77777777" w:rsidR="008B751B" w:rsidRDefault="008B751B" w:rsidP="008B751B">
      <w:pPr>
        <w:spacing w:after="0" w:line="240" w:lineRule="auto"/>
        <w:ind w:left="720" w:hanging="720"/>
        <w:rPr>
          <w:szCs w:val="24"/>
        </w:rPr>
      </w:pPr>
      <w:bookmarkStart w:id="23" w:name="_ENREF_21"/>
      <w:r>
        <w:rPr>
          <w:szCs w:val="24"/>
        </w:rPr>
        <w:t>21.</w:t>
      </w:r>
      <w:r>
        <w:rPr>
          <w:szCs w:val="24"/>
        </w:rPr>
        <w:tab/>
        <w:t xml:space="preserve">Gupta, S., et al., </w:t>
      </w:r>
      <w:r w:rsidRPr="006D5578">
        <w:rPr>
          <w:i/>
          <w:szCs w:val="24"/>
        </w:rPr>
        <w:t>In silico approach for predicting toxicity of peptides and proteins.</w:t>
      </w:r>
      <w:r>
        <w:rPr>
          <w:szCs w:val="24"/>
        </w:rPr>
        <w:t xml:space="preserve"> PloS one, 2013. </w:t>
      </w:r>
      <w:r w:rsidRPr="006D5578">
        <w:rPr>
          <w:b/>
          <w:szCs w:val="24"/>
        </w:rPr>
        <w:t>8</w:t>
      </w:r>
      <w:r>
        <w:rPr>
          <w:szCs w:val="24"/>
        </w:rPr>
        <w:t>(9).</w:t>
      </w:r>
      <w:bookmarkEnd w:id="23"/>
    </w:p>
    <w:p w14:paraId="33EB979D" w14:textId="77777777" w:rsidR="008B751B" w:rsidRDefault="008B751B" w:rsidP="008B751B">
      <w:pPr>
        <w:spacing w:after="0" w:line="240" w:lineRule="auto"/>
        <w:ind w:left="720" w:hanging="720"/>
        <w:rPr>
          <w:szCs w:val="24"/>
        </w:rPr>
      </w:pPr>
      <w:bookmarkStart w:id="24" w:name="_ENREF_22"/>
      <w:r>
        <w:rPr>
          <w:szCs w:val="24"/>
        </w:rPr>
        <w:t>22.</w:t>
      </w:r>
      <w:r>
        <w:rPr>
          <w:szCs w:val="24"/>
        </w:rPr>
        <w:tab/>
        <w:t xml:space="preserve">Win, T.S., et al., </w:t>
      </w:r>
      <w:r w:rsidRPr="006D5578">
        <w:rPr>
          <w:i/>
          <w:szCs w:val="24"/>
        </w:rPr>
        <w:t>HemoPred: a web server for predicting the hemolytic activity of peptides.</w:t>
      </w:r>
      <w:r>
        <w:rPr>
          <w:szCs w:val="24"/>
        </w:rPr>
        <w:t xml:space="preserve"> Future medicinal chemistry, 2017. </w:t>
      </w:r>
      <w:r w:rsidRPr="006D5578">
        <w:rPr>
          <w:b/>
          <w:szCs w:val="24"/>
        </w:rPr>
        <w:t>9</w:t>
      </w:r>
      <w:r>
        <w:rPr>
          <w:szCs w:val="24"/>
        </w:rPr>
        <w:t>(3): p. 275-291.</w:t>
      </w:r>
      <w:bookmarkEnd w:id="24"/>
    </w:p>
    <w:p w14:paraId="70242AB7" w14:textId="77777777" w:rsidR="008B751B" w:rsidRDefault="008B751B" w:rsidP="008B751B">
      <w:pPr>
        <w:spacing w:after="0" w:line="240" w:lineRule="auto"/>
        <w:ind w:left="720" w:hanging="720"/>
        <w:rPr>
          <w:szCs w:val="24"/>
        </w:rPr>
      </w:pPr>
      <w:bookmarkStart w:id="25" w:name="_ENREF_23"/>
      <w:r>
        <w:rPr>
          <w:szCs w:val="24"/>
        </w:rPr>
        <w:t>23.</w:t>
      </w:r>
      <w:r>
        <w:rPr>
          <w:szCs w:val="24"/>
        </w:rPr>
        <w:tab/>
        <w:t xml:space="preserve">Yuan, M., et al., </w:t>
      </w:r>
      <w:r w:rsidRPr="006D5578">
        <w:rPr>
          <w:i/>
          <w:szCs w:val="24"/>
        </w:rPr>
        <w:t>A highly conserved cryptic epitope in the receptor binding domains of SARS-CoV-2 and SARS-CoV.</w:t>
      </w:r>
      <w:r>
        <w:rPr>
          <w:szCs w:val="24"/>
        </w:rPr>
        <w:t xml:space="preserve"> Science, 2020. </w:t>
      </w:r>
      <w:r w:rsidRPr="006D5578">
        <w:rPr>
          <w:b/>
          <w:szCs w:val="24"/>
        </w:rPr>
        <w:t>368</w:t>
      </w:r>
      <w:r>
        <w:rPr>
          <w:szCs w:val="24"/>
        </w:rPr>
        <w:t>(6491): p. 630-633.</w:t>
      </w:r>
      <w:bookmarkEnd w:id="25"/>
    </w:p>
    <w:p w14:paraId="36878FAA" w14:textId="77777777" w:rsidR="008B751B" w:rsidRDefault="008B751B" w:rsidP="008B751B">
      <w:pPr>
        <w:spacing w:after="0" w:line="240" w:lineRule="auto"/>
        <w:ind w:left="720" w:hanging="720"/>
        <w:rPr>
          <w:szCs w:val="24"/>
        </w:rPr>
      </w:pPr>
      <w:bookmarkStart w:id="26" w:name="_ENREF_24"/>
      <w:r>
        <w:rPr>
          <w:szCs w:val="24"/>
        </w:rPr>
        <w:t>24.</w:t>
      </w:r>
      <w:r>
        <w:rPr>
          <w:szCs w:val="24"/>
        </w:rPr>
        <w:tab/>
        <w:t xml:space="preserve">Musil, M., et al., </w:t>
      </w:r>
      <w:r w:rsidRPr="006D5578">
        <w:rPr>
          <w:i/>
          <w:szCs w:val="24"/>
        </w:rPr>
        <w:t>FireProt: web server for automated design of thermostable proteins.</w:t>
      </w:r>
      <w:r>
        <w:rPr>
          <w:szCs w:val="24"/>
        </w:rPr>
        <w:t xml:space="preserve"> Nucleic acids research, 2017. </w:t>
      </w:r>
      <w:r w:rsidRPr="006D5578">
        <w:rPr>
          <w:b/>
          <w:szCs w:val="24"/>
        </w:rPr>
        <w:t>45</w:t>
      </w:r>
      <w:r>
        <w:rPr>
          <w:szCs w:val="24"/>
        </w:rPr>
        <w:t>(W1): p. W393-W399.</w:t>
      </w:r>
      <w:bookmarkEnd w:id="26"/>
    </w:p>
    <w:p w14:paraId="099F36DE" w14:textId="77777777" w:rsidR="008B751B" w:rsidRDefault="008B751B" w:rsidP="008B751B">
      <w:pPr>
        <w:spacing w:after="0" w:line="240" w:lineRule="auto"/>
        <w:ind w:left="720" w:hanging="720"/>
        <w:rPr>
          <w:szCs w:val="24"/>
        </w:rPr>
      </w:pPr>
      <w:bookmarkStart w:id="27" w:name="_ENREF_25"/>
      <w:r>
        <w:rPr>
          <w:szCs w:val="24"/>
        </w:rPr>
        <w:t>25.</w:t>
      </w:r>
      <w:r>
        <w:rPr>
          <w:szCs w:val="24"/>
        </w:rPr>
        <w:tab/>
        <w:t xml:space="preserve">Holm, L., </w:t>
      </w:r>
      <w:r w:rsidRPr="006D5578">
        <w:rPr>
          <w:i/>
          <w:szCs w:val="24"/>
        </w:rPr>
        <w:t>DALI and the persistence of protein shape.</w:t>
      </w:r>
      <w:r>
        <w:rPr>
          <w:szCs w:val="24"/>
        </w:rPr>
        <w:t xml:space="preserve"> Protein Science, 2020. </w:t>
      </w:r>
      <w:r w:rsidRPr="006D5578">
        <w:rPr>
          <w:b/>
          <w:szCs w:val="24"/>
        </w:rPr>
        <w:t>29</w:t>
      </w:r>
      <w:r>
        <w:rPr>
          <w:szCs w:val="24"/>
        </w:rPr>
        <w:t>(1): p. 128-140.</w:t>
      </w:r>
      <w:bookmarkEnd w:id="27"/>
    </w:p>
    <w:p w14:paraId="3C08886A" w14:textId="77777777" w:rsidR="008B751B" w:rsidRDefault="008B751B" w:rsidP="008B751B">
      <w:pPr>
        <w:spacing w:after="0" w:line="240" w:lineRule="auto"/>
        <w:ind w:left="720" w:hanging="720"/>
        <w:rPr>
          <w:szCs w:val="24"/>
        </w:rPr>
      </w:pPr>
      <w:bookmarkStart w:id="28" w:name="_ENREF_26"/>
      <w:r>
        <w:rPr>
          <w:szCs w:val="24"/>
        </w:rPr>
        <w:t>26.</w:t>
      </w:r>
      <w:r>
        <w:rPr>
          <w:szCs w:val="24"/>
        </w:rPr>
        <w:tab/>
        <w:t xml:space="preserve">Pettersen, E.F., et al., </w:t>
      </w:r>
      <w:r w:rsidRPr="006D5578">
        <w:rPr>
          <w:i/>
          <w:szCs w:val="24"/>
        </w:rPr>
        <w:t>UCSF Chimera—a visualization system for exploratory research and analysis.</w:t>
      </w:r>
      <w:r>
        <w:rPr>
          <w:szCs w:val="24"/>
        </w:rPr>
        <w:t xml:space="preserve"> Journal of computational chemistry, 2004. </w:t>
      </w:r>
      <w:r w:rsidRPr="006D5578">
        <w:rPr>
          <w:b/>
          <w:szCs w:val="24"/>
        </w:rPr>
        <w:t>25</w:t>
      </w:r>
      <w:r>
        <w:rPr>
          <w:szCs w:val="24"/>
        </w:rPr>
        <w:t>(13): p. 1605-1612.</w:t>
      </w:r>
      <w:bookmarkEnd w:id="28"/>
    </w:p>
    <w:p w14:paraId="2E6612F7" w14:textId="77777777" w:rsidR="008B751B" w:rsidRDefault="008B751B" w:rsidP="008B751B">
      <w:pPr>
        <w:spacing w:after="0" w:line="240" w:lineRule="auto"/>
        <w:ind w:left="720" w:hanging="720"/>
        <w:rPr>
          <w:szCs w:val="24"/>
        </w:rPr>
      </w:pPr>
      <w:bookmarkStart w:id="29" w:name="_ENREF_27"/>
      <w:r>
        <w:rPr>
          <w:szCs w:val="24"/>
        </w:rPr>
        <w:t>27.</w:t>
      </w:r>
      <w:r>
        <w:rPr>
          <w:szCs w:val="24"/>
        </w:rPr>
        <w:tab/>
        <w:t xml:space="preserve">Rodrigues, J.P., E. Karaca, and A.M. Bonvin, </w:t>
      </w:r>
      <w:r w:rsidRPr="006D5578">
        <w:rPr>
          <w:i/>
          <w:szCs w:val="24"/>
        </w:rPr>
        <w:t>Information-driven structural modelling of protein–protein interactions</w:t>
      </w:r>
      <w:r>
        <w:rPr>
          <w:szCs w:val="24"/>
        </w:rPr>
        <w:t xml:space="preserve">, in </w:t>
      </w:r>
      <w:r w:rsidRPr="006D5578">
        <w:rPr>
          <w:i/>
          <w:szCs w:val="24"/>
        </w:rPr>
        <w:t>Molecular modeling of proteins</w:t>
      </w:r>
      <w:r>
        <w:rPr>
          <w:szCs w:val="24"/>
        </w:rPr>
        <w:t>2015, Springer. p. 399-424.</w:t>
      </w:r>
      <w:bookmarkEnd w:id="29"/>
    </w:p>
    <w:p w14:paraId="1CF25A03" w14:textId="77777777" w:rsidR="008B751B" w:rsidRDefault="008B751B" w:rsidP="008B751B">
      <w:pPr>
        <w:spacing w:after="0" w:line="240" w:lineRule="auto"/>
        <w:ind w:left="720" w:hanging="720"/>
        <w:rPr>
          <w:szCs w:val="24"/>
        </w:rPr>
      </w:pPr>
      <w:bookmarkStart w:id="30" w:name="_ENREF_28"/>
      <w:r>
        <w:rPr>
          <w:szCs w:val="24"/>
        </w:rPr>
        <w:t>28.</w:t>
      </w:r>
      <w:r>
        <w:rPr>
          <w:szCs w:val="24"/>
        </w:rPr>
        <w:tab/>
        <w:t xml:space="preserve">Dutta, K., et al., </w:t>
      </w:r>
      <w:r w:rsidRPr="006D5578">
        <w:rPr>
          <w:i/>
          <w:szCs w:val="24"/>
        </w:rPr>
        <w:t>Effects of secondary carbon supplement on biofilm-mediated biodegradation of naphthalene by mutated naphthalene 1, 2-dioxygenase encoded by Pseudomonas putida strain KD9.</w:t>
      </w:r>
      <w:r>
        <w:rPr>
          <w:szCs w:val="24"/>
        </w:rPr>
        <w:t xml:space="preserve"> Journal of hazardous materials, 2018. </w:t>
      </w:r>
      <w:r w:rsidRPr="006D5578">
        <w:rPr>
          <w:b/>
          <w:szCs w:val="24"/>
        </w:rPr>
        <w:t>357</w:t>
      </w:r>
      <w:r>
        <w:rPr>
          <w:szCs w:val="24"/>
        </w:rPr>
        <w:t>: p. 187-197.</w:t>
      </w:r>
      <w:bookmarkEnd w:id="30"/>
    </w:p>
    <w:p w14:paraId="1873D51F" w14:textId="77777777" w:rsidR="008B751B" w:rsidRDefault="008B751B" w:rsidP="008B751B">
      <w:pPr>
        <w:spacing w:after="0" w:line="240" w:lineRule="auto"/>
        <w:ind w:left="720" w:hanging="720"/>
        <w:rPr>
          <w:szCs w:val="24"/>
        </w:rPr>
      </w:pPr>
      <w:bookmarkStart w:id="31" w:name="_ENREF_29"/>
      <w:r>
        <w:rPr>
          <w:szCs w:val="24"/>
        </w:rPr>
        <w:lastRenderedPageBreak/>
        <w:t>29.</w:t>
      </w:r>
      <w:r>
        <w:rPr>
          <w:szCs w:val="24"/>
        </w:rPr>
        <w:tab/>
        <w:t xml:space="preserve">Kadirvel, P., et al., </w:t>
      </w:r>
      <w:r w:rsidRPr="006D5578">
        <w:rPr>
          <w:i/>
          <w:szCs w:val="24"/>
        </w:rPr>
        <w:t>Molecular Dynamics Simulation Study of Plasmodium falciparum and Escherichia coli SufA: Exploration of Conformational Changes Possibly Involved in Iron-Sulfur Cluster Transfer.</w:t>
      </w:r>
      <w:r>
        <w:rPr>
          <w:szCs w:val="24"/>
        </w:rPr>
        <w:t xml:space="preserve"> Journal of Biomolecular Structure and Dynamics, 2020(just-accepted): p. 1-16.</w:t>
      </w:r>
      <w:bookmarkEnd w:id="31"/>
    </w:p>
    <w:p w14:paraId="2EC3CA4C" w14:textId="77777777" w:rsidR="008B751B" w:rsidRDefault="008B751B" w:rsidP="008B751B">
      <w:pPr>
        <w:spacing w:after="0" w:line="240" w:lineRule="auto"/>
        <w:ind w:left="720" w:hanging="720"/>
        <w:rPr>
          <w:szCs w:val="24"/>
        </w:rPr>
      </w:pPr>
      <w:bookmarkStart w:id="32" w:name="_ENREF_30"/>
      <w:r>
        <w:rPr>
          <w:szCs w:val="24"/>
        </w:rPr>
        <w:t>30.</w:t>
      </w:r>
      <w:r>
        <w:rPr>
          <w:szCs w:val="24"/>
        </w:rPr>
        <w:tab/>
        <w:t xml:space="preserve">Dutta, K., et al., </w:t>
      </w:r>
      <w:r w:rsidRPr="006D5578">
        <w:rPr>
          <w:i/>
          <w:szCs w:val="24"/>
        </w:rPr>
        <w:t>Paradoxical Bactericidal Effects of Hydrophobic Lung Surfactant Proteins and Their Peptide Mimics Using Liposome Molecular Trojan.</w:t>
      </w:r>
      <w:r>
        <w:rPr>
          <w:szCs w:val="24"/>
        </w:rPr>
        <w:t xml:space="preserve"> Journal of oleo science, 2018: p. ess18026.</w:t>
      </w:r>
      <w:bookmarkEnd w:id="32"/>
    </w:p>
    <w:p w14:paraId="28349CC1" w14:textId="77777777" w:rsidR="008B751B" w:rsidRDefault="008B751B" w:rsidP="008B751B">
      <w:pPr>
        <w:spacing w:after="0" w:line="240" w:lineRule="auto"/>
        <w:ind w:left="720" w:hanging="720"/>
        <w:rPr>
          <w:szCs w:val="24"/>
        </w:rPr>
      </w:pPr>
      <w:bookmarkStart w:id="33" w:name="_ENREF_31"/>
      <w:r>
        <w:rPr>
          <w:szCs w:val="24"/>
        </w:rPr>
        <w:t>31.</w:t>
      </w:r>
      <w:r>
        <w:rPr>
          <w:szCs w:val="24"/>
        </w:rPr>
        <w:tab/>
        <w:t xml:space="preserve">Liu, H. and T. Hou, </w:t>
      </w:r>
      <w:r w:rsidRPr="006D5578">
        <w:rPr>
          <w:i/>
          <w:szCs w:val="24"/>
        </w:rPr>
        <w:t>CaFE: a tool for binding affinity prediction using end-point free energy methods.</w:t>
      </w:r>
      <w:r>
        <w:rPr>
          <w:szCs w:val="24"/>
        </w:rPr>
        <w:t xml:space="preserve"> Bioinformatics, 2016. </w:t>
      </w:r>
      <w:r w:rsidRPr="006D5578">
        <w:rPr>
          <w:b/>
          <w:szCs w:val="24"/>
        </w:rPr>
        <w:t>32</w:t>
      </w:r>
      <w:r>
        <w:rPr>
          <w:szCs w:val="24"/>
        </w:rPr>
        <w:t>(14): p. 2216-2218.</w:t>
      </w:r>
      <w:bookmarkEnd w:id="33"/>
    </w:p>
    <w:p w14:paraId="056E551C" w14:textId="77777777" w:rsidR="008B751B" w:rsidRDefault="008B751B" w:rsidP="008B751B">
      <w:pPr>
        <w:spacing w:after="0" w:line="240" w:lineRule="auto"/>
        <w:ind w:left="720" w:hanging="720"/>
        <w:rPr>
          <w:szCs w:val="24"/>
        </w:rPr>
      </w:pPr>
      <w:bookmarkStart w:id="34" w:name="_ENREF_32"/>
      <w:r>
        <w:rPr>
          <w:szCs w:val="24"/>
        </w:rPr>
        <w:t>32.</w:t>
      </w:r>
      <w:r>
        <w:rPr>
          <w:szCs w:val="24"/>
        </w:rPr>
        <w:tab/>
        <w:t xml:space="preserve">Case, D., et al., </w:t>
      </w:r>
      <w:r w:rsidRPr="006D5578">
        <w:rPr>
          <w:i/>
          <w:szCs w:val="24"/>
        </w:rPr>
        <w:t>AMBER 2016 (University of California).</w:t>
      </w:r>
      <w:r>
        <w:rPr>
          <w:szCs w:val="24"/>
        </w:rPr>
        <w:t xml:space="preserve"> San Francisco, 2016.</w:t>
      </w:r>
      <w:bookmarkEnd w:id="34"/>
    </w:p>
    <w:p w14:paraId="74C3C11A" w14:textId="77777777" w:rsidR="008B751B" w:rsidRDefault="008B751B" w:rsidP="008B751B">
      <w:pPr>
        <w:spacing w:after="0" w:line="240" w:lineRule="auto"/>
        <w:ind w:left="720" w:hanging="720"/>
        <w:rPr>
          <w:szCs w:val="24"/>
        </w:rPr>
      </w:pPr>
      <w:bookmarkStart w:id="35" w:name="_ENREF_33"/>
      <w:r>
        <w:rPr>
          <w:szCs w:val="24"/>
        </w:rPr>
        <w:t>33.</w:t>
      </w:r>
      <w:r>
        <w:rPr>
          <w:szCs w:val="24"/>
        </w:rPr>
        <w:tab/>
        <w:t xml:space="preserve">Essmann, U., et al., </w:t>
      </w:r>
      <w:r w:rsidRPr="006D5578">
        <w:rPr>
          <w:i/>
          <w:szCs w:val="24"/>
        </w:rPr>
        <w:t>A smooth particle mesh Ewald method.</w:t>
      </w:r>
      <w:r>
        <w:rPr>
          <w:szCs w:val="24"/>
        </w:rPr>
        <w:t xml:space="preserve"> The Journal of chemical physics, 1995. </w:t>
      </w:r>
      <w:r w:rsidRPr="006D5578">
        <w:rPr>
          <w:b/>
          <w:szCs w:val="24"/>
        </w:rPr>
        <w:t>103</w:t>
      </w:r>
      <w:r>
        <w:rPr>
          <w:szCs w:val="24"/>
        </w:rPr>
        <w:t>(19): p. 8577-8593.</w:t>
      </w:r>
      <w:bookmarkEnd w:id="35"/>
    </w:p>
    <w:p w14:paraId="14D3E98D" w14:textId="77777777" w:rsidR="008B751B" w:rsidRDefault="008B751B" w:rsidP="008B751B">
      <w:pPr>
        <w:spacing w:after="0" w:line="240" w:lineRule="auto"/>
        <w:ind w:left="720" w:hanging="720"/>
        <w:rPr>
          <w:szCs w:val="24"/>
        </w:rPr>
      </w:pPr>
      <w:bookmarkStart w:id="36" w:name="_ENREF_34"/>
      <w:r>
        <w:rPr>
          <w:szCs w:val="24"/>
        </w:rPr>
        <w:t>34.</w:t>
      </w:r>
      <w:r>
        <w:rPr>
          <w:szCs w:val="24"/>
        </w:rPr>
        <w:tab/>
        <w:t xml:space="preserve">Miyamoto, S. and P.A. Kollman, </w:t>
      </w:r>
      <w:r w:rsidRPr="006D5578">
        <w:rPr>
          <w:i/>
          <w:szCs w:val="24"/>
        </w:rPr>
        <w:t>Settle: An analytical version of the SHAKE and RATTLE algorithm for rigid water models.</w:t>
      </w:r>
      <w:r>
        <w:rPr>
          <w:szCs w:val="24"/>
        </w:rPr>
        <w:t xml:space="preserve"> Journal of computational chemistry, 1992. </w:t>
      </w:r>
      <w:r w:rsidRPr="006D5578">
        <w:rPr>
          <w:b/>
          <w:szCs w:val="24"/>
        </w:rPr>
        <w:t>13</w:t>
      </w:r>
      <w:r>
        <w:rPr>
          <w:szCs w:val="24"/>
        </w:rPr>
        <w:t>(8): p. 952-962.</w:t>
      </w:r>
      <w:bookmarkEnd w:id="36"/>
    </w:p>
    <w:p w14:paraId="20B3774E" w14:textId="77777777" w:rsidR="008B751B" w:rsidRDefault="008B751B" w:rsidP="008B751B">
      <w:pPr>
        <w:spacing w:after="0" w:line="240" w:lineRule="auto"/>
        <w:ind w:left="720" w:hanging="720"/>
        <w:rPr>
          <w:szCs w:val="24"/>
        </w:rPr>
      </w:pPr>
      <w:bookmarkStart w:id="37" w:name="_ENREF_35"/>
      <w:r>
        <w:rPr>
          <w:szCs w:val="24"/>
        </w:rPr>
        <w:t>35.</w:t>
      </w:r>
      <w:r>
        <w:rPr>
          <w:szCs w:val="24"/>
        </w:rPr>
        <w:tab/>
        <w:t xml:space="preserve">Weng, G., et al., </w:t>
      </w:r>
      <w:r w:rsidRPr="006D5578">
        <w:rPr>
          <w:i/>
          <w:szCs w:val="24"/>
        </w:rPr>
        <w:t>HawkDock: a web server to predict and analyze the protein–protein complex based on computational docking and MM/GBSA.</w:t>
      </w:r>
      <w:r>
        <w:rPr>
          <w:szCs w:val="24"/>
        </w:rPr>
        <w:t xml:space="preserve"> Nucleic acids research, 2019. </w:t>
      </w:r>
      <w:r w:rsidRPr="006D5578">
        <w:rPr>
          <w:b/>
          <w:szCs w:val="24"/>
        </w:rPr>
        <w:t>47</w:t>
      </w:r>
      <w:r>
        <w:rPr>
          <w:szCs w:val="24"/>
        </w:rPr>
        <w:t>(W1): p. W322-W330.</w:t>
      </w:r>
      <w:bookmarkEnd w:id="37"/>
    </w:p>
    <w:p w14:paraId="1FF49DD7" w14:textId="77777777" w:rsidR="008B751B" w:rsidRDefault="008B751B" w:rsidP="008B751B">
      <w:pPr>
        <w:spacing w:after="0" w:line="240" w:lineRule="auto"/>
        <w:ind w:left="720" w:hanging="720"/>
        <w:rPr>
          <w:szCs w:val="24"/>
        </w:rPr>
      </w:pPr>
      <w:bookmarkStart w:id="38" w:name="_ENREF_36"/>
      <w:r>
        <w:rPr>
          <w:szCs w:val="24"/>
        </w:rPr>
        <w:t>36.</w:t>
      </w:r>
      <w:r>
        <w:rPr>
          <w:szCs w:val="24"/>
        </w:rPr>
        <w:tab/>
        <w:t xml:space="preserve">Vita, R., et al., </w:t>
      </w:r>
      <w:r w:rsidRPr="006D5578">
        <w:rPr>
          <w:i/>
          <w:szCs w:val="24"/>
        </w:rPr>
        <w:t>The immune epitope database (IEDB) 3.0.</w:t>
      </w:r>
      <w:r>
        <w:rPr>
          <w:szCs w:val="24"/>
        </w:rPr>
        <w:t xml:space="preserve"> Nucleic acids research, 2015. </w:t>
      </w:r>
      <w:r w:rsidRPr="006D5578">
        <w:rPr>
          <w:b/>
          <w:szCs w:val="24"/>
        </w:rPr>
        <w:t>43</w:t>
      </w:r>
      <w:r>
        <w:rPr>
          <w:szCs w:val="24"/>
        </w:rPr>
        <w:t>(D1): p. D405-D412.</w:t>
      </w:r>
      <w:bookmarkEnd w:id="38"/>
    </w:p>
    <w:p w14:paraId="065804EB" w14:textId="77777777" w:rsidR="008B751B" w:rsidRDefault="008B751B" w:rsidP="008B751B">
      <w:pPr>
        <w:spacing w:after="0" w:line="240" w:lineRule="auto"/>
        <w:ind w:left="720" w:hanging="720"/>
        <w:rPr>
          <w:szCs w:val="24"/>
        </w:rPr>
      </w:pPr>
      <w:bookmarkStart w:id="39" w:name="_ENREF_37"/>
      <w:r>
        <w:rPr>
          <w:szCs w:val="24"/>
        </w:rPr>
        <w:t>37.</w:t>
      </w:r>
      <w:r>
        <w:rPr>
          <w:szCs w:val="24"/>
        </w:rPr>
        <w:tab/>
        <w:t xml:space="preserve">Larsen, M.V., et al., </w:t>
      </w:r>
      <w:r w:rsidRPr="006D5578">
        <w:rPr>
          <w:i/>
          <w:szCs w:val="24"/>
        </w:rPr>
        <w:t>Large-scale validation of methods for cytotoxic T-lymphocyte epitope prediction.</w:t>
      </w:r>
      <w:r>
        <w:rPr>
          <w:szCs w:val="24"/>
        </w:rPr>
        <w:t xml:space="preserve"> BMC bioinformatics, 2007. </w:t>
      </w:r>
      <w:r w:rsidRPr="006D5578">
        <w:rPr>
          <w:b/>
          <w:szCs w:val="24"/>
        </w:rPr>
        <w:t>8</w:t>
      </w:r>
      <w:r>
        <w:rPr>
          <w:szCs w:val="24"/>
        </w:rPr>
        <w:t>(1): p. 424.</w:t>
      </w:r>
      <w:bookmarkEnd w:id="39"/>
    </w:p>
    <w:p w14:paraId="79C16D9B" w14:textId="77777777" w:rsidR="008B751B" w:rsidRDefault="008B751B" w:rsidP="008B751B">
      <w:pPr>
        <w:spacing w:after="0" w:line="240" w:lineRule="auto"/>
        <w:ind w:left="720" w:hanging="720"/>
        <w:rPr>
          <w:szCs w:val="24"/>
        </w:rPr>
      </w:pPr>
      <w:bookmarkStart w:id="40" w:name="_ENREF_38"/>
      <w:r>
        <w:rPr>
          <w:szCs w:val="24"/>
        </w:rPr>
        <w:t>38.</w:t>
      </w:r>
      <w:r>
        <w:rPr>
          <w:szCs w:val="24"/>
        </w:rPr>
        <w:tab/>
        <w:t xml:space="preserve">Deeks, J.J., et al., </w:t>
      </w:r>
      <w:r w:rsidRPr="006D5578">
        <w:rPr>
          <w:i/>
          <w:szCs w:val="24"/>
        </w:rPr>
        <w:t>Diagnosis of SARS‐CoV‐2 infection and COVID‐19: accuracy of signs and symptoms; molecular, antigen, and antibody tests; and routine laboratory markers.</w:t>
      </w:r>
      <w:r>
        <w:rPr>
          <w:szCs w:val="24"/>
        </w:rPr>
        <w:t xml:space="preserve"> Cochrane Database of Systematic Reviews, 2020(4).</w:t>
      </w:r>
      <w:bookmarkEnd w:id="40"/>
    </w:p>
    <w:p w14:paraId="0C96C308" w14:textId="77777777" w:rsidR="008B751B" w:rsidRDefault="008B751B" w:rsidP="008B751B">
      <w:pPr>
        <w:spacing w:after="0" w:line="240" w:lineRule="auto"/>
        <w:ind w:left="720" w:hanging="720"/>
        <w:rPr>
          <w:szCs w:val="24"/>
        </w:rPr>
      </w:pPr>
      <w:bookmarkStart w:id="41" w:name="_ENREF_39"/>
      <w:r>
        <w:rPr>
          <w:szCs w:val="24"/>
        </w:rPr>
        <w:t>39.</w:t>
      </w:r>
      <w:r>
        <w:rPr>
          <w:szCs w:val="24"/>
        </w:rPr>
        <w:tab/>
        <w:t xml:space="preserve">Klompas, M., M.A. Baker, and C. Rhee, </w:t>
      </w:r>
      <w:r w:rsidRPr="006D5578">
        <w:rPr>
          <w:i/>
          <w:szCs w:val="24"/>
        </w:rPr>
        <w:t>Airborne transmission of SARS-CoV-2: theoretical considerations and available evidence.</w:t>
      </w:r>
      <w:r>
        <w:rPr>
          <w:szCs w:val="24"/>
        </w:rPr>
        <w:t xml:space="preserve"> Jama, 2020.</w:t>
      </w:r>
      <w:bookmarkEnd w:id="41"/>
    </w:p>
    <w:p w14:paraId="0EC4B6CB" w14:textId="77777777" w:rsidR="008B751B" w:rsidRDefault="008B751B" w:rsidP="008B751B">
      <w:pPr>
        <w:spacing w:after="0" w:line="240" w:lineRule="auto"/>
        <w:ind w:left="720" w:hanging="720"/>
        <w:rPr>
          <w:szCs w:val="24"/>
        </w:rPr>
      </w:pPr>
      <w:bookmarkStart w:id="42" w:name="_ENREF_40"/>
      <w:r>
        <w:rPr>
          <w:szCs w:val="24"/>
        </w:rPr>
        <w:t>40.</w:t>
      </w:r>
      <w:r>
        <w:rPr>
          <w:szCs w:val="24"/>
        </w:rPr>
        <w:tab/>
        <w:t xml:space="preserve">Pan, H., et al., </w:t>
      </w:r>
      <w:r w:rsidRPr="006D5578">
        <w:rPr>
          <w:i/>
          <w:szCs w:val="24"/>
        </w:rPr>
        <w:t>Repurposed antiviral drugs for COVID-19; interim WHO SOLIDARITY trial results.</w:t>
      </w:r>
      <w:r>
        <w:rPr>
          <w:szCs w:val="24"/>
        </w:rPr>
        <w:t xml:space="preserve"> MedRxiv, 2020.</w:t>
      </w:r>
      <w:bookmarkEnd w:id="42"/>
    </w:p>
    <w:p w14:paraId="2BA535A8" w14:textId="77777777" w:rsidR="008B751B" w:rsidRDefault="008B751B" w:rsidP="008B751B">
      <w:pPr>
        <w:spacing w:after="0" w:line="240" w:lineRule="auto"/>
        <w:ind w:left="720" w:hanging="720"/>
        <w:rPr>
          <w:szCs w:val="24"/>
        </w:rPr>
      </w:pPr>
      <w:bookmarkStart w:id="43" w:name="_ENREF_41"/>
      <w:r>
        <w:rPr>
          <w:szCs w:val="24"/>
        </w:rPr>
        <w:t>41.</w:t>
      </w:r>
      <w:r>
        <w:rPr>
          <w:szCs w:val="24"/>
        </w:rPr>
        <w:tab/>
        <w:t xml:space="preserve">Kodali, P.B., et al., </w:t>
      </w:r>
      <w:r w:rsidRPr="006D5578">
        <w:rPr>
          <w:i/>
          <w:szCs w:val="24"/>
        </w:rPr>
        <w:t>How Indians responded to the Arogya Setu app?</w:t>
      </w:r>
      <w:r>
        <w:rPr>
          <w:szCs w:val="24"/>
        </w:rPr>
        <w:t xml:space="preserve"> Indian Journal of Public Health, 2020. </w:t>
      </w:r>
      <w:r w:rsidRPr="006D5578">
        <w:rPr>
          <w:b/>
          <w:szCs w:val="24"/>
        </w:rPr>
        <w:t>64</w:t>
      </w:r>
      <w:r>
        <w:rPr>
          <w:szCs w:val="24"/>
        </w:rPr>
        <w:t>(6): p. 228.</w:t>
      </w:r>
      <w:bookmarkEnd w:id="43"/>
    </w:p>
    <w:p w14:paraId="7C083270" w14:textId="77777777" w:rsidR="008B751B" w:rsidRDefault="008B751B" w:rsidP="008B751B">
      <w:pPr>
        <w:spacing w:after="0" w:line="240" w:lineRule="auto"/>
        <w:ind w:left="720" w:hanging="720"/>
        <w:rPr>
          <w:szCs w:val="24"/>
        </w:rPr>
      </w:pPr>
      <w:bookmarkStart w:id="44" w:name="_ENREF_42"/>
      <w:r>
        <w:rPr>
          <w:szCs w:val="24"/>
        </w:rPr>
        <w:t>42.</w:t>
      </w:r>
      <w:r>
        <w:rPr>
          <w:szCs w:val="24"/>
        </w:rPr>
        <w:tab/>
        <w:t xml:space="preserve">Azhar, M., et al., </w:t>
      </w:r>
      <w:r w:rsidRPr="006D5578">
        <w:rPr>
          <w:i/>
          <w:szCs w:val="24"/>
        </w:rPr>
        <w:t>Rapid, field-deployable nucleobase detection and identification using FnCas9.</w:t>
      </w:r>
      <w:r>
        <w:rPr>
          <w:szCs w:val="24"/>
        </w:rPr>
        <w:t xml:space="preserve"> bioRxiv, 2020.</w:t>
      </w:r>
      <w:bookmarkEnd w:id="44"/>
    </w:p>
    <w:p w14:paraId="6183ECAB" w14:textId="77777777" w:rsidR="008B751B" w:rsidRDefault="008B751B" w:rsidP="008B751B">
      <w:pPr>
        <w:spacing w:after="0" w:line="240" w:lineRule="auto"/>
        <w:ind w:left="720" w:hanging="720"/>
        <w:rPr>
          <w:szCs w:val="24"/>
        </w:rPr>
      </w:pPr>
      <w:bookmarkStart w:id="45" w:name="_ENREF_43"/>
      <w:r>
        <w:rPr>
          <w:szCs w:val="24"/>
        </w:rPr>
        <w:t>43.</w:t>
      </w:r>
      <w:r>
        <w:rPr>
          <w:szCs w:val="24"/>
        </w:rPr>
        <w:tab/>
        <w:t xml:space="preserve">Dutta, K., et al., </w:t>
      </w:r>
      <w:r w:rsidRPr="006D5578">
        <w:rPr>
          <w:i/>
          <w:szCs w:val="24"/>
        </w:rPr>
        <w:t>Beclabuvir can inhibit the RNA-dependent RNA polymerase of newly emerged novel coronavirus (SARS-CoV-2).</w:t>
      </w:r>
      <w:r>
        <w:rPr>
          <w:szCs w:val="24"/>
        </w:rPr>
        <w:t xml:space="preserve"> 2020.</w:t>
      </w:r>
      <w:bookmarkEnd w:id="45"/>
    </w:p>
    <w:p w14:paraId="1D1B513D" w14:textId="77777777" w:rsidR="008B751B" w:rsidRDefault="008B751B" w:rsidP="008B751B">
      <w:pPr>
        <w:spacing w:after="0" w:line="240" w:lineRule="auto"/>
        <w:ind w:left="720" w:hanging="720"/>
        <w:rPr>
          <w:szCs w:val="24"/>
        </w:rPr>
      </w:pPr>
      <w:bookmarkStart w:id="46" w:name="_ENREF_44"/>
      <w:r>
        <w:rPr>
          <w:szCs w:val="24"/>
        </w:rPr>
        <w:t>44.</w:t>
      </w:r>
      <w:r>
        <w:rPr>
          <w:szCs w:val="24"/>
        </w:rPr>
        <w:tab/>
        <w:t xml:space="preserve">Mahase, E., </w:t>
      </w:r>
      <w:r w:rsidRPr="006D5578">
        <w:rPr>
          <w:i/>
          <w:szCs w:val="24"/>
        </w:rPr>
        <w:t>Covid-19: Moderna vaccine is nearly 95% effective, trial involving high risk and elderly people shows.</w:t>
      </w:r>
      <w:r>
        <w:rPr>
          <w:szCs w:val="24"/>
        </w:rPr>
        <w:t xml:space="preserve"> BMJ: British Medical Journal (Online), 2020. </w:t>
      </w:r>
      <w:r w:rsidRPr="006D5578">
        <w:rPr>
          <w:b/>
          <w:szCs w:val="24"/>
        </w:rPr>
        <w:t>371</w:t>
      </w:r>
      <w:r>
        <w:rPr>
          <w:szCs w:val="24"/>
        </w:rPr>
        <w:t>.</w:t>
      </w:r>
      <w:bookmarkEnd w:id="46"/>
    </w:p>
    <w:p w14:paraId="3C0840F7" w14:textId="77777777" w:rsidR="008B751B" w:rsidRDefault="008B751B" w:rsidP="008B751B">
      <w:pPr>
        <w:spacing w:after="0" w:line="240" w:lineRule="auto"/>
        <w:ind w:left="720" w:hanging="720"/>
        <w:rPr>
          <w:szCs w:val="24"/>
        </w:rPr>
      </w:pPr>
      <w:bookmarkStart w:id="47" w:name="_ENREF_45"/>
      <w:r>
        <w:rPr>
          <w:szCs w:val="24"/>
        </w:rPr>
        <w:t>45.</w:t>
      </w:r>
      <w:r>
        <w:rPr>
          <w:szCs w:val="24"/>
        </w:rPr>
        <w:tab/>
        <w:t xml:space="preserve">Graham, S.P., et al., </w:t>
      </w:r>
      <w:r w:rsidRPr="006D5578">
        <w:rPr>
          <w:i/>
          <w:szCs w:val="24"/>
        </w:rPr>
        <w:t>Evaluation of the immunogenicity of prime-boost vaccination with the replication-deficient viral vectored COVID-19 vaccine candidate ChAdOx1 nCoV-19.</w:t>
      </w:r>
      <w:r>
        <w:rPr>
          <w:szCs w:val="24"/>
        </w:rPr>
        <w:t xml:space="preserve"> NPJ vaccines, 2020. </w:t>
      </w:r>
      <w:r w:rsidRPr="006D5578">
        <w:rPr>
          <w:b/>
          <w:szCs w:val="24"/>
        </w:rPr>
        <w:t>5</w:t>
      </w:r>
      <w:r>
        <w:rPr>
          <w:szCs w:val="24"/>
        </w:rPr>
        <w:t>(1): p. 1-6.</w:t>
      </w:r>
      <w:bookmarkEnd w:id="47"/>
    </w:p>
    <w:p w14:paraId="23B1193A" w14:textId="77777777" w:rsidR="008B751B" w:rsidRDefault="008B751B" w:rsidP="008B751B">
      <w:pPr>
        <w:spacing w:after="0" w:line="240" w:lineRule="auto"/>
        <w:ind w:left="720" w:hanging="720"/>
        <w:rPr>
          <w:szCs w:val="24"/>
        </w:rPr>
      </w:pPr>
      <w:bookmarkStart w:id="48" w:name="_ENREF_46"/>
      <w:r>
        <w:rPr>
          <w:szCs w:val="24"/>
        </w:rPr>
        <w:t>46.</w:t>
      </w:r>
      <w:r>
        <w:rPr>
          <w:szCs w:val="24"/>
        </w:rPr>
        <w:tab/>
        <w:t xml:space="preserve">Amanat, F. and F. Krammer, </w:t>
      </w:r>
      <w:r w:rsidRPr="006D5578">
        <w:rPr>
          <w:i/>
          <w:szCs w:val="24"/>
        </w:rPr>
        <w:t>SARS-CoV-2 vaccines: status report.</w:t>
      </w:r>
      <w:r>
        <w:rPr>
          <w:szCs w:val="24"/>
        </w:rPr>
        <w:t xml:space="preserve"> Immunity, 2020.</w:t>
      </w:r>
      <w:bookmarkEnd w:id="48"/>
    </w:p>
    <w:p w14:paraId="5C218336" w14:textId="77777777" w:rsidR="008B751B" w:rsidRDefault="008B751B" w:rsidP="008B751B">
      <w:pPr>
        <w:spacing w:after="0" w:line="240" w:lineRule="auto"/>
        <w:ind w:left="720" w:hanging="720"/>
        <w:rPr>
          <w:szCs w:val="24"/>
        </w:rPr>
      </w:pPr>
      <w:bookmarkStart w:id="49" w:name="_ENREF_47"/>
      <w:r>
        <w:rPr>
          <w:szCs w:val="24"/>
        </w:rPr>
        <w:t>47.</w:t>
      </w:r>
      <w:r>
        <w:rPr>
          <w:szCs w:val="24"/>
        </w:rPr>
        <w:tab/>
        <w:t xml:space="preserve">Boas, L.C.P.V., et al., </w:t>
      </w:r>
      <w:r w:rsidRPr="006D5578">
        <w:rPr>
          <w:i/>
          <w:szCs w:val="24"/>
        </w:rPr>
        <w:t>Antiviral peptides as promising therapeutic drugs.</w:t>
      </w:r>
      <w:r>
        <w:rPr>
          <w:szCs w:val="24"/>
        </w:rPr>
        <w:t xml:space="preserve"> Cellular and Molecular Life Sciences, 2019. </w:t>
      </w:r>
      <w:r w:rsidRPr="006D5578">
        <w:rPr>
          <w:b/>
          <w:szCs w:val="24"/>
        </w:rPr>
        <w:t>76</w:t>
      </w:r>
      <w:r>
        <w:rPr>
          <w:szCs w:val="24"/>
        </w:rPr>
        <w:t>(18): p. 3525-3542.</w:t>
      </w:r>
      <w:bookmarkEnd w:id="49"/>
    </w:p>
    <w:p w14:paraId="0CB390DA" w14:textId="77777777" w:rsidR="008B751B" w:rsidRDefault="008B751B" w:rsidP="008B751B">
      <w:pPr>
        <w:spacing w:after="0" w:line="240" w:lineRule="auto"/>
        <w:ind w:left="720" w:hanging="720"/>
        <w:rPr>
          <w:szCs w:val="24"/>
        </w:rPr>
      </w:pPr>
      <w:bookmarkStart w:id="50" w:name="_ENREF_48"/>
      <w:r>
        <w:rPr>
          <w:szCs w:val="24"/>
        </w:rPr>
        <w:t>48.</w:t>
      </w:r>
      <w:r>
        <w:rPr>
          <w:szCs w:val="24"/>
        </w:rPr>
        <w:tab/>
        <w:t xml:space="preserve">Mahendran, A.S.K., et al., </w:t>
      </w:r>
      <w:r w:rsidRPr="006D5578">
        <w:rPr>
          <w:i/>
          <w:szCs w:val="24"/>
        </w:rPr>
        <w:t>The Potential of Antiviral Peptides as COVID-19 Therapeutics.</w:t>
      </w:r>
      <w:r>
        <w:rPr>
          <w:szCs w:val="24"/>
        </w:rPr>
        <w:t xml:space="preserve"> Frontiers in pharmacology, 2020. </w:t>
      </w:r>
      <w:r w:rsidRPr="006D5578">
        <w:rPr>
          <w:b/>
          <w:szCs w:val="24"/>
        </w:rPr>
        <w:t>11</w:t>
      </w:r>
      <w:r>
        <w:rPr>
          <w:szCs w:val="24"/>
        </w:rPr>
        <w:t>: p. 1475.</w:t>
      </w:r>
      <w:bookmarkEnd w:id="50"/>
    </w:p>
    <w:p w14:paraId="5FC8B3B1" w14:textId="77777777" w:rsidR="008B751B" w:rsidRDefault="008B751B" w:rsidP="008B751B">
      <w:pPr>
        <w:spacing w:after="0" w:line="240" w:lineRule="auto"/>
        <w:ind w:left="720" w:hanging="720"/>
        <w:rPr>
          <w:szCs w:val="24"/>
        </w:rPr>
      </w:pPr>
      <w:bookmarkStart w:id="51" w:name="_ENREF_49"/>
      <w:r>
        <w:rPr>
          <w:szCs w:val="24"/>
        </w:rPr>
        <w:lastRenderedPageBreak/>
        <w:t>49.</w:t>
      </w:r>
      <w:r>
        <w:rPr>
          <w:szCs w:val="24"/>
        </w:rPr>
        <w:tab/>
        <w:t xml:space="preserve">Pant, S., et al., </w:t>
      </w:r>
      <w:r w:rsidRPr="006D5578">
        <w:rPr>
          <w:i/>
          <w:szCs w:val="24"/>
        </w:rPr>
        <w:t>Peptide-like and small-molecule inhibitors against Covid-19.</w:t>
      </w:r>
      <w:r>
        <w:rPr>
          <w:szCs w:val="24"/>
        </w:rPr>
        <w:t xml:space="preserve"> Journal of Biomolecular Structure and Dynamics, 2020(just-accepted): p. 1-15.</w:t>
      </w:r>
      <w:bookmarkEnd w:id="51"/>
    </w:p>
    <w:p w14:paraId="31A2657E" w14:textId="77777777" w:rsidR="008B751B" w:rsidRDefault="008B751B" w:rsidP="008B751B">
      <w:pPr>
        <w:spacing w:after="0" w:line="240" w:lineRule="auto"/>
        <w:ind w:left="720" w:hanging="720"/>
        <w:rPr>
          <w:szCs w:val="24"/>
        </w:rPr>
      </w:pPr>
      <w:bookmarkStart w:id="52" w:name="_ENREF_50"/>
      <w:r>
        <w:rPr>
          <w:szCs w:val="24"/>
        </w:rPr>
        <w:t>50.</w:t>
      </w:r>
      <w:r>
        <w:rPr>
          <w:szCs w:val="24"/>
        </w:rPr>
        <w:tab/>
        <w:t xml:space="preserve">Du, L., et al., </w:t>
      </w:r>
      <w:r w:rsidRPr="006D5578">
        <w:rPr>
          <w:i/>
          <w:szCs w:val="24"/>
        </w:rPr>
        <w:t>MERS-CoV spike protein: a key target for antivirals.</w:t>
      </w:r>
      <w:r>
        <w:rPr>
          <w:szCs w:val="24"/>
        </w:rPr>
        <w:t xml:space="preserve"> Expert opinion on therapeutic targets, 2017. </w:t>
      </w:r>
      <w:r w:rsidRPr="006D5578">
        <w:rPr>
          <w:b/>
          <w:szCs w:val="24"/>
        </w:rPr>
        <w:t>21</w:t>
      </w:r>
      <w:r>
        <w:rPr>
          <w:szCs w:val="24"/>
        </w:rPr>
        <w:t>(2): p. 131-143.</w:t>
      </w:r>
      <w:bookmarkEnd w:id="52"/>
    </w:p>
    <w:p w14:paraId="3E1C6498" w14:textId="77777777" w:rsidR="008B751B" w:rsidRDefault="008B751B" w:rsidP="008B751B">
      <w:pPr>
        <w:spacing w:after="0" w:line="240" w:lineRule="auto"/>
        <w:ind w:left="720" w:hanging="720"/>
        <w:rPr>
          <w:szCs w:val="24"/>
        </w:rPr>
      </w:pPr>
      <w:bookmarkStart w:id="53" w:name="_ENREF_51"/>
      <w:r>
        <w:rPr>
          <w:szCs w:val="24"/>
        </w:rPr>
        <w:t>51.</w:t>
      </w:r>
      <w:r>
        <w:rPr>
          <w:szCs w:val="24"/>
        </w:rPr>
        <w:tab/>
        <w:t xml:space="preserve">Zhao, H., et al., </w:t>
      </w:r>
      <w:r w:rsidRPr="006D5578">
        <w:rPr>
          <w:i/>
          <w:szCs w:val="24"/>
        </w:rPr>
        <w:t>A novel peptide with potent and broad-spectrum antiviral activities against multiple respiratory viruses.</w:t>
      </w:r>
      <w:r>
        <w:rPr>
          <w:szCs w:val="24"/>
        </w:rPr>
        <w:t xml:space="preserve"> Scientific reports, 2016. </w:t>
      </w:r>
      <w:r w:rsidRPr="006D5578">
        <w:rPr>
          <w:b/>
          <w:szCs w:val="24"/>
        </w:rPr>
        <w:t>6</w:t>
      </w:r>
      <w:r>
        <w:rPr>
          <w:szCs w:val="24"/>
        </w:rPr>
        <w:t>: p. 22008.</w:t>
      </w:r>
      <w:bookmarkEnd w:id="53"/>
    </w:p>
    <w:p w14:paraId="624C028B" w14:textId="77777777" w:rsidR="008B751B" w:rsidRDefault="008B751B" w:rsidP="008B751B">
      <w:pPr>
        <w:spacing w:after="0" w:line="240" w:lineRule="auto"/>
        <w:ind w:left="720" w:hanging="720"/>
        <w:rPr>
          <w:szCs w:val="24"/>
        </w:rPr>
      </w:pPr>
      <w:bookmarkStart w:id="54" w:name="_ENREF_52"/>
      <w:r>
        <w:rPr>
          <w:szCs w:val="24"/>
        </w:rPr>
        <w:t>52.</w:t>
      </w:r>
      <w:r>
        <w:rPr>
          <w:szCs w:val="24"/>
        </w:rPr>
        <w:tab/>
        <w:t xml:space="preserve">Tourdot, S., et al., </w:t>
      </w:r>
      <w:r w:rsidRPr="006D5578">
        <w:rPr>
          <w:i/>
          <w:szCs w:val="24"/>
        </w:rPr>
        <w:t>Chimeric peptides: a new approach to enhancing the immunogenicity of peptides with low MHC class I affinity: application in antiviral vaccination.</w:t>
      </w:r>
      <w:r>
        <w:rPr>
          <w:szCs w:val="24"/>
        </w:rPr>
        <w:t xml:space="preserve"> The Journal of Immunology, 1997. </w:t>
      </w:r>
      <w:r w:rsidRPr="006D5578">
        <w:rPr>
          <w:b/>
          <w:szCs w:val="24"/>
        </w:rPr>
        <w:t>159</w:t>
      </w:r>
      <w:r>
        <w:rPr>
          <w:szCs w:val="24"/>
        </w:rPr>
        <w:t>(5): p. 2391-2398.</w:t>
      </w:r>
      <w:bookmarkEnd w:id="54"/>
    </w:p>
    <w:p w14:paraId="190A7AD8" w14:textId="77777777" w:rsidR="008B751B" w:rsidRDefault="008B751B" w:rsidP="008B751B">
      <w:pPr>
        <w:spacing w:after="0" w:line="240" w:lineRule="auto"/>
        <w:ind w:left="720" w:hanging="720"/>
        <w:rPr>
          <w:szCs w:val="24"/>
        </w:rPr>
      </w:pPr>
      <w:bookmarkStart w:id="55" w:name="_ENREF_53"/>
      <w:r>
        <w:rPr>
          <w:szCs w:val="24"/>
        </w:rPr>
        <w:t>53.</w:t>
      </w:r>
      <w:r>
        <w:rPr>
          <w:szCs w:val="24"/>
        </w:rPr>
        <w:tab/>
        <w:t xml:space="preserve">Mahlapuu, M., C. Björn, and J. Ekblom, </w:t>
      </w:r>
      <w:r w:rsidRPr="006D5578">
        <w:rPr>
          <w:i/>
          <w:szCs w:val="24"/>
        </w:rPr>
        <w:t>Antimicrobial peptides as therapeutic agents: opportunities and challenges.</w:t>
      </w:r>
      <w:r>
        <w:rPr>
          <w:szCs w:val="24"/>
        </w:rPr>
        <w:t xml:space="preserve"> Critical reviews in biotechnology, 2020. </w:t>
      </w:r>
      <w:r w:rsidRPr="006D5578">
        <w:rPr>
          <w:b/>
          <w:szCs w:val="24"/>
        </w:rPr>
        <w:t>40</w:t>
      </w:r>
      <w:r>
        <w:rPr>
          <w:szCs w:val="24"/>
        </w:rPr>
        <w:t>(7): p. 978-992.</w:t>
      </w:r>
      <w:bookmarkEnd w:id="55"/>
    </w:p>
    <w:p w14:paraId="42177CF9" w14:textId="77777777" w:rsidR="008B751B" w:rsidRDefault="008B751B" w:rsidP="008B751B">
      <w:pPr>
        <w:spacing w:after="0" w:line="240" w:lineRule="auto"/>
        <w:ind w:left="720" w:hanging="720"/>
        <w:rPr>
          <w:szCs w:val="24"/>
        </w:rPr>
      </w:pPr>
      <w:bookmarkStart w:id="56" w:name="_ENREF_54"/>
      <w:r>
        <w:rPr>
          <w:szCs w:val="24"/>
        </w:rPr>
        <w:t>54.</w:t>
      </w:r>
      <w:r>
        <w:rPr>
          <w:szCs w:val="24"/>
        </w:rPr>
        <w:tab/>
        <w:t xml:space="preserve">Manavalan, B., et al., </w:t>
      </w:r>
      <w:r w:rsidRPr="006D5578">
        <w:rPr>
          <w:i/>
          <w:szCs w:val="24"/>
        </w:rPr>
        <w:t>AIPpred: sequence-based prediction of anti-inflammatory peptides using random forest.</w:t>
      </w:r>
      <w:r>
        <w:rPr>
          <w:szCs w:val="24"/>
        </w:rPr>
        <w:t xml:space="preserve"> Frontiers in pharmacology, 2018. </w:t>
      </w:r>
      <w:r w:rsidRPr="006D5578">
        <w:rPr>
          <w:b/>
          <w:szCs w:val="24"/>
        </w:rPr>
        <w:t>9</w:t>
      </w:r>
      <w:r>
        <w:rPr>
          <w:szCs w:val="24"/>
        </w:rPr>
        <w:t>: p. 276.</w:t>
      </w:r>
      <w:bookmarkEnd w:id="56"/>
    </w:p>
    <w:p w14:paraId="1A222165" w14:textId="77777777" w:rsidR="008B751B" w:rsidRDefault="008B751B" w:rsidP="008B751B">
      <w:pPr>
        <w:spacing w:after="0" w:line="240" w:lineRule="auto"/>
        <w:ind w:left="720" w:hanging="720"/>
        <w:rPr>
          <w:szCs w:val="24"/>
        </w:rPr>
      </w:pPr>
      <w:bookmarkStart w:id="57" w:name="_ENREF_55"/>
      <w:r>
        <w:rPr>
          <w:szCs w:val="24"/>
        </w:rPr>
        <w:t>55.</w:t>
      </w:r>
      <w:r>
        <w:rPr>
          <w:szCs w:val="24"/>
        </w:rPr>
        <w:tab/>
        <w:t xml:space="preserve">Karoyan, P., et al., </w:t>
      </w:r>
      <w:r w:rsidRPr="006D5578">
        <w:rPr>
          <w:i/>
          <w:szCs w:val="24"/>
        </w:rPr>
        <w:t>hACE2 peptide mimics block SARS-CoV-2 Pulmonary Cells Infection.</w:t>
      </w:r>
      <w:r>
        <w:rPr>
          <w:szCs w:val="24"/>
        </w:rPr>
        <w:t xml:space="preserve"> bioRxiv, 2020.</w:t>
      </w:r>
      <w:bookmarkEnd w:id="57"/>
    </w:p>
    <w:p w14:paraId="2A67D75D" w14:textId="77777777" w:rsidR="008B751B" w:rsidRDefault="008B751B" w:rsidP="008B751B">
      <w:pPr>
        <w:spacing w:after="0" w:line="240" w:lineRule="auto"/>
        <w:ind w:left="720" w:hanging="720"/>
        <w:rPr>
          <w:szCs w:val="24"/>
        </w:rPr>
      </w:pPr>
      <w:bookmarkStart w:id="58" w:name="_ENREF_56"/>
      <w:r>
        <w:rPr>
          <w:szCs w:val="24"/>
        </w:rPr>
        <w:t>56.</w:t>
      </w:r>
      <w:r>
        <w:rPr>
          <w:szCs w:val="24"/>
        </w:rPr>
        <w:tab/>
        <w:t xml:space="preserve">Beddingfield, B.J., et al., </w:t>
      </w:r>
      <w:r w:rsidRPr="006D5578">
        <w:rPr>
          <w:i/>
          <w:szCs w:val="24"/>
        </w:rPr>
        <w:t>The integrin binding peptide, ATN-161, as a novel therapy for SARS-CoV-2 infection.</w:t>
      </w:r>
      <w:r>
        <w:rPr>
          <w:szCs w:val="24"/>
        </w:rPr>
        <w:t xml:space="preserve"> JACC: Basic to Translational Science, 2020.</w:t>
      </w:r>
      <w:bookmarkEnd w:id="58"/>
    </w:p>
    <w:p w14:paraId="6CBDE30C" w14:textId="77777777" w:rsidR="008B751B" w:rsidRDefault="008B751B" w:rsidP="008B751B">
      <w:pPr>
        <w:spacing w:after="0" w:line="240" w:lineRule="auto"/>
        <w:ind w:left="720" w:hanging="720"/>
        <w:rPr>
          <w:szCs w:val="24"/>
        </w:rPr>
      </w:pPr>
      <w:bookmarkStart w:id="59" w:name="_ENREF_57"/>
      <w:r>
        <w:rPr>
          <w:szCs w:val="24"/>
        </w:rPr>
        <w:t>57.</w:t>
      </w:r>
      <w:r>
        <w:rPr>
          <w:szCs w:val="24"/>
        </w:rPr>
        <w:tab/>
        <w:t xml:space="preserve">Bestle, D., et al., </w:t>
      </w:r>
      <w:r w:rsidRPr="006D5578">
        <w:rPr>
          <w:i/>
          <w:szCs w:val="24"/>
        </w:rPr>
        <w:t>TMPRSS2 and furin are both essential for proteolytic activation of SARS-CoV-2 in human airway cells.</w:t>
      </w:r>
      <w:r>
        <w:rPr>
          <w:szCs w:val="24"/>
        </w:rPr>
        <w:t xml:space="preserve"> Life science alliance, 2020. </w:t>
      </w:r>
      <w:r w:rsidRPr="006D5578">
        <w:rPr>
          <w:b/>
          <w:szCs w:val="24"/>
        </w:rPr>
        <w:t>3</w:t>
      </w:r>
      <w:r>
        <w:rPr>
          <w:szCs w:val="24"/>
        </w:rPr>
        <w:t>(9).</w:t>
      </w:r>
      <w:bookmarkEnd w:id="59"/>
    </w:p>
    <w:p w14:paraId="4BBC4283" w14:textId="77777777" w:rsidR="008B751B" w:rsidRDefault="008B751B" w:rsidP="008B751B">
      <w:pPr>
        <w:spacing w:after="0" w:line="240" w:lineRule="auto"/>
        <w:ind w:left="720" w:hanging="720"/>
        <w:rPr>
          <w:szCs w:val="24"/>
        </w:rPr>
      </w:pPr>
      <w:bookmarkStart w:id="60" w:name="_ENREF_58"/>
      <w:r>
        <w:rPr>
          <w:szCs w:val="24"/>
        </w:rPr>
        <w:t>58.</w:t>
      </w:r>
      <w:r>
        <w:rPr>
          <w:szCs w:val="24"/>
        </w:rPr>
        <w:tab/>
        <w:t xml:space="preserve">Zhang, G., et al., </w:t>
      </w:r>
      <w:r w:rsidRPr="006D5578">
        <w:rPr>
          <w:i/>
          <w:szCs w:val="24"/>
        </w:rPr>
        <w:t>Investigation of ACE2 N-terminal fragments binding to SARS-CoV-2 Spike RBD.</w:t>
      </w:r>
      <w:r>
        <w:rPr>
          <w:szCs w:val="24"/>
        </w:rPr>
        <w:t xml:space="preserve"> bioRxiv, 2020.</w:t>
      </w:r>
      <w:bookmarkEnd w:id="60"/>
    </w:p>
    <w:p w14:paraId="10507EE0" w14:textId="77777777" w:rsidR="008B751B" w:rsidRDefault="008B751B" w:rsidP="008B751B">
      <w:pPr>
        <w:spacing w:after="0" w:line="240" w:lineRule="auto"/>
        <w:ind w:left="720" w:hanging="720"/>
        <w:rPr>
          <w:szCs w:val="24"/>
        </w:rPr>
      </w:pPr>
      <w:bookmarkStart w:id="61" w:name="_ENREF_59"/>
      <w:r>
        <w:rPr>
          <w:szCs w:val="24"/>
        </w:rPr>
        <w:t>59.</w:t>
      </w:r>
      <w:r>
        <w:rPr>
          <w:szCs w:val="24"/>
        </w:rPr>
        <w:tab/>
        <w:t xml:space="preserve">Zhao, H., et al., </w:t>
      </w:r>
      <w:r w:rsidRPr="006D5578">
        <w:rPr>
          <w:i/>
          <w:szCs w:val="24"/>
        </w:rPr>
        <w:t>A broad-spectrum virus-and host-targeting peptide against respiratory viruses including influenza virus and SARS-CoV-2.</w:t>
      </w:r>
      <w:r>
        <w:rPr>
          <w:szCs w:val="24"/>
        </w:rPr>
        <w:t xml:space="preserve"> Nature communications, 2020. </w:t>
      </w:r>
      <w:r w:rsidRPr="006D5578">
        <w:rPr>
          <w:b/>
          <w:szCs w:val="24"/>
        </w:rPr>
        <w:t>11</w:t>
      </w:r>
      <w:r>
        <w:rPr>
          <w:szCs w:val="24"/>
        </w:rPr>
        <w:t>(1): p. 1-10.</w:t>
      </w:r>
      <w:bookmarkEnd w:id="61"/>
    </w:p>
    <w:p w14:paraId="7B1FFE56" w14:textId="77777777" w:rsidR="008B751B" w:rsidRDefault="008B751B" w:rsidP="008B751B">
      <w:pPr>
        <w:spacing w:after="0" w:line="240" w:lineRule="auto"/>
        <w:ind w:left="720" w:hanging="720"/>
        <w:rPr>
          <w:szCs w:val="24"/>
        </w:rPr>
      </w:pPr>
      <w:bookmarkStart w:id="62" w:name="_ENREF_60"/>
      <w:r>
        <w:rPr>
          <w:szCs w:val="24"/>
        </w:rPr>
        <w:t>60.</w:t>
      </w:r>
      <w:r>
        <w:rPr>
          <w:szCs w:val="24"/>
        </w:rPr>
        <w:tab/>
        <w:t xml:space="preserve">Hoffmann, M., H. Kleine-Weber, and S. Pöhlmann, </w:t>
      </w:r>
      <w:r w:rsidRPr="006D5578">
        <w:rPr>
          <w:i/>
          <w:szCs w:val="24"/>
        </w:rPr>
        <w:t>A multibasic cleavage site in the spike protein of SARS-CoV-2 is essential for infection of human lung cells.</w:t>
      </w:r>
      <w:r>
        <w:rPr>
          <w:szCs w:val="24"/>
        </w:rPr>
        <w:t xml:space="preserve"> Molecular Cell, 2020.</w:t>
      </w:r>
      <w:bookmarkEnd w:id="62"/>
    </w:p>
    <w:p w14:paraId="156D1478" w14:textId="77777777" w:rsidR="008B751B" w:rsidRDefault="008B751B" w:rsidP="008B751B">
      <w:pPr>
        <w:spacing w:after="0" w:line="240" w:lineRule="auto"/>
        <w:ind w:left="720" w:hanging="720"/>
        <w:rPr>
          <w:szCs w:val="24"/>
        </w:rPr>
      </w:pPr>
      <w:bookmarkStart w:id="63" w:name="_ENREF_61"/>
      <w:r>
        <w:rPr>
          <w:szCs w:val="24"/>
        </w:rPr>
        <w:t>61.</w:t>
      </w:r>
      <w:r>
        <w:rPr>
          <w:szCs w:val="24"/>
        </w:rPr>
        <w:tab/>
        <w:t xml:space="preserve">Xia, S., et al., </w:t>
      </w:r>
      <w:r w:rsidRPr="006D5578">
        <w:rPr>
          <w:i/>
          <w:szCs w:val="24"/>
        </w:rPr>
        <w:t>A pan-coronavirus fusion inhibitor targeting the HR1 domain of human coronavirus spike.</w:t>
      </w:r>
      <w:r>
        <w:rPr>
          <w:szCs w:val="24"/>
        </w:rPr>
        <w:t xml:space="preserve"> Science advances, 2019. </w:t>
      </w:r>
      <w:r w:rsidRPr="006D5578">
        <w:rPr>
          <w:b/>
          <w:szCs w:val="24"/>
        </w:rPr>
        <w:t>5</w:t>
      </w:r>
      <w:r>
        <w:rPr>
          <w:szCs w:val="24"/>
        </w:rPr>
        <w:t>(4): p. eaav4580.</w:t>
      </w:r>
      <w:bookmarkEnd w:id="63"/>
    </w:p>
    <w:p w14:paraId="14B6F060" w14:textId="77777777" w:rsidR="008B751B" w:rsidRDefault="008B751B" w:rsidP="008B751B">
      <w:pPr>
        <w:spacing w:after="0" w:line="240" w:lineRule="auto"/>
        <w:ind w:left="720" w:hanging="720"/>
        <w:rPr>
          <w:szCs w:val="24"/>
        </w:rPr>
      </w:pPr>
      <w:bookmarkStart w:id="64" w:name="_ENREF_62"/>
      <w:r>
        <w:rPr>
          <w:szCs w:val="24"/>
        </w:rPr>
        <w:t>62.</w:t>
      </w:r>
      <w:r>
        <w:rPr>
          <w:szCs w:val="24"/>
        </w:rPr>
        <w:tab/>
        <w:t xml:space="preserve">Xia, S., et al., </w:t>
      </w:r>
      <w:r w:rsidRPr="006D5578">
        <w:rPr>
          <w:i/>
          <w:szCs w:val="24"/>
        </w:rPr>
        <w:t>Inhibition of SARS-CoV-2 (previously 2019-nCoV) infection by a highly potent pan-coronavirus fusion inhibitor targeting its spike protein that harbors a high capacity to mediate membrane fusion.</w:t>
      </w:r>
      <w:r>
        <w:rPr>
          <w:szCs w:val="24"/>
        </w:rPr>
        <w:t xml:space="preserve"> Cell research, 2020. </w:t>
      </w:r>
      <w:r w:rsidRPr="006D5578">
        <w:rPr>
          <w:b/>
          <w:szCs w:val="24"/>
        </w:rPr>
        <w:t>30</w:t>
      </w:r>
      <w:r>
        <w:rPr>
          <w:szCs w:val="24"/>
        </w:rPr>
        <w:t>(4): p. 343-355.</w:t>
      </w:r>
      <w:bookmarkEnd w:id="64"/>
    </w:p>
    <w:p w14:paraId="49304FDE" w14:textId="77777777" w:rsidR="008B751B" w:rsidRDefault="008B751B" w:rsidP="008B751B">
      <w:pPr>
        <w:spacing w:after="0" w:line="240" w:lineRule="auto"/>
        <w:ind w:left="720" w:hanging="720"/>
        <w:rPr>
          <w:szCs w:val="24"/>
        </w:rPr>
      </w:pPr>
      <w:bookmarkStart w:id="65" w:name="_ENREF_63"/>
      <w:r>
        <w:rPr>
          <w:szCs w:val="24"/>
        </w:rPr>
        <w:t>63.</w:t>
      </w:r>
      <w:r>
        <w:rPr>
          <w:szCs w:val="24"/>
        </w:rPr>
        <w:tab/>
        <w:t xml:space="preserve">Zhu, Y., et al., </w:t>
      </w:r>
      <w:r w:rsidRPr="006D5578">
        <w:rPr>
          <w:i/>
          <w:szCs w:val="24"/>
        </w:rPr>
        <w:t>Design of potent membrane fusion inhibitors against SARS-CoV-2, an emerging coronavirus with high fusogenic activity.</w:t>
      </w:r>
      <w:r>
        <w:rPr>
          <w:szCs w:val="24"/>
        </w:rPr>
        <w:t xml:space="preserve"> Journal of Virology, 2020.</w:t>
      </w:r>
      <w:bookmarkEnd w:id="65"/>
    </w:p>
    <w:p w14:paraId="5D74CBF1" w14:textId="77777777" w:rsidR="008B751B" w:rsidRDefault="008B751B" w:rsidP="008B751B">
      <w:pPr>
        <w:spacing w:after="0" w:line="240" w:lineRule="auto"/>
        <w:ind w:left="720" w:hanging="720"/>
        <w:rPr>
          <w:szCs w:val="24"/>
        </w:rPr>
      </w:pPr>
      <w:bookmarkStart w:id="66" w:name="_ENREF_64"/>
      <w:r>
        <w:rPr>
          <w:szCs w:val="24"/>
        </w:rPr>
        <w:t>64.</w:t>
      </w:r>
      <w:r>
        <w:rPr>
          <w:szCs w:val="24"/>
        </w:rPr>
        <w:tab/>
        <w:t xml:space="preserve">Ling, R., et al., </w:t>
      </w:r>
      <w:r w:rsidRPr="006D5578">
        <w:rPr>
          <w:i/>
          <w:szCs w:val="24"/>
        </w:rPr>
        <w:t>In silico design of antiviral peptides targeting the spike protein of SARS-CoV-2.</w:t>
      </w:r>
      <w:r>
        <w:rPr>
          <w:szCs w:val="24"/>
        </w:rPr>
        <w:t xml:space="preserve"> Peptides, 2020. </w:t>
      </w:r>
      <w:r w:rsidRPr="006D5578">
        <w:rPr>
          <w:b/>
          <w:szCs w:val="24"/>
        </w:rPr>
        <w:t>130</w:t>
      </w:r>
      <w:r>
        <w:rPr>
          <w:szCs w:val="24"/>
        </w:rPr>
        <w:t>: p. 170328.</w:t>
      </w:r>
      <w:bookmarkEnd w:id="66"/>
    </w:p>
    <w:p w14:paraId="64C0C3A6" w14:textId="77777777" w:rsidR="008B751B" w:rsidRDefault="008B751B" w:rsidP="008B751B">
      <w:pPr>
        <w:spacing w:after="0" w:line="240" w:lineRule="auto"/>
        <w:ind w:left="720" w:hanging="720"/>
        <w:rPr>
          <w:szCs w:val="24"/>
        </w:rPr>
      </w:pPr>
      <w:bookmarkStart w:id="67" w:name="_ENREF_65"/>
      <w:r>
        <w:rPr>
          <w:szCs w:val="24"/>
        </w:rPr>
        <w:t>65.</w:t>
      </w:r>
      <w:r>
        <w:rPr>
          <w:szCs w:val="24"/>
        </w:rPr>
        <w:tab/>
        <w:t xml:space="preserve">Forster, P., et al., </w:t>
      </w:r>
      <w:r w:rsidRPr="006D5578">
        <w:rPr>
          <w:i/>
          <w:szCs w:val="24"/>
        </w:rPr>
        <w:t>Phylogenetic network analysis of SARS-CoV-2 genomes.</w:t>
      </w:r>
      <w:r>
        <w:rPr>
          <w:szCs w:val="24"/>
        </w:rPr>
        <w:t xml:space="preserve"> Proceedings of the National Academy of Sciences, 2020. </w:t>
      </w:r>
      <w:r w:rsidRPr="006D5578">
        <w:rPr>
          <w:b/>
          <w:szCs w:val="24"/>
        </w:rPr>
        <w:t>117</w:t>
      </w:r>
      <w:r>
        <w:rPr>
          <w:szCs w:val="24"/>
        </w:rPr>
        <w:t>(17): p. 9241-9243.</w:t>
      </w:r>
      <w:bookmarkEnd w:id="67"/>
    </w:p>
    <w:p w14:paraId="521EB51C" w14:textId="77777777" w:rsidR="008B751B" w:rsidRDefault="008B751B" w:rsidP="008B751B">
      <w:pPr>
        <w:spacing w:after="0" w:line="240" w:lineRule="auto"/>
        <w:ind w:left="720" w:hanging="720"/>
        <w:rPr>
          <w:szCs w:val="24"/>
        </w:rPr>
      </w:pPr>
      <w:bookmarkStart w:id="68" w:name="_ENREF_66"/>
      <w:r>
        <w:rPr>
          <w:szCs w:val="24"/>
        </w:rPr>
        <w:t>66.</w:t>
      </w:r>
      <w:r>
        <w:rPr>
          <w:szCs w:val="24"/>
        </w:rPr>
        <w:tab/>
        <w:t xml:space="preserve">Steven, A.C., et al., </w:t>
      </w:r>
      <w:r w:rsidRPr="006D5578">
        <w:rPr>
          <w:i/>
          <w:szCs w:val="24"/>
        </w:rPr>
        <w:t>The making and breaking of symmetry in virus capsid assembly: glimpses of capsid biology from cryoelectron microscopy.</w:t>
      </w:r>
      <w:r>
        <w:rPr>
          <w:szCs w:val="24"/>
        </w:rPr>
        <w:t xml:space="preserve"> The FASEB journal, 1997. </w:t>
      </w:r>
      <w:r w:rsidRPr="006D5578">
        <w:rPr>
          <w:b/>
          <w:szCs w:val="24"/>
        </w:rPr>
        <w:t>11</w:t>
      </w:r>
      <w:r>
        <w:rPr>
          <w:szCs w:val="24"/>
        </w:rPr>
        <w:t>(10): p. 733-742.</w:t>
      </w:r>
      <w:bookmarkEnd w:id="68"/>
    </w:p>
    <w:p w14:paraId="7F16CC09" w14:textId="77777777" w:rsidR="008B751B" w:rsidRDefault="008B751B" w:rsidP="008B751B">
      <w:pPr>
        <w:spacing w:after="0" w:line="240" w:lineRule="auto"/>
        <w:ind w:left="720" w:hanging="720"/>
        <w:rPr>
          <w:szCs w:val="24"/>
        </w:rPr>
      </w:pPr>
      <w:bookmarkStart w:id="69" w:name="_ENREF_67"/>
      <w:r>
        <w:rPr>
          <w:szCs w:val="24"/>
        </w:rPr>
        <w:t>67.</w:t>
      </w:r>
      <w:r>
        <w:rPr>
          <w:szCs w:val="24"/>
        </w:rPr>
        <w:tab/>
        <w:t xml:space="preserve">Yan, R., et al., </w:t>
      </w:r>
      <w:r w:rsidRPr="006D5578">
        <w:rPr>
          <w:i/>
          <w:szCs w:val="24"/>
        </w:rPr>
        <w:t>Structural basis for the recognition of SARS-CoV-2 by full-length human ACE2.</w:t>
      </w:r>
      <w:r>
        <w:rPr>
          <w:szCs w:val="24"/>
        </w:rPr>
        <w:t xml:space="preserve"> Science, 2020. </w:t>
      </w:r>
      <w:r w:rsidRPr="006D5578">
        <w:rPr>
          <w:b/>
          <w:szCs w:val="24"/>
        </w:rPr>
        <w:t>367</w:t>
      </w:r>
      <w:r>
        <w:rPr>
          <w:szCs w:val="24"/>
        </w:rPr>
        <w:t>(6485): p. 1444-1448.</w:t>
      </w:r>
      <w:bookmarkEnd w:id="69"/>
    </w:p>
    <w:p w14:paraId="289E5F72" w14:textId="77777777" w:rsidR="008B751B" w:rsidRDefault="008B751B" w:rsidP="008B751B">
      <w:pPr>
        <w:spacing w:after="0" w:line="240" w:lineRule="auto"/>
        <w:ind w:left="720" w:hanging="720"/>
        <w:rPr>
          <w:szCs w:val="24"/>
        </w:rPr>
      </w:pPr>
      <w:bookmarkStart w:id="70" w:name="_ENREF_68"/>
      <w:r>
        <w:rPr>
          <w:szCs w:val="24"/>
        </w:rPr>
        <w:t>68.</w:t>
      </w:r>
      <w:r>
        <w:rPr>
          <w:szCs w:val="24"/>
        </w:rPr>
        <w:tab/>
        <w:t xml:space="preserve">Lan, J., et al., </w:t>
      </w:r>
      <w:r w:rsidRPr="006D5578">
        <w:rPr>
          <w:i/>
          <w:szCs w:val="24"/>
        </w:rPr>
        <w:t>Structure of the SARS-CoV-2 spike receptor-binding domain bound to the ACE2 receptor.</w:t>
      </w:r>
      <w:r>
        <w:rPr>
          <w:szCs w:val="24"/>
        </w:rPr>
        <w:t xml:space="preserve"> Nature, 2020: p. 1-6.</w:t>
      </w:r>
      <w:bookmarkEnd w:id="70"/>
    </w:p>
    <w:p w14:paraId="5EC05AB9" w14:textId="77777777" w:rsidR="008B751B" w:rsidRDefault="008B751B" w:rsidP="008B751B">
      <w:pPr>
        <w:spacing w:after="0" w:line="240" w:lineRule="auto"/>
        <w:ind w:left="720" w:hanging="720"/>
        <w:rPr>
          <w:szCs w:val="24"/>
        </w:rPr>
      </w:pPr>
      <w:bookmarkStart w:id="71" w:name="_ENREF_69"/>
      <w:r>
        <w:rPr>
          <w:szCs w:val="24"/>
        </w:rPr>
        <w:lastRenderedPageBreak/>
        <w:t>69.</w:t>
      </w:r>
      <w:r>
        <w:rPr>
          <w:szCs w:val="24"/>
        </w:rPr>
        <w:tab/>
        <w:t xml:space="preserve">Abdullahi, I.N., et al., </w:t>
      </w:r>
      <w:r w:rsidRPr="006D5578">
        <w:rPr>
          <w:i/>
          <w:szCs w:val="24"/>
        </w:rPr>
        <w:t>Implications of SARS-CoV-2 genetic diversity and mutations on pathogenicity of COVID-19 and biomedical interventions.</w:t>
      </w:r>
      <w:r>
        <w:rPr>
          <w:szCs w:val="24"/>
        </w:rPr>
        <w:t xml:space="preserve"> Journal of Taibah University Medical Sciences, 2020.</w:t>
      </w:r>
      <w:bookmarkEnd w:id="71"/>
    </w:p>
    <w:p w14:paraId="146561E5" w14:textId="77777777" w:rsidR="008B751B" w:rsidRDefault="008B751B" w:rsidP="008B751B">
      <w:pPr>
        <w:spacing w:after="0" w:line="240" w:lineRule="auto"/>
        <w:ind w:left="720" w:hanging="720"/>
        <w:rPr>
          <w:szCs w:val="24"/>
        </w:rPr>
      </w:pPr>
      <w:bookmarkStart w:id="72" w:name="_ENREF_70"/>
      <w:r>
        <w:rPr>
          <w:szCs w:val="24"/>
        </w:rPr>
        <w:t>70.</w:t>
      </w:r>
      <w:r>
        <w:rPr>
          <w:szCs w:val="24"/>
        </w:rPr>
        <w:tab/>
        <w:t xml:space="preserve">Luan, J., et al., </w:t>
      </w:r>
      <w:r w:rsidRPr="006D5578">
        <w:rPr>
          <w:i/>
          <w:szCs w:val="24"/>
        </w:rPr>
        <w:t>Spike protein recognition of mammalian ACE2 predicts the host range and an optimized ACE2 for SARS-CoV-2 infection.</w:t>
      </w:r>
      <w:r>
        <w:rPr>
          <w:szCs w:val="24"/>
        </w:rPr>
        <w:t xml:space="preserve"> Biochemical and biophysical research communications, 2020.</w:t>
      </w:r>
      <w:bookmarkEnd w:id="72"/>
    </w:p>
    <w:p w14:paraId="10695D3E" w14:textId="77777777" w:rsidR="008B751B" w:rsidRDefault="008B751B" w:rsidP="008B751B">
      <w:pPr>
        <w:spacing w:after="0" w:line="240" w:lineRule="auto"/>
        <w:ind w:left="720" w:hanging="720"/>
        <w:rPr>
          <w:szCs w:val="24"/>
        </w:rPr>
      </w:pPr>
      <w:bookmarkStart w:id="73" w:name="_ENREF_71"/>
      <w:r>
        <w:rPr>
          <w:szCs w:val="24"/>
        </w:rPr>
        <w:t>71.</w:t>
      </w:r>
      <w:r>
        <w:rPr>
          <w:szCs w:val="24"/>
        </w:rPr>
        <w:tab/>
        <w:t xml:space="preserve">Bianchi, M., et al., </w:t>
      </w:r>
      <w:r w:rsidRPr="006D5578">
        <w:rPr>
          <w:i/>
          <w:szCs w:val="24"/>
        </w:rPr>
        <w:t>Sars-CoV-2 Envelope and Membrane proteins: differences from closely related proteins linked to cross-species transmission?</w:t>
      </w:r>
      <w:r>
        <w:rPr>
          <w:szCs w:val="24"/>
        </w:rPr>
        <w:t xml:space="preserve"> Preprints, 2020.</w:t>
      </w:r>
      <w:bookmarkEnd w:id="73"/>
    </w:p>
    <w:p w14:paraId="352ADF34" w14:textId="77777777" w:rsidR="008B751B" w:rsidRDefault="008B751B" w:rsidP="008B751B">
      <w:pPr>
        <w:spacing w:after="0" w:line="240" w:lineRule="auto"/>
        <w:ind w:left="720" w:hanging="720"/>
        <w:rPr>
          <w:szCs w:val="24"/>
        </w:rPr>
      </w:pPr>
      <w:bookmarkStart w:id="74" w:name="_ENREF_72"/>
      <w:r>
        <w:rPr>
          <w:szCs w:val="24"/>
        </w:rPr>
        <w:t>72.</w:t>
      </w:r>
      <w:r>
        <w:rPr>
          <w:szCs w:val="24"/>
        </w:rPr>
        <w:tab/>
        <w:t xml:space="preserve">Islam, R., et al., </w:t>
      </w:r>
      <w:r w:rsidRPr="006D5578">
        <w:rPr>
          <w:i/>
          <w:szCs w:val="24"/>
        </w:rPr>
        <w:t>A molecular modeling approach to identify effective antiviral phytochemicals against the main protease of SARS-CoV-2.</w:t>
      </w:r>
      <w:r>
        <w:rPr>
          <w:szCs w:val="24"/>
        </w:rPr>
        <w:t xml:space="preserve"> Journal of Biomolecular Structure and Dynamics, 2020(just-accepted): p. 1-20.</w:t>
      </w:r>
      <w:bookmarkEnd w:id="74"/>
    </w:p>
    <w:p w14:paraId="48C192E6" w14:textId="77777777" w:rsidR="008B751B" w:rsidRDefault="008B751B" w:rsidP="008B751B">
      <w:pPr>
        <w:spacing w:line="240" w:lineRule="auto"/>
        <w:ind w:left="720" w:hanging="720"/>
        <w:rPr>
          <w:szCs w:val="24"/>
        </w:rPr>
      </w:pPr>
      <w:bookmarkStart w:id="75" w:name="_ENREF_73"/>
      <w:r>
        <w:rPr>
          <w:szCs w:val="24"/>
        </w:rPr>
        <w:t>73.</w:t>
      </w:r>
      <w:r>
        <w:rPr>
          <w:szCs w:val="24"/>
        </w:rPr>
        <w:tab/>
        <w:t xml:space="preserve">Martínez, L., </w:t>
      </w:r>
      <w:r w:rsidRPr="006D5578">
        <w:rPr>
          <w:i/>
          <w:szCs w:val="24"/>
        </w:rPr>
        <w:t>Automatic identification of mobile and rigid substructures in molecular dynamics simulations and fractional structural fluctuation analysis.</w:t>
      </w:r>
      <w:r>
        <w:rPr>
          <w:szCs w:val="24"/>
        </w:rPr>
        <w:t xml:space="preserve"> PloS one, 2015. </w:t>
      </w:r>
      <w:r w:rsidRPr="006D5578">
        <w:rPr>
          <w:b/>
          <w:szCs w:val="24"/>
        </w:rPr>
        <w:t>10</w:t>
      </w:r>
      <w:r>
        <w:rPr>
          <w:szCs w:val="24"/>
        </w:rPr>
        <w:t>(3): p. e0119264.</w:t>
      </w:r>
      <w:bookmarkEnd w:id="75"/>
    </w:p>
    <w:p w14:paraId="452D668F" w14:textId="77777777" w:rsidR="008B751B" w:rsidRDefault="008B751B" w:rsidP="008B751B">
      <w:pPr>
        <w:spacing w:line="240" w:lineRule="auto"/>
        <w:rPr>
          <w:szCs w:val="24"/>
        </w:rPr>
      </w:pPr>
    </w:p>
    <w:p w14:paraId="6FB0ED85" w14:textId="79C45017" w:rsidR="00A340D3" w:rsidRDefault="008B751B" w:rsidP="008B751B">
      <w:r w:rsidRPr="00777A74">
        <w:rPr>
          <w:szCs w:val="24"/>
        </w:rPr>
        <w:fldChar w:fldCharType="end"/>
      </w:r>
    </w:p>
    <w:sectPr w:rsidR="00A340D3" w:rsidSect="002B53F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751B"/>
    <w:rsid w:val="00114675"/>
    <w:rsid w:val="002B53FA"/>
    <w:rsid w:val="008B751B"/>
    <w:rsid w:val="00A340D3"/>
    <w:rsid w:val="00CB39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B5FE14E"/>
  <w15:chartTrackingRefBased/>
  <w15:docId w15:val="{88C4B819-99D8-9946-B02D-CD229587D1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751B"/>
    <w:pPr>
      <w:spacing w:after="160" w:line="259" w:lineRule="auto"/>
    </w:pPr>
    <w:rPr>
      <w:rFonts w:ascii="Times New Roman" w:hAnsi="Times New Roman" w:cs="Times New Roman"/>
      <w:noProof/>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B751B"/>
    <w:rPr>
      <w:rFonts w:ascii="Times New Roman" w:hAnsi="Times New Roman"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jpeg"/><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3.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jpg"/><Relationship Id="rId5" Type="http://schemas.openxmlformats.org/officeDocument/2006/relationships/image" Target="media/image2.png"/><Relationship Id="rId15" Type="http://schemas.openxmlformats.org/officeDocument/2006/relationships/image" Target="media/image12.jpe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18</Pages>
  <Words>2748</Words>
  <Characters>15667</Characters>
  <Application>Microsoft Office Word</Application>
  <DocSecurity>0</DocSecurity>
  <Lines>130</Lines>
  <Paragraphs>36</Paragraphs>
  <ScaleCrop>false</ScaleCrop>
  <Company/>
  <LinksUpToDate>false</LinksUpToDate>
  <CharactersWithSpaces>18379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2020-12-28T15:51:00Z</dcterms:created>
  <dcterms:modified xsi:type="dcterms:W3CDTF">2020-12-28T15:52:00Z</dcterms:modified>
</cp:coreProperties>
</file>