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D2" w:rsidRDefault="00EB25D7" w:rsidP="00EB25D7">
      <w:pPr>
        <w:bidi w:val="0"/>
      </w:pPr>
      <w:r w:rsidRPr="00EB25D7">
        <w:rPr>
          <w:noProof/>
        </w:rPr>
        <w:drawing>
          <wp:inline distT="0" distB="0" distL="0" distR="0">
            <wp:extent cx="5731510" cy="5731510"/>
            <wp:effectExtent l="0" t="0" r="2540" b="2540"/>
            <wp:docPr id="1" name="Picture 1" descr="E:\2 july 2023\breast cancer\draft breast cancer DCGL\SUP\Final Figures\Supplementary 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july 2023\breast cancer\draft breast cancer DCGL\SUP\Final Figures\Supplementary Figure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7" w:rsidRDefault="00EB25D7" w:rsidP="00EB25D7">
      <w:pPr>
        <w:bidi w:val="0"/>
      </w:pPr>
    </w:p>
    <w:p w:rsidR="00EB25D7" w:rsidRDefault="00EB25D7" w:rsidP="00EB25D7">
      <w:pPr>
        <w:bidi w:val="0"/>
      </w:pPr>
    </w:p>
    <w:p w:rsidR="00EB25D7" w:rsidRPr="006A4EAE" w:rsidRDefault="00EB25D7" w:rsidP="006A4EAE">
      <w:pPr>
        <w:bidi w:val="0"/>
        <w:rPr>
          <w:rFonts w:asciiTheme="majorBidi" w:hAnsiTheme="majorBidi" w:cstheme="majorBidi"/>
          <w:color w:val="242021"/>
          <w:sz w:val="20"/>
          <w:szCs w:val="20"/>
        </w:rPr>
      </w:pPr>
      <w:bookmarkStart w:id="0" w:name="_GoBack"/>
      <w:r w:rsidRPr="006A4EAE">
        <w:rPr>
          <w:rFonts w:asciiTheme="majorBidi" w:hAnsiTheme="majorBidi" w:cstheme="majorBidi"/>
          <w:b/>
          <w:bCs/>
          <w:sz w:val="20"/>
          <w:szCs w:val="20"/>
        </w:rPr>
        <w:t>Supplementary Figure 1.</w:t>
      </w:r>
      <w:r w:rsidR="006A4EAE" w:rsidRPr="006A4EAE">
        <w:rPr>
          <w:rFonts w:asciiTheme="majorBidi" w:hAnsiTheme="majorBidi" w:cstheme="majorBidi"/>
          <w:sz w:val="20"/>
          <w:szCs w:val="20"/>
        </w:rPr>
        <w:t>The array-array intensity correlation (AAIC) matrix calculates the Spearman rank correlation coefficients between all pairs of TCGA samples, providing a quantitative measure of similarity among the gene expression profiles.</w:t>
      </w:r>
    </w:p>
    <w:bookmarkEnd w:id="0"/>
    <w:p w:rsidR="006A4EAE" w:rsidRPr="006A4EAE" w:rsidRDefault="006A4EAE" w:rsidP="006A4EAE">
      <w:pPr>
        <w:bidi w:val="0"/>
        <w:rPr>
          <w:rFonts w:asciiTheme="majorBidi" w:hAnsiTheme="majorBidi" w:cstheme="majorBidi"/>
          <w:color w:val="242021"/>
          <w:sz w:val="20"/>
          <w:szCs w:val="20"/>
        </w:rPr>
      </w:pPr>
    </w:p>
    <w:sectPr w:rsidR="006A4EAE" w:rsidRPr="006A4EAE" w:rsidSect="009815D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7"/>
    <w:rsid w:val="006A4EAE"/>
    <w:rsid w:val="007E2959"/>
    <w:rsid w:val="009815D0"/>
    <w:rsid w:val="00C33AF2"/>
    <w:rsid w:val="00EB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8BA612"/>
  <w15:chartTrackingRefBased/>
  <w15:docId w15:val="{7902EB27-9892-46BC-AA35-4E806E9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 Rayaneh</dc:creator>
  <cp:keywords/>
  <dc:description/>
  <cp:lastModifiedBy>Nafis Rayaneh</cp:lastModifiedBy>
  <cp:revision>2</cp:revision>
  <dcterms:created xsi:type="dcterms:W3CDTF">2023-07-23T10:49:00Z</dcterms:created>
  <dcterms:modified xsi:type="dcterms:W3CDTF">2023-07-23T11:09:00Z</dcterms:modified>
</cp:coreProperties>
</file>