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EBC77" w14:textId="77777777" w:rsidR="006809BE" w:rsidRPr="008C1777" w:rsidRDefault="006809BE" w:rsidP="006809BE">
      <w:pPr>
        <w:pStyle w:val="Heading1"/>
        <w:jc w:val="center"/>
        <w:rPr>
          <w:rFonts w:ascii="Arial" w:hAnsi="Arial"/>
        </w:rPr>
      </w:pPr>
      <w:r w:rsidRPr="008C1777">
        <w:rPr>
          <w:rFonts w:ascii="Arial" w:hAnsi="Arial"/>
        </w:rPr>
        <w:t>Supplementary Materials</w:t>
      </w:r>
    </w:p>
    <w:p w14:paraId="6E60F0A7" w14:textId="77777777" w:rsidR="006809BE" w:rsidRPr="008C1777" w:rsidRDefault="006809BE" w:rsidP="006809BE">
      <w:pPr>
        <w:keepNext/>
        <w:keepLines/>
        <w:spacing w:before="260" w:after="260" w:line="416" w:lineRule="auto"/>
        <w:outlineLvl w:val="1"/>
        <w:rPr>
          <w:rFonts w:ascii="Arial" w:eastAsiaTheme="majorEastAsia" w:hAnsi="Arial" w:cs="Times New Roman"/>
          <w:b/>
          <w:bCs/>
          <w:sz w:val="28"/>
          <w:szCs w:val="28"/>
        </w:rPr>
      </w:pPr>
      <w:r w:rsidRPr="008C1777">
        <w:rPr>
          <w:rFonts w:ascii="Arial" w:eastAsiaTheme="majorEastAsia" w:hAnsi="Arial" w:cs="Times New Roman" w:hint="eastAsia"/>
          <w:b/>
          <w:bCs/>
          <w:sz w:val="28"/>
          <w:szCs w:val="28"/>
        </w:rPr>
        <w:t>A</w:t>
      </w:r>
      <w:r w:rsidRPr="008C1777">
        <w:rPr>
          <w:rFonts w:ascii="Arial" w:eastAsiaTheme="majorEastAsia" w:hAnsi="Arial" w:cs="Times New Roman"/>
          <w:b/>
          <w:bCs/>
          <w:sz w:val="28"/>
          <w:szCs w:val="28"/>
        </w:rPr>
        <w:t>. A brief introduction to POP and the related surgeries</w:t>
      </w:r>
    </w:p>
    <w:p w14:paraId="17FD2531" w14:textId="77777777" w:rsidR="006809BE" w:rsidRPr="008C1777" w:rsidRDefault="006809BE" w:rsidP="006809BE">
      <w:pPr>
        <w:keepNext/>
        <w:keepLines/>
        <w:spacing w:before="260" w:after="260" w:line="416" w:lineRule="auto"/>
        <w:outlineLvl w:val="2"/>
        <w:rPr>
          <w:rFonts w:ascii="Arial" w:hAnsi="Arial" w:cs="Times New Roman"/>
          <w:color w:val="A6A6A6" w:themeColor="background1" w:themeShade="A6"/>
        </w:rPr>
      </w:pPr>
      <w:r w:rsidRPr="008C1777">
        <w:rPr>
          <w:rFonts w:ascii="Arial" w:eastAsiaTheme="majorEastAsia" w:hAnsi="Arial" w:cs="Times New Roman" w:hint="eastAsia"/>
          <w:b/>
          <w:bCs/>
          <w:sz w:val="24"/>
          <w:szCs w:val="24"/>
        </w:rPr>
        <w:t>A</w:t>
      </w:r>
      <w:r w:rsidRPr="008C1777">
        <w:rPr>
          <w:rFonts w:ascii="Arial" w:eastAsiaTheme="majorEastAsia" w:hAnsi="Arial" w:cs="Times New Roman"/>
          <w:b/>
          <w:bCs/>
          <w:sz w:val="24"/>
          <w:szCs w:val="24"/>
        </w:rPr>
        <w:t xml:space="preserve">1. POP is </w:t>
      </w:r>
      <w:r w:rsidRPr="008C1777">
        <w:rPr>
          <w:rFonts w:ascii="Arial" w:hAnsi="Arial" w:cs="Times New Roman"/>
          <w:b/>
          <w:bCs/>
        </w:rPr>
        <w:t>a common female disease with serious consequences and a heavy healthcare burden</w:t>
      </w:r>
    </w:p>
    <w:p w14:paraId="65887947" w14:textId="77777777" w:rsidR="006809BE" w:rsidRPr="008C1777" w:rsidRDefault="006809BE" w:rsidP="006809BE">
      <w:pPr>
        <w:ind w:firstLineChars="200" w:firstLine="420"/>
        <w:rPr>
          <w:rFonts w:ascii="Arial" w:hAnsi="Arial" w:cs="Times New Roman"/>
        </w:rPr>
      </w:pPr>
      <w:r w:rsidRPr="008C1777">
        <w:rPr>
          <w:rFonts w:ascii="Arial" w:hAnsi="Arial" w:cs="Times New Roman"/>
        </w:rPr>
        <w:t>Pelvic Organ Prolapse (POP) is the descent of the female pelvic organs into or through the vagina, including anterior vaginal wall prolapse (cystocele, urethrocele, paravaginal defect), upper vaginal prolapse (uterine or vaginal vault), and posterior vaginal wall prolapse (rectocele or enterocele)</w:t>
      </w:r>
      <w:r w:rsidRPr="008C1777">
        <w:rPr>
          <w:rFonts w:ascii="Arial" w:hAnsi="Arial" w:cs="Times New Roman"/>
          <w:noProof/>
          <w:vertAlign w:val="superscript"/>
        </w:rPr>
        <w:t>52</w:t>
      </w:r>
      <w:r w:rsidRPr="008C1777">
        <w:rPr>
          <w:rFonts w:ascii="Arial" w:hAnsi="Arial" w:cs="Times New Roman"/>
        </w:rPr>
        <w:t xml:space="preserve">. POP is associated with significant negative impacts on the life quality of patients, including disturbing symptoms like vaginal bulging, pelvic pressure, vaginal bleeding or discharge, low backache, and the need to replace the prolapse to void or defecate </w:t>
      </w:r>
      <w:r w:rsidRPr="008C1777">
        <w:rPr>
          <w:rFonts w:ascii="Arial" w:hAnsi="Arial" w:cs="Times New Roman"/>
          <w:noProof/>
          <w:vertAlign w:val="superscript"/>
        </w:rPr>
        <w:t>53</w:t>
      </w:r>
      <w:r w:rsidRPr="008C1777">
        <w:rPr>
          <w:rFonts w:ascii="Arial" w:hAnsi="Arial" w:cs="Times New Roman"/>
        </w:rPr>
        <w:t>.</w:t>
      </w:r>
      <w:r w:rsidRPr="008C1777">
        <w:rPr>
          <w:rFonts w:ascii="Arial" w:hAnsi="Arial"/>
          <w:sz w:val="20"/>
          <w:szCs w:val="20"/>
        </w:rPr>
        <w:t xml:space="preserve"> </w:t>
      </w:r>
      <w:r w:rsidRPr="008C1777">
        <w:rPr>
          <w:rFonts w:ascii="Arial" w:hAnsi="Arial" w:cs="Times New Roman" w:hint="eastAsia"/>
        </w:rPr>
        <w:t>According to the National Health and Nutrition Examination Survey, approximately 3% of women in the United States report symptoms of vaginal bulging</w:t>
      </w:r>
      <w:r w:rsidRPr="008C1777">
        <w:rPr>
          <w:rFonts w:ascii="Arial" w:hAnsi="Arial" w:cs="Times New Roman"/>
          <w:noProof/>
          <w:vertAlign w:val="superscript"/>
        </w:rPr>
        <w:t>35</w:t>
      </w:r>
      <w:r w:rsidRPr="008C1777">
        <w:rPr>
          <w:rFonts w:ascii="Arial" w:hAnsi="Arial" w:cs="Times New Roman"/>
        </w:rPr>
        <w:t>. In China, this number increases to</w:t>
      </w:r>
      <w:r w:rsidRPr="008C1777">
        <w:rPr>
          <w:rFonts w:ascii="Arial" w:hAnsi="Arial" w:cs="Times New Roman" w:hint="eastAsia"/>
        </w:rPr>
        <w:t xml:space="preserve"> 9.6% reportedly</w:t>
      </w:r>
      <w:r w:rsidRPr="008C1777" w:rsidDel="001171E7">
        <w:rPr>
          <w:rFonts w:ascii="Arial" w:hAnsi="Arial" w:cs="Times New Roman" w:hint="eastAsia"/>
        </w:rPr>
        <w:t xml:space="preserve"> </w:t>
      </w:r>
      <w:r w:rsidRPr="008C1777">
        <w:rPr>
          <w:rFonts w:ascii="Arial" w:hAnsi="Arial" w:cs="Times New Roman"/>
          <w:noProof/>
          <w:vertAlign w:val="superscript"/>
        </w:rPr>
        <w:t>36</w:t>
      </w:r>
      <w:r w:rsidRPr="008C1777">
        <w:rPr>
          <w:rFonts w:ascii="Arial" w:hAnsi="Arial" w:cs="Times New Roman" w:hint="eastAsia"/>
        </w:rPr>
        <w:t>.</w:t>
      </w:r>
      <w:r w:rsidRPr="008C1777">
        <w:rPr>
          <w:rFonts w:ascii="Arial" w:hAnsi="Arial" w:cs="Times New Roman"/>
        </w:rPr>
        <w:t xml:space="preserve"> T</w:t>
      </w:r>
      <w:r w:rsidRPr="008C1777">
        <w:rPr>
          <w:rFonts w:ascii="Arial" w:hAnsi="Arial" w:cs="Times New Roman" w:hint="eastAsia"/>
        </w:rPr>
        <w:t xml:space="preserve">he true prevalence of POP, </w:t>
      </w:r>
      <w:r w:rsidRPr="008C1777">
        <w:rPr>
          <w:rFonts w:ascii="Arial" w:hAnsi="Arial" w:cs="Times New Roman"/>
        </w:rPr>
        <w:t xml:space="preserve">however, </w:t>
      </w:r>
      <w:r w:rsidRPr="008C1777">
        <w:rPr>
          <w:rFonts w:ascii="Arial" w:hAnsi="Arial"/>
          <w:sz w:val="20"/>
          <w:szCs w:val="20"/>
        </w:rPr>
        <w:t>could be much higher</w:t>
      </w:r>
      <w:r w:rsidRPr="008C1777">
        <w:rPr>
          <w:rFonts w:ascii="Arial" w:hAnsi="Arial" w:cs="Times New Roman"/>
        </w:rPr>
        <w:t xml:space="preserve"> </w:t>
      </w:r>
      <w:r w:rsidRPr="008C1777">
        <w:rPr>
          <w:rFonts w:ascii="Arial" w:hAnsi="Arial" w:cs="Times New Roman" w:hint="eastAsia"/>
        </w:rPr>
        <w:t xml:space="preserve">because many women </w:t>
      </w:r>
      <w:r w:rsidRPr="008C1777">
        <w:rPr>
          <w:rFonts w:ascii="Arial" w:hAnsi="Arial" w:cs="Times New Roman"/>
        </w:rPr>
        <w:t xml:space="preserve">do </w:t>
      </w:r>
      <w:r w:rsidRPr="008C1777">
        <w:rPr>
          <w:rFonts w:ascii="Arial" w:hAnsi="Arial" w:cs="Times New Roman" w:hint="eastAsia"/>
        </w:rPr>
        <w:t>not seek medical attention for their symptoms.</w:t>
      </w:r>
      <w:r w:rsidRPr="008C1777">
        <w:rPr>
          <w:rFonts w:ascii="Arial" w:hAnsi="Arial" w:cs="Times New Roman"/>
        </w:rPr>
        <w:t xml:space="preserve"> The critical impacts and high prevalence of POP pose a heavy healthcare burden.</w:t>
      </w:r>
      <w:r w:rsidRPr="008C1777">
        <w:rPr>
          <w:rFonts w:ascii="Arial" w:hAnsi="Arial" w:cs="Times New Roman" w:hint="eastAsia"/>
        </w:rPr>
        <w:t xml:space="preserve"> </w:t>
      </w:r>
      <w:r w:rsidRPr="008C1777">
        <w:rPr>
          <w:rFonts w:ascii="Arial" w:hAnsi="Arial" w:cs="Times New Roman"/>
        </w:rPr>
        <w:t>F</w:t>
      </w:r>
      <w:r w:rsidRPr="008C1777">
        <w:rPr>
          <w:rFonts w:ascii="Arial" w:hAnsi="Arial" w:cs="Times New Roman" w:hint="eastAsia"/>
        </w:rPr>
        <w:t>or example, more than 225</w:t>
      </w:r>
      <w:r w:rsidRPr="008C1777">
        <w:rPr>
          <w:rFonts w:ascii="Arial" w:hAnsi="Arial" w:cs="Times New Roman"/>
        </w:rPr>
        <w:t>,</w:t>
      </w:r>
      <w:r w:rsidRPr="008C1777">
        <w:rPr>
          <w:rFonts w:ascii="Arial" w:hAnsi="Arial" w:cs="Times New Roman" w:hint="eastAsia"/>
        </w:rPr>
        <w:t xml:space="preserve">000 inpatient surgical procedures for pelvic organ prolapse were undertaken in the USA in 1997, </w:t>
      </w:r>
      <w:r w:rsidRPr="008C1777">
        <w:rPr>
          <w:rFonts w:ascii="Arial" w:hAnsi="Arial" w:cs="Times New Roman"/>
        </w:rPr>
        <w:t>resulting in</w:t>
      </w:r>
      <w:r w:rsidRPr="008C1777">
        <w:rPr>
          <w:rFonts w:ascii="Arial" w:hAnsi="Arial" w:cs="Times New Roman" w:hint="eastAsia"/>
        </w:rPr>
        <w:t xml:space="preserve"> an estimated cost of more than US$1 billion</w:t>
      </w:r>
      <w:r w:rsidRPr="008C1777">
        <w:rPr>
          <w:rFonts w:ascii="Arial" w:hAnsi="Arial" w:cs="Times New Roman"/>
          <w:noProof/>
          <w:vertAlign w:val="superscript"/>
        </w:rPr>
        <w:t>52</w:t>
      </w:r>
      <w:r w:rsidRPr="008C1777">
        <w:rPr>
          <w:rFonts w:ascii="Arial" w:hAnsi="Arial" w:cs="Times New Roman" w:hint="eastAsia"/>
        </w:rPr>
        <w:t xml:space="preserve">. </w:t>
      </w:r>
      <w:r w:rsidRPr="008C1777">
        <w:rPr>
          <w:rFonts w:ascii="Arial" w:hAnsi="Arial" w:cs="Times New Roman"/>
        </w:rPr>
        <w:t>Because the peak incidence of POP symptoms is in women aged 70-79 years,</w:t>
      </w:r>
      <w:r w:rsidRPr="008C1777">
        <w:rPr>
          <w:rFonts w:ascii="Arial" w:hAnsi="Arial" w:cs="Times New Roman" w:hint="eastAsia"/>
        </w:rPr>
        <w:t xml:space="preserve"> </w:t>
      </w:r>
      <w:r w:rsidRPr="008C1777">
        <w:rPr>
          <w:rFonts w:ascii="Arial" w:hAnsi="Arial" w:cs="Times New Roman"/>
        </w:rPr>
        <w:t xml:space="preserve">it is conceivable that the morbidity will continue to rise as the population ages. As anticipated, the number of women experiencing POP will increase by approximately 50% in the United States by 2050. </w:t>
      </w:r>
    </w:p>
    <w:p w14:paraId="3FA186A3" w14:textId="77777777" w:rsidR="006809BE" w:rsidRPr="008C1777" w:rsidRDefault="006809BE" w:rsidP="006809BE">
      <w:pPr>
        <w:widowControl/>
        <w:jc w:val="left"/>
        <w:rPr>
          <w:rFonts w:ascii="Arial" w:eastAsiaTheme="majorEastAsia" w:hAnsi="Arial" w:cs="Times New Roman"/>
          <w:b/>
          <w:bCs/>
          <w:sz w:val="24"/>
          <w:szCs w:val="24"/>
        </w:rPr>
      </w:pPr>
      <w:r w:rsidRPr="008C1777">
        <w:rPr>
          <w:rFonts w:ascii="Arial" w:eastAsiaTheme="majorEastAsia" w:hAnsi="Arial" w:cs="Times New Roman"/>
          <w:b/>
          <w:bCs/>
          <w:sz w:val="24"/>
          <w:szCs w:val="24"/>
        </w:rPr>
        <w:br w:type="page"/>
      </w:r>
    </w:p>
    <w:p w14:paraId="32B6FFFF" w14:textId="77777777" w:rsidR="006809BE" w:rsidRPr="008C1777" w:rsidRDefault="006809BE" w:rsidP="006809BE">
      <w:pPr>
        <w:keepNext/>
        <w:keepLines/>
        <w:spacing w:before="260" w:after="260" w:line="416" w:lineRule="auto"/>
        <w:outlineLvl w:val="2"/>
        <w:rPr>
          <w:rFonts w:ascii="Arial" w:eastAsiaTheme="majorEastAsia" w:hAnsi="Arial" w:cs="Times New Roman"/>
          <w:b/>
          <w:bCs/>
          <w:sz w:val="24"/>
          <w:szCs w:val="24"/>
        </w:rPr>
      </w:pPr>
      <w:r w:rsidRPr="008C1777">
        <w:rPr>
          <w:rFonts w:ascii="Arial" w:eastAsiaTheme="majorEastAsia" w:hAnsi="Arial" w:cs="Times New Roman" w:hint="eastAsia"/>
          <w:b/>
          <w:bCs/>
          <w:sz w:val="24"/>
          <w:szCs w:val="24"/>
        </w:rPr>
        <w:lastRenderedPageBreak/>
        <w:t>A</w:t>
      </w:r>
      <w:r w:rsidRPr="008C1777">
        <w:rPr>
          <w:rFonts w:ascii="Arial" w:eastAsiaTheme="majorEastAsia" w:hAnsi="Arial" w:cs="Times New Roman"/>
          <w:b/>
          <w:bCs/>
          <w:sz w:val="24"/>
          <w:szCs w:val="24"/>
        </w:rPr>
        <w:t xml:space="preserve">2. POP-Q scores </w:t>
      </w:r>
      <w:r w:rsidRPr="008C1777">
        <w:rPr>
          <w:rFonts w:ascii="Arial" w:eastAsiaTheme="majorEastAsia" w:hAnsi="Arial" w:cs="Times New Roman" w:hint="eastAsia"/>
          <w:b/>
          <w:bCs/>
          <w:sz w:val="24"/>
          <w:szCs w:val="24"/>
        </w:rPr>
        <w:t>serve</w:t>
      </w:r>
      <w:r w:rsidRPr="008C1777">
        <w:rPr>
          <w:rFonts w:ascii="Arial" w:eastAsiaTheme="majorEastAsia" w:hAnsi="Arial" w:cs="Times New Roman"/>
          <w:b/>
          <w:bCs/>
          <w:sz w:val="24"/>
          <w:szCs w:val="24"/>
        </w:rPr>
        <w:t xml:space="preserve"> </w:t>
      </w:r>
      <w:r w:rsidRPr="008C1777">
        <w:rPr>
          <w:rFonts w:ascii="Arial" w:eastAsiaTheme="majorEastAsia" w:hAnsi="Arial" w:cs="Times New Roman" w:hint="eastAsia"/>
          <w:b/>
          <w:bCs/>
          <w:sz w:val="24"/>
          <w:szCs w:val="24"/>
        </w:rPr>
        <w:t>a</w:t>
      </w:r>
      <w:r w:rsidRPr="008C1777">
        <w:rPr>
          <w:rFonts w:ascii="Arial" w:eastAsiaTheme="majorEastAsia" w:hAnsi="Arial" w:cs="Times New Roman"/>
          <w:b/>
          <w:bCs/>
          <w:sz w:val="24"/>
          <w:szCs w:val="24"/>
        </w:rPr>
        <w:t>s the major indicator of POP</w:t>
      </w:r>
    </w:p>
    <w:p w14:paraId="318798E1" w14:textId="77777777" w:rsidR="006809BE" w:rsidRPr="008C1777" w:rsidRDefault="006809BE" w:rsidP="006809BE">
      <w:pPr>
        <w:ind w:firstLineChars="200" w:firstLine="420"/>
        <w:rPr>
          <w:rFonts w:ascii="Arial" w:hAnsi="Arial" w:cs="Times-Roman"/>
          <w:color w:val="1A1718"/>
          <w:szCs w:val="21"/>
        </w:rPr>
      </w:pPr>
      <w:r w:rsidRPr="008C1777">
        <w:rPr>
          <w:rFonts w:ascii="Arial" w:hAnsi="Arial" w:cs="Times New Roman" w:hint="eastAsia"/>
        </w:rPr>
        <w:t>To</w:t>
      </w:r>
      <w:r w:rsidRPr="008C1777">
        <w:rPr>
          <w:rFonts w:ascii="Arial" w:hAnsi="Arial" w:cs="Times New Roman"/>
        </w:rPr>
        <w:t xml:space="preserve"> </w:t>
      </w:r>
      <w:r w:rsidRPr="008C1777">
        <w:rPr>
          <w:rFonts w:ascii="Arial" w:hAnsi="Arial" w:cs="Times New Roman" w:hint="eastAsia"/>
        </w:rPr>
        <w:t>iden</w:t>
      </w:r>
      <w:r w:rsidRPr="008C1777">
        <w:rPr>
          <w:rFonts w:ascii="Arial" w:hAnsi="Arial" w:cs="Times New Roman"/>
        </w:rPr>
        <w:t xml:space="preserve">tify POP and quantitatively measure its severity, Pelvic Organ Prolapse Quantification (POP-Q) </w:t>
      </w:r>
      <w:r w:rsidRPr="008C1777">
        <w:rPr>
          <w:rFonts w:ascii="Arial" w:hAnsi="Arial" w:cs="Times New Roman" w:hint="eastAsia"/>
        </w:rPr>
        <w:t>examination</w:t>
      </w:r>
      <w:r w:rsidRPr="008C1777">
        <w:rPr>
          <w:rFonts w:ascii="Arial" w:hAnsi="Arial" w:cs="Times New Roman"/>
        </w:rPr>
        <w:t xml:space="preserve"> is establishe</w:t>
      </w:r>
      <w:r w:rsidRPr="008C1777">
        <w:rPr>
          <w:rFonts w:ascii="Arial" w:hAnsi="Arial" w:cs="Times-Roman"/>
          <w:color w:val="1A1718"/>
          <w:kern w:val="0"/>
          <w:szCs w:val="21"/>
        </w:rPr>
        <w:t>d to provide objective and site-specific sores by measuring the Total Vaginal Length (TVL) at three specific anatomic positions in the pelvic cavity</w:t>
      </w:r>
      <w:r w:rsidRPr="008C1777">
        <w:rPr>
          <w:rFonts w:ascii="Arial" w:hAnsi="Arial" w:cs="Times New Roman"/>
        </w:rPr>
        <w:t>, i.e., point Ba, C, and Bp, as demonstrated in Figure S1 (A)</w:t>
      </w:r>
      <w:r w:rsidRPr="008C1777">
        <w:rPr>
          <w:rFonts w:ascii="Arial" w:hAnsi="Arial" w:cs="Times-Roman"/>
          <w:color w:val="1A1718"/>
          <w:kern w:val="0"/>
          <w:szCs w:val="21"/>
        </w:rPr>
        <w:t xml:space="preserve">. As a standard measurement system for POP </w:t>
      </w:r>
      <w:r w:rsidRPr="008C1777">
        <w:rPr>
          <w:rFonts w:ascii="Arial" w:hAnsi="Arial" w:cs="Times-Roman" w:hint="eastAsia"/>
          <w:color w:val="1A1718"/>
          <w:kern w:val="0"/>
          <w:szCs w:val="21"/>
        </w:rPr>
        <w:t>and</w:t>
      </w:r>
      <w:r w:rsidRPr="008C1777">
        <w:rPr>
          <w:rFonts w:ascii="Arial" w:hAnsi="Arial" w:cs="Times-Roman"/>
          <w:color w:val="1A1718"/>
          <w:kern w:val="0"/>
          <w:szCs w:val="21"/>
        </w:rPr>
        <w:t xml:space="preserve"> pelvic floor dysfunction that is widely used internationally </w:t>
      </w:r>
      <w:r w:rsidRPr="008C1777">
        <w:rPr>
          <w:rFonts w:ascii="Arial" w:hAnsi="Arial" w:cs="Times-Roman"/>
          <w:noProof/>
          <w:color w:val="1A1718"/>
          <w:kern w:val="0"/>
          <w:szCs w:val="21"/>
          <w:vertAlign w:val="superscript"/>
        </w:rPr>
        <w:t>54</w:t>
      </w:r>
      <w:r w:rsidRPr="008C1777">
        <w:rPr>
          <w:rFonts w:ascii="Arial" w:hAnsi="Arial" w:cs="Times-Roman"/>
          <w:color w:val="1A1718"/>
          <w:kern w:val="0"/>
          <w:szCs w:val="21"/>
        </w:rPr>
        <w:t xml:space="preserve">, </w:t>
      </w:r>
      <w:r w:rsidRPr="008C1777">
        <w:rPr>
          <w:rFonts w:ascii="Arial" w:hAnsi="Arial" w:cs="Times-Roman" w:hint="eastAsia"/>
          <w:color w:val="1A1718"/>
          <w:kern w:val="0"/>
          <w:szCs w:val="21"/>
        </w:rPr>
        <w:t>POP-Q examination is recommended before treatment to stage the extent of POP based on the most severely prolapsed vaginal segment</w:t>
      </w:r>
      <w:r w:rsidRPr="008C1777">
        <w:rPr>
          <w:rFonts w:ascii="Arial" w:hAnsi="Arial" w:cs="Times-Roman"/>
          <w:color w:val="1A1718"/>
          <w:kern w:val="0"/>
          <w:szCs w:val="21"/>
        </w:rPr>
        <w:t xml:space="preserve"> </w:t>
      </w:r>
      <w:r w:rsidRPr="008C1777">
        <w:rPr>
          <w:rFonts w:ascii="Arial" w:hAnsi="Arial" w:cs="Times-Roman"/>
          <w:noProof/>
          <w:color w:val="1A1718"/>
          <w:kern w:val="0"/>
          <w:szCs w:val="21"/>
          <w:vertAlign w:val="superscript"/>
        </w:rPr>
        <w:t>55</w:t>
      </w:r>
      <w:r w:rsidRPr="008C1777">
        <w:rPr>
          <w:rFonts w:ascii="Arial" w:hAnsi="Arial" w:cs="Times-Roman" w:hint="eastAsia"/>
          <w:color w:val="1A1718"/>
          <w:kern w:val="0"/>
          <w:szCs w:val="21"/>
        </w:rPr>
        <w:t xml:space="preserve">. </w:t>
      </w:r>
      <w:r w:rsidRPr="008C1777">
        <w:rPr>
          <w:rFonts w:ascii="Arial" w:hAnsi="Arial" w:cs="Times New Roman"/>
        </w:rPr>
        <w:t xml:space="preserve">Figure S1 (B) visualizes the logical rules </w:t>
      </w:r>
      <w:r w:rsidRPr="008C1777">
        <w:rPr>
          <w:rFonts w:ascii="Arial" w:hAnsi="Arial" w:cs="Times-Roman" w:hint="eastAsia"/>
          <w:color w:val="1A1718"/>
          <w:kern w:val="0"/>
          <w:szCs w:val="21"/>
        </w:rPr>
        <w:t>to stage the extent of POP</w:t>
      </w:r>
      <w:r w:rsidRPr="008C1777">
        <w:rPr>
          <w:rFonts w:ascii="Arial" w:hAnsi="Arial" w:cs="Times-Roman"/>
          <w:color w:val="1A1718"/>
          <w:kern w:val="0"/>
          <w:szCs w:val="21"/>
        </w:rPr>
        <w:t xml:space="preserve"> into five stages from stage 0 to stage 4, where stage 0 stands for no prolapse at all, stage 4 stands for vaginal eversion to within 2cm of its length, while stages 1-3 are intermediate </w:t>
      </w:r>
      <w:r w:rsidRPr="008C1777">
        <w:rPr>
          <w:rFonts w:ascii="Arial" w:hAnsi="Arial" w:cs="Times-Roman" w:hint="eastAsia"/>
          <w:color w:val="1A1718"/>
          <w:kern w:val="0"/>
          <w:szCs w:val="21"/>
        </w:rPr>
        <w:t>stages</w:t>
      </w:r>
      <w:r w:rsidRPr="008C1777">
        <w:rPr>
          <w:rFonts w:ascii="Arial" w:hAnsi="Arial" w:cs="Times-Roman"/>
          <w:color w:val="1A1718"/>
          <w:kern w:val="0"/>
          <w:szCs w:val="21"/>
        </w:rPr>
        <w:t xml:space="preserve"> </w:t>
      </w:r>
      <w:r w:rsidRPr="008C1777">
        <w:rPr>
          <w:rFonts w:ascii="Arial" w:hAnsi="Arial" w:cs="Times-Roman" w:hint="eastAsia"/>
          <w:color w:val="1A1718"/>
          <w:kern w:val="0"/>
          <w:szCs w:val="21"/>
        </w:rPr>
        <w:t xml:space="preserve">with </w:t>
      </w:r>
      <w:r w:rsidRPr="008C1777">
        <w:rPr>
          <w:rFonts w:ascii="Arial" w:hAnsi="Arial" w:cs="Times-Roman"/>
          <w:color w:val="1A1718"/>
          <w:kern w:val="0"/>
          <w:szCs w:val="21"/>
        </w:rPr>
        <w:t>the severity of prolapse gradually increased</w:t>
      </w:r>
      <w:r w:rsidRPr="008C1777">
        <w:rPr>
          <w:rFonts w:ascii="Arial" w:hAnsi="Arial" w:cs="Times New Roman"/>
        </w:rPr>
        <w:t xml:space="preserve">. In clinical practice, the POP stage is </w:t>
      </w:r>
      <w:r w:rsidRPr="008C1777">
        <w:rPr>
          <w:rFonts w:ascii="Arial" w:hAnsi="Arial" w:cs="Times-Roman" w:hint="eastAsia"/>
          <w:color w:val="1A1718"/>
          <w:kern w:val="0"/>
          <w:szCs w:val="21"/>
        </w:rPr>
        <w:t>an important assessment</w:t>
      </w:r>
      <w:r w:rsidRPr="008C1777">
        <w:rPr>
          <w:rFonts w:ascii="Arial" w:hAnsi="Arial" w:cs="Times-Roman"/>
          <w:color w:val="1A1718"/>
          <w:kern w:val="0"/>
          <w:szCs w:val="21"/>
        </w:rPr>
        <w:t xml:space="preserve"> </w:t>
      </w:r>
      <w:r w:rsidRPr="008C1777">
        <w:rPr>
          <w:rFonts w:ascii="Arial" w:hAnsi="Arial" w:cs="Times-Roman" w:hint="eastAsia"/>
          <w:color w:val="1A1718"/>
          <w:kern w:val="0"/>
          <w:szCs w:val="21"/>
        </w:rPr>
        <w:t>for</w:t>
      </w:r>
      <w:r w:rsidRPr="008C1777">
        <w:rPr>
          <w:rFonts w:ascii="Arial" w:hAnsi="Arial" w:cs="Times-Roman"/>
          <w:color w:val="1A1718"/>
          <w:kern w:val="0"/>
          <w:szCs w:val="21"/>
        </w:rPr>
        <w:t xml:space="preserve"> POP, a key indication for treatment selection</w:t>
      </w:r>
      <w:r w:rsidRPr="008C1777">
        <w:rPr>
          <w:rFonts w:ascii="Arial" w:hAnsi="Arial" w:cs="Times-Roman"/>
          <w:noProof/>
          <w:color w:val="1A1718"/>
          <w:kern w:val="0"/>
          <w:szCs w:val="21"/>
          <w:vertAlign w:val="superscript"/>
        </w:rPr>
        <w:t>35</w:t>
      </w:r>
      <w:r w:rsidRPr="008C1777">
        <w:rPr>
          <w:rFonts w:ascii="Arial" w:hAnsi="Arial" w:cs="Times-Roman"/>
          <w:color w:val="1A1718"/>
          <w:kern w:val="0"/>
          <w:szCs w:val="21"/>
        </w:rPr>
        <w:t>, and a critical index for evaluating the clinical effectiveness of surgical treatment</w:t>
      </w:r>
      <w:r w:rsidRPr="008C1777">
        <w:rPr>
          <w:rFonts w:ascii="Arial" w:hAnsi="Arial" w:cs="Times-Roman"/>
          <w:noProof/>
          <w:color w:val="1A1718"/>
          <w:kern w:val="0"/>
          <w:szCs w:val="21"/>
          <w:vertAlign w:val="superscript"/>
        </w:rPr>
        <w:t>56</w:t>
      </w:r>
      <w:r w:rsidRPr="008C1777">
        <w:rPr>
          <w:rFonts w:ascii="Arial" w:hAnsi="Arial" w:cs="Times-Roman"/>
          <w:color w:val="1A1718"/>
          <w:kern w:val="0"/>
          <w:szCs w:val="21"/>
        </w:rPr>
        <w:t xml:space="preserve">. </w:t>
      </w:r>
      <w:r w:rsidRPr="008C1777">
        <w:rPr>
          <w:rFonts w:ascii="Arial" w:hAnsi="Arial" w:cs="Times-Roman" w:hint="eastAsia"/>
          <w:color w:val="1A1718"/>
          <w:kern w:val="0"/>
          <w:szCs w:val="21"/>
        </w:rPr>
        <w:t xml:space="preserve">Documentation of the prolapse with the POP-Q allows an objective, validated, baseline measurement so that the surgeon has a preoperative comparator by which to measure postoperative anatomic success. </w:t>
      </w:r>
      <w:r w:rsidRPr="008C1777">
        <w:rPr>
          <w:rFonts w:ascii="Arial" w:hAnsi="Arial" w:cs="Times-Roman"/>
          <w:color w:val="1A1718"/>
          <w:kern w:val="0"/>
          <w:szCs w:val="21"/>
        </w:rPr>
        <w:t xml:space="preserve">The change in POP-Q scores before and after treatment is used to evaluate the effectiveness of </w:t>
      </w:r>
      <w:r w:rsidRPr="008C1777">
        <w:rPr>
          <w:rFonts w:ascii="Arial" w:hAnsi="Arial" w:cs="Times-Roman" w:hint="eastAsia"/>
          <w:color w:val="1A1718"/>
          <w:kern w:val="0"/>
          <w:szCs w:val="21"/>
        </w:rPr>
        <w:t xml:space="preserve">procedures and to instruct procedure </w:t>
      </w:r>
      <w:r w:rsidRPr="008C1777">
        <w:rPr>
          <w:rFonts w:ascii="Arial" w:hAnsi="Arial" w:cs="Times-Roman"/>
          <w:color w:val="1A1718"/>
          <w:kern w:val="0"/>
          <w:szCs w:val="21"/>
        </w:rPr>
        <w:t>options</w:t>
      </w:r>
      <w:r w:rsidRPr="008C1777">
        <w:rPr>
          <w:rFonts w:ascii="Arial" w:hAnsi="Arial" w:cs="Times-Roman" w:hint="eastAsia"/>
          <w:color w:val="1A1718"/>
          <w:kern w:val="0"/>
          <w:szCs w:val="21"/>
        </w:rPr>
        <w:t>.</w:t>
      </w:r>
      <w:r w:rsidRPr="008C1777">
        <w:rPr>
          <w:rFonts w:ascii="Arial" w:hAnsi="Arial" w:cs="Times-Roman"/>
          <w:color w:val="1A1718"/>
          <w:kern w:val="0"/>
          <w:szCs w:val="21"/>
        </w:rPr>
        <w:t xml:space="preserve"> The “optimal anatomic outcome” or “cure” is generally defined as POP-Q stage 0 after receiving the treatment </w:t>
      </w:r>
      <w:r w:rsidRPr="008C1777">
        <w:rPr>
          <w:rFonts w:ascii="Arial" w:hAnsi="Arial" w:cs="Times-Roman"/>
          <w:noProof/>
          <w:color w:val="1A1718"/>
          <w:kern w:val="0"/>
          <w:szCs w:val="21"/>
          <w:vertAlign w:val="superscript"/>
        </w:rPr>
        <w:t>56</w:t>
      </w:r>
      <w:r w:rsidRPr="008C1777">
        <w:rPr>
          <w:rFonts w:ascii="Arial" w:hAnsi="Arial" w:cs="Times-Roman"/>
          <w:color w:val="1A1718"/>
          <w:kern w:val="0"/>
          <w:szCs w:val="21"/>
        </w:rPr>
        <w:t xml:space="preserve">. </w:t>
      </w:r>
    </w:p>
    <w:p w14:paraId="3A00AEE7" w14:textId="77777777" w:rsidR="006809BE" w:rsidRPr="008C1777" w:rsidRDefault="006809BE" w:rsidP="006809BE">
      <w:pPr>
        <w:rPr>
          <w:rFonts w:ascii="Arial" w:hAnsi="Arial" w:cs="Times New Roman"/>
        </w:rPr>
      </w:pPr>
      <w:r w:rsidRPr="008C1777">
        <w:rPr>
          <w:rFonts w:ascii="Arial" w:hAnsi="Arial" w:cs="Times New Roman"/>
          <w:noProof/>
        </w:rPr>
        <w:drawing>
          <wp:inline distT="0" distB="0" distL="0" distR="0" wp14:anchorId="1E733799" wp14:editId="4528B6A8">
            <wp:extent cx="1800000" cy="1277719"/>
            <wp:effectExtent l="0" t="0" r="3810" b="5080"/>
            <wp:docPr id="4" name="图片 3" descr="A screenshot of a computer screen&#10;&#10;Description automatically generated">
              <a:extLst xmlns:a="http://schemas.openxmlformats.org/drawingml/2006/main">
                <a:ext uri="{FF2B5EF4-FFF2-40B4-BE49-F238E27FC236}">
                  <a16:creationId xmlns:a16="http://schemas.microsoft.com/office/drawing/2014/main" id="{C464FAEE-4D29-4B4A-AEDD-7EF9F168BB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A screenshot of a computer screen&#10;&#10;Description automatically generated">
                      <a:extLst>
                        <a:ext uri="{FF2B5EF4-FFF2-40B4-BE49-F238E27FC236}">
                          <a16:creationId xmlns:a16="http://schemas.microsoft.com/office/drawing/2014/main" id="{C464FAEE-4D29-4B4A-AEDD-7EF9F168BB87}"/>
                        </a:ext>
                      </a:extLst>
                    </pic:cNvPr>
                    <pic:cNvPicPr>
                      <a:picLocks noChangeAspect="1"/>
                    </pic:cNvPicPr>
                  </pic:nvPicPr>
                  <pic:blipFill rotWithShape="1">
                    <a:blip r:embed="rId4"/>
                    <a:srcRect l="31359" t="7643"/>
                    <a:stretch/>
                  </pic:blipFill>
                  <pic:spPr bwMode="auto">
                    <a:xfrm>
                      <a:off x="0" y="0"/>
                      <a:ext cx="1800000" cy="1277719"/>
                    </a:xfrm>
                    <a:prstGeom prst="rect">
                      <a:avLst/>
                    </a:prstGeom>
                    <a:ln>
                      <a:noFill/>
                    </a:ln>
                    <a:extLst>
                      <a:ext uri="{53640926-AAD7-44D8-BBD7-CCE9431645EC}">
                        <a14:shadowObscured xmlns:a14="http://schemas.microsoft.com/office/drawing/2010/main"/>
                      </a:ext>
                    </a:extLst>
                  </pic:spPr>
                </pic:pic>
              </a:graphicData>
            </a:graphic>
          </wp:inline>
        </w:drawing>
      </w:r>
      <w:r w:rsidRPr="008C1777">
        <w:rPr>
          <w:rFonts w:ascii="Arial" w:hAnsi="Arial" w:cs="Times New Roman"/>
        </w:rPr>
        <w:t xml:space="preserve">     </w:t>
      </w:r>
      <w:r w:rsidRPr="008C1777">
        <w:rPr>
          <w:rFonts w:ascii="Arial" w:hAnsi="Arial" w:cs="Times New Roman"/>
          <w:noProof/>
        </w:rPr>
        <w:drawing>
          <wp:inline distT="0" distB="0" distL="0" distR="0" wp14:anchorId="45F42F36" wp14:editId="43C3FED6">
            <wp:extent cx="2865032" cy="1091375"/>
            <wp:effectExtent l="0" t="0" r="5715" b="1270"/>
            <wp:docPr id="1234322617" name="图片 1"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322617" name="图片 1" descr="A screen shot of a graph&#10;&#10;Description automatically generated"/>
                    <pic:cNvPicPr/>
                  </pic:nvPicPr>
                  <pic:blipFill>
                    <a:blip r:embed="rId5"/>
                    <a:stretch>
                      <a:fillRect/>
                    </a:stretch>
                  </pic:blipFill>
                  <pic:spPr>
                    <a:xfrm>
                      <a:off x="0" y="0"/>
                      <a:ext cx="2950366" cy="1123881"/>
                    </a:xfrm>
                    <a:prstGeom prst="rect">
                      <a:avLst/>
                    </a:prstGeom>
                  </pic:spPr>
                </pic:pic>
              </a:graphicData>
            </a:graphic>
          </wp:inline>
        </w:drawing>
      </w:r>
    </w:p>
    <w:p w14:paraId="4742B27A" w14:textId="77777777" w:rsidR="006809BE" w:rsidRPr="008C1777" w:rsidRDefault="006809BE" w:rsidP="006809BE">
      <w:pPr>
        <w:rPr>
          <w:rFonts w:ascii="Arial" w:hAnsi="Arial" w:cs="Times New Roman"/>
          <w:sz w:val="18"/>
          <w:szCs w:val="20"/>
        </w:rPr>
      </w:pPr>
      <w:r w:rsidRPr="008C1777">
        <w:rPr>
          <w:rFonts w:ascii="Arial" w:hAnsi="Arial" w:cs="Times New Roman"/>
          <w:sz w:val="18"/>
          <w:szCs w:val="20"/>
        </w:rPr>
        <w:t xml:space="preserve">    A.</w:t>
      </w:r>
      <w:r w:rsidRPr="008C1777">
        <w:rPr>
          <w:rFonts w:ascii="Arial" w:hAnsi="Arial"/>
          <w:sz w:val="18"/>
          <w:szCs w:val="20"/>
        </w:rPr>
        <w:t xml:space="preserve"> </w:t>
      </w:r>
      <w:r w:rsidRPr="008C1777">
        <w:rPr>
          <w:rFonts w:ascii="Arial" w:hAnsi="Arial" w:cs="Times New Roman"/>
          <w:sz w:val="18"/>
          <w:szCs w:val="20"/>
        </w:rPr>
        <w:t xml:space="preserve">Anatomic position of POP-Q points                 B. POP stages based on POP-Q scores.       </w:t>
      </w:r>
    </w:p>
    <w:p w14:paraId="64C5D500" w14:textId="77777777" w:rsidR="006809BE" w:rsidRPr="008C1777" w:rsidRDefault="006809BE" w:rsidP="006809BE">
      <w:pPr>
        <w:rPr>
          <w:rFonts w:ascii="Arial" w:hAnsi="Arial" w:cs="Times New Roman"/>
          <w:sz w:val="18"/>
          <w:szCs w:val="20"/>
        </w:rPr>
      </w:pPr>
      <w:r w:rsidRPr="008C1777">
        <w:rPr>
          <w:rFonts w:ascii="Arial" w:hAnsi="Arial" w:cs="Times New Roman"/>
          <w:b/>
          <w:bCs/>
          <w:sz w:val="18"/>
          <w:szCs w:val="20"/>
        </w:rPr>
        <w:t xml:space="preserve">Figure S1. </w:t>
      </w:r>
      <w:r w:rsidRPr="008C1777">
        <w:rPr>
          <w:rFonts w:ascii="Arial" w:hAnsi="Arial" w:cs="Times New Roman"/>
          <w:sz w:val="18"/>
          <w:szCs w:val="20"/>
        </w:rPr>
        <w:t>Graphical illustration of</w:t>
      </w:r>
      <w:r w:rsidRPr="008C1777">
        <w:rPr>
          <w:rFonts w:ascii="Arial" w:hAnsi="Arial" w:cs="Times New Roman"/>
          <w:b/>
          <w:bCs/>
          <w:sz w:val="18"/>
          <w:szCs w:val="20"/>
        </w:rPr>
        <w:t xml:space="preserve"> </w:t>
      </w:r>
      <w:r w:rsidRPr="008C1777">
        <w:rPr>
          <w:rFonts w:ascii="Arial" w:hAnsi="Arial" w:cs="Times New Roman"/>
          <w:sz w:val="18"/>
          <w:szCs w:val="20"/>
        </w:rPr>
        <w:t>POP-Q points in the pelvic cavity and rules to claim POP stages based on POP scores. (A)</w:t>
      </w:r>
      <w:r w:rsidRPr="008C1777">
        <w:rPr>
          <w:rFonts w:ascii="Arial" w:hAnsi="Arial" w:cs="Times New Roman"/>
          <w:b/>
          <w:bCs/>
          <w:sz w:val="18"/>
          <w:szCs w:val="20"/>
        </w:rPr>
        <w:t xml:space="preserve"> </w:t>
      </w:r>
      <w:r w:rsidRPr="008C1777">
        <w:rPr>
          <w:rFonts w:ascii="Arial" w:hAnsi="Arial" w:cs="Times New Roman"/>
          <w:sz w:val="18"/>
          <w:szCs w:val="20"/>
        </w:rPr>
        <w:t>A graphical illustration of the POP-Q system concerning points at three specific anatomic positions in the pelvic cavity: (1) point Ba to evaluate the prolapse extent of the anterior vaginal wall, (2) point C to evaluate the prolapse extent of the uterine or vaginal cuff, and (3) point Bp to evaluate the prolapse extent of the posterior vaginal wall. (B) POP stages based on POP scores. Stage 0: no prolapse; stage 1: the most distal prolapse is more than 1 cm above (inside) the hymen; stage 2: prolapse between 1 cm above and 1 cm below the hymen; stage 3: prolapse more than 1 cm beyond the hymen but no farther than (TVL–2) cm; and stage 4: vaginal eversion to within 2 cm of its length.</w:t>
      </w:r>
    </w:p>
    <w:p w14:paraId="1489434F" w14:textId="77777777" w:rsidR="006809BE" w:rsidRPr="008C1777" w:rsidRDefault="006809BE" w:rsidP="006809BE">
      <w:pPr>
        <w:widowControl/>
        <w:jc w:val="left"/>
        <w:rPr>
          <w:rFonts w:ascii="Arial" w:eastAsiaTheme="majorEastAsia" w:hAnsi="Arial" w:cs="Times New Roman"/>
          <w:b/>
          <w:bCs/>
          <w:sz w:val="24"/>
          <w:szCs w:val="24"/>
        </w:rPr>
      </w:pPr>
      <w:r w:rsidRPr="008C1777">
        <w:rPr>
          <w:rFonts w:ascii="Arial" w:eastAsiaTheme="majorEastAsia" w:hAnsi="Arial" w:cs="Times New Roman"/>
          <w:b/>
          <w:bCs/>
          <w:sz w:val="24"/>
          <w:szCs w:val="24"/>
        </w:rPr>
        <w:br w:type="page"/>
      </w:r>
    </w:p>
    <w:p w14:paraId="70E7ED29" w14:textId="77777777" w:rsidR="006809BE" w:rsidRPr="008C1777" w:rsidRDefault="006809BE" w:rsidP="006809BE">
      <w:pPr>
        <w:keepNext/>
        <w:keepLines/>
        <w:spacing w:before="260" w:after="260" w:line="416" w:lineRule="auto"/>
        <w:outlineLvl w:val="2"/>
        <w:rPr>
          <w:rFonts w:ascii="Arial" w:hAnsi="Arial" w:cs="Times New Roman"/>
          <w:color w:val="A6A6A6" w:themeColor="background1" w:themeShade="A6"/>
        </w:rPr>
      </w:pPr>
      <w:r w:rsidRPr="008C1777">
        <w:rPr>
          <w:rFonts w:ascii="Arial" w:eastAsiaTheme="majorEastAsia" w:hAnsi="Arial" w:cs="Times New Roman" w:hint="eastAsia"/>
          <w:b/>
          <w:bCs/>
          <w:sz w:val="24"/>
          <w:szCs w:val="24"/>
        </w:rPr>
        <w:lastRenderedPageBreak/>
        <w:t>A</w:t>
      </w:r>
      <w:r w:rsidRPr="008C1777">
        <w:rPr>
          <w:rFonts w:ascii="Arial" w:eastAsiaTheme="majorEastAsia" w:hAnsi="Arial" w:cs="Times New Roman"/>
          <w:b/>
          <w:bCs/>
          <w:sz w:val="24"/>
          <w:szCs w:val="24"/>
        </w:rPr>
        <w:t>3. Major surgical procedures for POP patients</w:t>
      </w:r>
      <w:r w:rsidRPr="008C1777" w:rsidDel="000C3C1B">
        <w:rPr>
          <w:rFonts w:ascii="Arial" w:eastAsiaTheme="majorEastAsia" w:hAnsi="Arial" w:cs="Times New Roman"/>
          <w:b/>
          <w:bCs/>
          <w:sz w:val="24"/>
          <w:szCs w:val="24"/>
        </w:rPr>
        <w:t xml:space="preserve"> </w:t>
      </w:r>
    </w:p>
    <w:p w14:paraId="0C823855" w14:textId="77777777" w:rsidR="006809BE" w:rsidRPr="008C1777" w:rsidRDefault="006809BE" w:rsidP="006809BE">
      <w:pPr>
        <w:rPr>
          <w:rFonts w:ascii="Arial" w:hAnsi="Arial" w:cs="Times New Roman"/>
        </w:rPr>
      </w:pPr>
      <w:r w:rsidRPr="008C1777">
        <w:rPr>
          <w:rFonts w:ascii="Arial" w:hAnsi="Arial" w:cs="Times New Roman"/>
        </w:rPr>
        <w:tab/>
        <w:t xml:space="preserve">Conservative management such as </w:t>
      </w:r>
      <w:r w:rsidRPr="008C1777">
        <w:rPr>
          <w:rFonts w:ascii="Arial" w:hAnsi="Arial" w:cs="Times New Roman" w:hint="eastAsia"/>
        </w:rPr>
        <w:t>pessary</w:t>
      </w:r>
      <w:r w:rsidRPr="008C1777">
        <w:rPr>
          <w:rFonts w:ascii="Arial" w:hAnsi="Arial" w:cs="Times New Roman"/>
        </w:rPr>
        <w:t xml:space="preserve"> </w:t>
      </w:r>
      <w:r w:rsidRPr="008C1777">
        <w:rPr>
          <w:rFonts w:ascii="Arial" w:hAnsi="Arial" w:cs="Times New Roman" w:hint="eastAsia"/>
        </w:rPr>
        <w:t>and</w:t>
      </w:r>
      <w:r w:rsidRPr="008C1777">
        <w:rPr>
          <w:rFonts w:ascii="Arial" w:hAnsi="Arial" w:cs="Times New Roman"/>
        </w:rPr>
        <w:t xml:space="preserve"> pelvic floor muscle training are primary treatments for POP patients</w:t>
      </w:r>
      <w:r w:rsidRPr="008C1777">
        <w:rPr>
          <w:rFonts w:ascii="Arial" w:hAnsi="Arial" w:cs="Times New Roman"/>
          <w:noProof/>
          <w:vertAlign w:val="superscript"/>
        </w:rPr>
        <w:t>35</w:t>
      </w:r>
      <w:r w:rsidRPr="008C1777">
        <w:rPr>
          <w:rFonts w:ascii="Arial" w:hAnsi="Arial" w:cs="Times New Roman"/>
        </w:rPr>
        <w:t xml:space="preserve">. </w:t>
      </w:r>
      <w:r w:rsidRPr="008C1777">
        <w:rPr>
          <w:rFonts w:ascii="Arial" w:hAnsi="Arial" w:cs="Times New Roman"/>
          <w:color w:val="000000" w:themeColor="text1"/>
        </w:rPr>
        <w:t>Failed or declined conservative treatments, women have a lifetime risk of 11% to 19% for undergoing POP surgery for anatomical and functional recovery</w:t>
      </w:r>
      <w:r w:rsidRPr="008C1777">
        <w:rPr>
          <w:rFonts w:ascii="Arial" w:hAnsi="Arial" w:cs="Times New Roman"/>
          <w:noProof/>
          <w:color w:val="000000" w:themeColor="text1"/>
          <w:vertAlign w:val="superscript"/>
        </w:rPr>
        <w:t>57</w:t>
      </w:r>
      <w:r w:rsidRPr="008C1777">
        <w:rPr>
          <w:rFonts w:ascii="Arial" w:hAnsi="Arial" w:cs="Times New Roman"/>
          <w:color w:val="000000" w:themeColor="text1"/>
        </w:rPr>
        <w:t>, and</w:t>
      </w:r>
      <w:r w:rsidRPr="008C1777">
        <w:rPr>
          <w:rFonts w:ascii="Arial" w:hAnsi="Arial" w:cs="Times New Roman"/>
        </w:rPr>
        <w:t xml:space="preserve"> a collection of surgical procedures are available, which can be roughly divided into two categories: the obliterative procedures and the reconstructive procedures </w:t>
      </w:r>
      <w:r w:rsidRPr="008C1777">
        <w:rPr>
          <w:rFonts w:ascii="Arial" w:hAnsi="Arial" w:cs="Times New Roman"/>
          <w:noProof/>
          <w:vertAlign w:val="superscript"/>
        </w:rPr>
        <w:t>58</w:t>
      </w:r>
      <w:r w:rsidRPr="008C1777">
        <w:rPr>
          <w:rFonts w:ascii="Arial" w:hAnsi="Arial" w:cs="Times New Roman"/>
        </w:rPr>
        <w:t>. The obliterative procedure</w:t>
      </w:r>
      <w:r w:rsidRPr="008C1777">
        <w:rPr>
          <w:rFonts w:ascii="Arial" w:hAnsi="Arial" w:cs="Times New Roman"/>
          <w:color w:val="000000" w:themeColor="text1"/>
        </w:rPr>
        <w:t xml:space="preserve"> refers to </w:t>
      </w:r>
      <w:r w:rsidRPr="008C1777">
        <w:rPr>
          <w:rFonts w:ascii="Arial" w:hAnsi="Arial" w:cs="Times New Roman"/>
          <w:i/>
          <w:iCs/>
          <w:color w:val="000000" w:themeColor="text1"/>
        </w:rPr>
        <w:t xml:space="preserve">complete </w:t>
      </w:r>
      <w:r w:rsidRPr="008C1777">
        <w:rPr>
          <w:rFonts w:ascii="Arial" w:hAnsi="Arial" w:cs="Times New Roman" w:hint="eastAsia"/>
          <w:i/>
          <w:iCs/>
          <w:color w:val="000000" w:themeColor="text1"/>
        </w:rPr>
        <w:t>or</w:t>
      </w:r>
      <w:r w:rsidRPr="008C1777">
        <w:rPr>
          <w:rFonts w:ascii="Arial" w:hAnsi="Arial" w:cs="Times New Roman"/>
          <w:i/>
          <w:iCs/>
          <w:color w:val="000000" w:themeColor="text1"/>
        </w:rPr>
        <w:t xml:space="preserve"> partial colpocleisis</w:t>
      </w:r>
      <w:r w:rsidRPr="008C1777">
        <w:rPr>
          <w:rFonts w:ascii="Arial" w:hAnsi="Arial" w:cs="Times New Roman" w:hint="eastAsia"/>
          <w:color w:val="000000" w:themeColor="text1"/>
        </w:rPr>
        <w:t>.</w:t>
      </w:r>
      <w:r w:rsidRPr="008C1777">
        <w:rPr>
          <w:rFonts w:ascii="Arial" w:hAnsi="Arial" w:cs="Times New Roman"/>
          <w:color w:val="000000" w:themeColor="text1"/>
        </w:rPr>
        <w:t xml:space="preserve"> </w:t>
      </w:r>
      <w:r w:rsidRPr="008C1777">
        <w:rPr>
          <w:rFonts w:ascii="Arial" w:hAnsi="Arial" w:cs="Times New Roman"/>
        </w:rPr>
        <w:t xml:space="preserve">The reconstructive procedures utilize native tissue, e.g., </w:t>
      </w:r>
      <w:r w:rsidRPr="008C1777">
        <w:rPr>
          <w:rFonts w:ascii="Arial" w:hAnsi="Arial" w:cs="Times New Roman"/>
          <w:i/>
          <w:iCs/>
          <w:color w:val="000000" w:themeColor="text1"/>
        </w:rPr>
        <w:t>Uterosacral Ligament Suspension</w:t>
      </w:r>
      <w:r w:rsidRPr="008C1777">
        <w:rPr>
          <w:rFonts w:ascii="Arial" w:hAnsi="Arial" w:cs="Times New Roman"/>
          <w:color w:val="000000" w:themeColor="text1"/>
        </w:rPr>
        <w:t xml:space="preserve"> (ULS) and </w:t>
      </w:r>
      <w:r w:rsidRPr="008C1777">
        <w:rPr>
          <w:rFonts w:ascii="Arial" w:hAnsi="Arial" w:cs="Times New Roman"/>
          <w:i/>
          <w:iCs/>
          <w:color w:val="000000" w:themeColor="text1"/>
        </w:rPr>
        <w:t>Sacrospinous Ligament Fixation</w:t>
      </w:r>
      <w:r w:rsidRPr="008C1777">
        <w:rPr>
          <w:rFonts w:ascii="Arial" w:hAnsi="Arial" w:cs="Times New Roman"/>
          <w:color w:val="000000" w:themeColor="text1"/>
        </w:rPr>
        <w:t xml:space="preserve"> (SSLF)</w:t>
      </w:r>
      <w:r w:rsidRPr="008C1777">
        <w:rPr>
          <w:rFonts w:ascii="Arial" w:hAnsi="Arial" w:cs="Times New Roman"/>
        </w:rPr>
        <w:t xml:space="preserve">, or biological graft, or synthetic mesh, e.g., anterior or posterior </w:t>
      </w:r>
      <w:r w:rsidRPr="008C1777">
        <w:rPr>
          <w:rFonts w:ascii="Arial" w:hAnsi="Arial" w:cs="Times New Roman"/>
          <w:i/>
          <w:iCs/>
        </w:rPr>
        <w:t>T</w:t>
      </w:r>
      <w:r w:rsidRPr="008C1777">
        <w:rPr>
          <w:rFonts w:ascii="Arial" w:hAnsi="Arial" w:cs="Times New Roman"/>
          <w:i/>
          <w:iCs/>
          <w:color w:val="000000" w:themeColor="text1"/>
        </w:rPr>
        <w:t>rans-Vaginal Mesh</w:t>
      </w:r>
      <w:r w:rsidRPr="008C1777">
        <w:rPr>
          <w:rFonts w:ascii="Arial" w:hAnsi="Arial" w:cs="Times New Roman"/>
          <w:color w:val="000000" w:themeColor="text1"/>
        </w:rPr>
        <w:t xml:space="preserve"> (A/P-TVM) and </w:t>
      </w:r>
      <w:r w:rsidRPr="008C1777">
        <w:rPr>
          <w:rFonts w:ascii="Arial" w:hAnsi="Arial" w:cs="Times New Roman"/>
          <w:i/>
          <w:iCs/>
          <w:color w:val="000000" w:themeColor="text1"/>
        </w:rPr>
        <w:t>Sacrocolpopexy</w:t>
      </w:r>
      <w:r w:rsidRPr="008C1777">
        <w:rPr>
          <w:rFonts w:ascii="Arial" w:hAnsi="Arial" w:cs="Times New Roman"/>
          <w:color w:val="000000" w:themeColor="text1"/>
        </w:rPr>
        <w:t xml:space="preserve"> (SC), </w:t>
      </w:r>
      <w:r w:rsidRPr="008C1777">
        <w:rPr>
          <w:rFonts w:ascii="Arial" w:hAnsi="Arial" w:cs="Times New Roman"/>
        </w:rPr>
        <w:t>to reconstruct the pelvic organ. Table S1 summarizes the 6 major surgical procedures available for POP patients.</w:t>
      </w:r>
    </w:p>
    <w:p w14:paraId="7AB7C0DC" w14:textId="77777777" w:rsidR="006809BE" w:rsidRPr="008C1777" w:rsidRDefault="006809BE" w:rsidP="006809BE">
      <w:pPr>
        <w:widowControl/>
        <w:jc w:val="left"/>
        <w:rPr>
          <w:rFonts w:ascii="Arial" w:hAnsi="Arial" w:cs="Times New Roman"/>
        </w:rPr>
      </w:pPr>
      <w:r w:rsidRPr="008C1777">
        <w:rPr>
          <w:rFonts w:ascii="Arial" w:hAnsi="Arial" w:cs="Times New Roman"/>
        </w:rPr>
        <w:br w:type="page"/>
      </w:r>
    </w:p>
    <w:p w14:paraId="766EA9A9" w14:textId="77777777" w:rsidR="006809BE" w:rsidRPr="008C1777" w:rsidRDefault="006809BE" w:rsidP="006809BE">
      <w:pPr>
        <w:rPr>
          <w:rFonts w:ascii="Arial" w:hAnsi="Arial" w:cs="Times New Roman"/>
        </w:rPr>
      </w:pPr>
    </w:p>
    <w:tbl>
      <w:tblPr>
        <w:tblStyle w:val="GridTable6Colorful-Accent5"/>
        <w:tblW w:w="9488" w:type="dxa"/>
        <w:tblLook w:val="04A0" w:firstRow="1" w:lastRow="0" w:firstColumn="1" w:lastColumn="0" w:noHBand="0" w:noVBand="1"/>
      </w:tblPr>
      <w:tblGrid>
        <w:gridCol w:w="1377"/>
        <w:gridCol w:w="1440"/>
        <w:gridCol w:w="1240"/>
        <w:gridCol w:w="1497"/>
        <w:gridCol w:w="1290"/>
        <w:gridCol w:w="1307"/>
        <w:gridCol w:w="1527"/>
      </w:tblGrid>
      <w:tr w:rsidR="006809BE" w:rsidRPr="008C1777" w14:paraId="78941A4E" w14:textId="77777777" w:rsidTr="00187EB1">
        <w:trPr>
          <w:cnfStyle w:val="100000000000" w:firstRow="1" w:lastRow="0" w:firstColumn="0" w:lastColumn="0" w:oddVBand="0" w:evenVBand="0" w:oddHBand="0"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0" w:type="dxa"/>
            <w:vAlign w:val="center"/>
          </w:tcPr>
          <w:p w14:paraId="0E6FAE69" w14:textId="77777777" w:rsidR="006809BE" w:rsidRPr="008C1777" w:rsidRDefault="006809BE" w:rsidP="00187EB1">
            <w:pPr>
              <w:jc w:val="left"/>
              <w:rPr>
                <w:rFonts w:ascii="Arial" w:eastAsia="DengXian" w:hAnsi="Arial" w:cs="Times New Roman"/>
                <w:color w:val="000000"/>
                <w:sz w:val="18"/>
                <w:szCs w:val="18"/>
              </w:rPr>
            </w:pPr>
            <w:r w:rsidRPr="008C1777">
              <w:rPr>
                <w:rFonts w:ascii="Arial" w:eastAsia="DengXian" w:hAnsi="Arial" w:cs="Times New Roman"/>
                <w:color w:val="000000"/>
                <w:sz w:val="18"/>
                <w:szCs w:val="18"/>
              </w:rPr>
              <w:t>Surgery</w:t>
            </w:r>
          </w:p>
        </w:tc>
        <w:tc>
          <w:tcPr>
            <w:tcW w:w="0" w:type="dxa"/>
            <w:vAlign w:val="center"/>
          </w:tcPr>
          <w:p w14:paraId="6D82A8EA" w14:textId="77777777" w:rsidR="006809BE" w:rsidRPr="008C1777" w:rsidRDefault="006809BE" w:rsidP="00187EB1">
            <w:pPr>
              <w:jc w:val="left"/>
              <w:cnfStyle w:val="100000000000" w:firstRow="1" w:lastRow="0" w:firstColumn="0" w:lastColumn="0" w:oddVBand="0" w:evenVBand="0" w:oddHBand="0" w:evenHBand="0" w:firstRowFirstColumn="0" w:firstRowLastColumn="0" w:lastRowFirstColumn="0" w:lastRowLastColumn="0"/>
              <w:rPr>
                <w:rFonts w:ascii="Arial" w:eastAsia="DengXian" w:hAnsi="Arial" w:cs="Times New Roman"/>
                <w:b w:val="0"/>
                <w:bCs w:val="0"/>
                <w:color w:val="000000"/>
                <w:sz w:val="18"/>
                <w:szCs w:val="18"/>
              </w:rPr>
            </w:pPr>
            <m:oMathPara>
              <m:oMath>
                <m:sSub>
                  <m:sSubPr>
                    <m:ctrlPr>
                      <w:rPr>
                        <w:rFonts w:ascii="Cambria Math" w:eastAsia="DengXian" w:hAnsi="Cambria Math" w:cs="Times New Roman"/>
                        <w:b w:val="0"/>
                        <w:bCs w:val="0"/>
                        <w:i/>
                        <w:color w:val="000000"/>
                        <w:sz w:val="18"/>
                        <w:szCs w:val="18"/>
                      </w:rPr>
                    </m:ctrlPr>
                  </m:sSubPr>
                  <m:e>
                    <m:r>
                      <m:rPr>
                        <m:sty m:val="bi"/>
                      </m:rPr>
                      <w:rPr>
                        <w:rFonts w:ascii="Cambria Math" w:eastAsia="DengXian" w:hAnsi="Cambria Math" w:cs="Times New Roman"/>
                        <w:color w:val="000000"/>
                        <w:sz w:val="18"/>
                        <w:szCs w:val="18"/>
                      </w:rPr>
                      <m:t>s</m:t>
                    </m:r>
                  </m:e>
                  <m:sub>
                    <m:r>
                      <m:rPr>
                        <m:sty m:val="bi"/>
                      </m:rPr>
                      <w:rPr>
                        <w:rFonts w:ascii="Cambria Math" w:eastAsia="DengXian" w:hAnsi="Cambria Math" w:cs="Times New Roman"/>
                        <w:color w:val="000000"/>
                        <w:sz w:val="18"/>
                        <w:szCs w:val="18"/>
                      </w:rPr>
                      <m:t>1</m:t>
                    </m:r>
                  </m:sub>
                </m:sSub>
              </m:oMath>
            </m:oMathPara>
          </w:p>
        </w:tc>
        <w:tc>
          <w:tcPr>
            <w:tcW w:w="0" w:type="dxa"/>
            <w:vAlign w:val="center"/>
          </w:tcPr>
          <w:p w14:paraId="489710BE" w14:textId="77777777" w:rsidR="006809BE" w:rsidRPr="008C1777" w:rsidRDefault="006809BE" w:rsidP="00187EB1">
            <w:pPr>
              <w:jc w:val="left"/>
              <w:cnfStyle w:val="100000000000" w:firstRow="1" w:lastRow="0" w:firstColumn="0" w:lastColumn="0" w:oddVBand="0" w:evenVBand="0" w:oddHBand="0" w:evenHBand="0" w:firstRowFirstColumn="0" w:firstRowLastColumn="0" w:lastRowFirstColumn="0" w:lastRowLastColumn="0"/>
              <w:rPr>
                <w:rFonts w:ascii="Arial" w:eastAsia="DengXian" w:hAnsi="Arial" w:cs="Times New Roman"/>
                <w:b w:val="0"/>
                <w:bCs w:val="0"/>
                <w:color w:val="000000"/>
                <w:sz w:val="18"/>
                <w:szCs w:val="18"/>
              </w:rPr>
            </w:pPr>
            <m:oMathPara>
              <m:oMath>
                <m:sSub>
                  <m:sSubPr>
                    <m:ctrlPr>
                      <w:rPr>
                        <w:rFonts w:ascii="Cambria Math" w:eastAsia="DengXian" w:hAnsi="Cambria Math" w:cs="Times New Roman"/>
                        <w:b w:val="0"/>
                        <w:bCs w:val="0"/>
                        <w:i/>
                        <w:color w:val="000000"/>
                        <w:sz w:val="18"/>
                        <w:szCs w:val="18"/>
                      </w:rPr>
                    </m:ctrlPr>
                  </m:sSubPr>
                  <m:e>
                    <m:r>
                      <m:rPr>
                        <m:sty m:val="bi"/>
                      </m:rPr>
                      <w:rPr>
                        <w:rFonts w:ascii="Cambria Math" w:eastAsia="DengXian" w:hAnsi="Cambria Math" w:cs="Times New Roman"/>
                        <w:color w:val="000000"/>
                        <w:sz w:val="18"/>
                        <w:szCs w:val="18"/>
                      </w:rPr>
                      <m:t>s</m:t>
                    </m:r>
                  </m:e>
                  <m:sub>
                    <m:r>
                      <m:rPr>
                        <m:sty m:val="bi"/>
                      </m:rPr>
                      <w:rPr>
                        <w:rFonts w:ascii="Cambria Math" w:eastAsia="DengXian" w:hAnsi="Cambria Math" w:cs="Times New Roman"/>
                        <w:color w:val="000000"/>
                        <w:sz w:val="18"/>
                        <w:szCs w:val="18"/>
                      </w:rPr>
                      <m:t>2</m:t>
                    </m:r>
                  </m:sub>
                </m:sSub>
              </m:oMath>
            </m:oMathPara>
          </w:p>
        </w:tc>
        <w:tc>
          <w:tcPr>
            <w:tcW w:w="0" w:type="dxa"/>
            <w:vAlign w:val="center"/>
          </w:tcPr>
          <w:p w14:paraId="666A2D0D" w14:textId="77777777" w:rsidR="006809BE" w:rsidRPr="008C1777" w:rsidRDefault="006809BE" w:rsidP="00187EB1">
            <w:pPr>
              <w:jc w:val="left"/>
              <w:cnfStyle w:val="100000000000" w:firstRow="1" w:lastRow="0" w:firstColumn="0" w:lastColumn="0" w:oddVBand="0" w:evenVBand="0" w:oddHBand="0" w:evenHBand="0" w:firstRowFirstColumn="0" w:firstRowLastColumn="0" w:lastRowFirstColumn="0" w:lastRowLastColumn="0"/>
              <w:rPr>
                <w:rFonts w:ascii="Arial" w:eastAsia="DengXian" w:hAnsi="Arial" w:cs="Times New Roman"/>
                <w:color w:val="000000"/>
                <w:sz w:val="18"/>
                <w:szCs w:val="18"/>
              </w:rPr>
            </w:pPr>
            <m:oMathPara>
              <m:oMath>
                <m:sSub>
                  <m:sSubPr>
                    <m:ctrlPr>
                      <w:rPr>
                        <w:rFonts w:ascii="Cambria Math" w:eastAsia="DengXian" w:hAnsi="Cambria Math" w:cs="Times New Roman"/>
                        <w:b w:val="0"/>
                        <w:bCs w:val="0"/>
                        <w:i/>
                        <w:color w:val="000000"/>
                        <w:sz w:val="18"/>
                        <w:szCs w:val="18"/>
                      </w:rPr>
                    </m:ctrlPr>
                  </m:sSubPr>
                  <m:e>
                    <m:r>
                      <m:rPr>
                        <m:sty m:val="bi"/>
                      </m:rPr>
                      <w:rPr>
                        <w:rFonts w:ascii="Cambria Math" w:eastAsia="DengXian" w:hAnsi="Cambria Math" w:cs="Times New Roman"/>
                        <w:color w:val="000000"/>
                        <w:sz w:val="18"/>
                        <w:szCs w:val="18"/>
                      </w:rPr>
                      <m:t>s</m:t>
                    </m:r>
                  </m:e>
                  <m:sub>
                    <m:r>
                      <m:rPr>
                        <m:sty m:val="bi"/>
                      </m:rPr>
                      <w:rPr>
                        <w:rFonts w:ascii="Cambria Math" w:eastAsia="DengXian" w:hAnsi="Cambria Math" w:cs="Times New Roman"/>
                        <w:color w:val="000000"/>
                        <w:sz w:val="18"/>
                        <w:szCs w:val="18"/>
                      </w:rPr>
                      <m:t>3</m:t>
                    </m:r>
                  </m:sub>
                </m:sSub>
              </m:oMath>
            </m:oMathPara>
          </w:p>
        </w:tc>
        <w:tc>
          <w:tcPr>
            <w:tcW w:w="0" w:type="dxa"/>
            <w:vAlign w:val="center"/>
          </w:tcPr>
          <w:p w14:paraId="124F385F" w14:textId="77777777" w:rsidR="006809BE" w:rsidRPr="008C1777" w:rsidRDefault="006809BE" w:rsidP="00187EB1">
            <w:pPr>
              <w:jc w:val="left"/>
              <w:cnfStyle w:val="100000000000" w:firstRow="1" w:lastRow="0" w:firstColumn="0" w:lastColumn="0" w:oddVBand="0" w:evenVBand="0" w:oddHBand="0" w:evenHBand="0" w:firstRowFirstColumn="0" w:firstRowLastColumn="0" w:lastRowFirstColumn="0" w:lastRowLastColumn="0"/>
              <w:rPr>
                <w:rFonts w:ascii="Arial" w:eastAsia="DengXian" w:hAnsi="Arial" w:cs="Times New Roman"/>
                <w:color w:val="000000"/>
                <w:sz w:val="18"/>
                <w:szCs w:val="18"/>
              </w:rPr>
            </w:pPr>
            <m:oMathPara>
              <m:oMath>
                <m:sSub>
                  <m:sSubPr>
                    <m:ctrlPr>
                      <w:rPr>
                        <w:rFonts w:ascii="Cambria Math" w:eastAsia="DengXian" w:hAnsi="Cambria Math" w:cs="Times New Roman"/>
                        <w:b w:val="0"/>
                        <w:bCs w:val="0"/>
                        <w:i/>
                        <w:color w:val="000000"/>
                        <w:sz w:val="18"/>
                        <w:szCs w:val="18"/>
                      </w:rPr>
                    </m:ctrlPr>
                  </m:sSubPr>
                  <m:e>
                    <m:r>
                      <m:rPr>
                        <m:sty m:val="bi"/>
                      </m:rPr>
                      <w:rPr>
                        <w:rFonts w:ascii="Cambria Math" w:eastAsia="DengXian" w:hAnsi="Cambria Math" w:cs="Times New Roman"/>
                        <w:color w:val="000000"/>
                        <w:sz w:val="18"/>
                        <w:szCs w:val="18"/>
                      </w:rPr>
                      <m:t>s</m:t>
                    </m:r>
                  </m:e>
                  <m:sub>
                    <m:r>
                      <m:rPr>
                        <m:sty m:val="bi"/>
                      </m:rPr>
                      <w:rPr>
                        <w:rFonts w:ascii="Cambria Math" w:eastAsia="DengXian" w:hAnsi="Cambria Math" w:cs="Times New Roman"/>
                        <w:color w:val="000000"/>
                        <w:sz w:val="18"/>
                        <w:szCs w:val="18"/>
                      </w:rPr>
                      <m:t>4</m:t>
                    </m:r>
                  </m:sub>
                </m:sSub>
              </m:oMath>
            </m:oMathPara>
          </w:p>
        </w:tc>
        <w:tc>
          <w:tcPr>
            <w:tcW w:w="0" w:type="dxa"/>
            <w:vAlign w:val="center"/>
          </w:tcPr>
          <w:p w14:paraId="04325687" w14:textId="77777777" w:rsidR="006809BE" w:rsidRPr="008C1777" w:rsidRDefault="006809BE" w:rsidP="00187EB1">
            <w:pPr>
              <w:jc w:val="left"/>
              <w:cnfStyle w:val="100000000000" w:firstRow="1" w:lastRow="0" w:firstColumn="0" w:lastColumn="0" w:oddVBand="0" w:evenVBand="0" w:oddHBand="0" w:evenHBand="0" w:firstRowFirstColumn="0" w:firstRowLastColumn="0" w:lastRowFirstColumn="0" w:lastRowLastColumn="0"/>
              <w:rPr>
                <w:rFonts w:ascii="Arial" w:eastAsia="DengXian" w:hAnsi="Arial" w:cs="Times New Roman"/>
                <w:color w:val="000000"/>
                <w:sz w:val="18"/>
                <w:szCs w:val="18"/>
              </w:rPr>
            </w:pPr>
            <m:oMathPara>
              <m:oMath>
                <m:sSub>
                  <m:sSubPr>
                    <m:ctrlPr>
                      <w:rPr>
                        <w:rFonts w:ascii="Cambria Math" w:eastAsia="DengXian" w:hAnsi="Cambria Math" w:cs="Times New Roman"/>
                        <w:b w:val="0"/>
                        <w:bCs w:val="0"/>
                        <w:i/>
                        <w:color w:val="000000"/>
                        <w:sz w:val="18"/>
                        <w:szCs w:val="18"/>
                      </w:rPr>
                    </m:ctrlPr>
                  </m:sSubPr>
                  <m:e>
                    <m:r>
                      <m:rPr>
                        <m:sty m:val="bi"/>
                      </m:rPr>
                      <w:rPr>
                        <w:rFonts w:ascii="Cambria Math" w:eastAsia="DengXian" w:hAnsi="Cambria Math" w:cs="Times New Roman"/>
                        <w:color w:val="000000"/>
                        <w:sz w:val="18"/>
                        <w:szCs w:val="18"/>
                      </w:rPr>
                      <m:t>s</m:t>
                    </m:r>
                  </m:e>
                  <m:sub>
                    <m:r>
                      <m:rPr>
                        <m:sty m:val="bi"/>
                      </m:rPr>
                      <w:rPr>
                        <w:rFonts w:ascii="Cambria Math" w:eastAsia="DengXian" w:hAnsi="Cambria Math" w:cs="Times New Roman"/>
                        <w:color w:val="000000"/>
                        <w:sz w:val="18"/>
                        <w:szCs w:val="18"/>
                      </w:rPr>
                      <m:t>5</m:t>
                    </m:r>
                  </m:sub>
                </m:sSub>
              </m:oMath>
            </m:oMathPara>
          </w:p>
        </w:tc>
        <w:tc>
          <w:tcPr>
            <w:tcW w:w="0" w:type="dxa"/>
            <w:vAlign w:val="center"/>
          </w:tcPr>
          <w:p w14:paraId="1A2E2D7F" w14:textId="77777777" w:rsidR="006809BE" w:rsidRPr="008C1777" w:rsidRDefault="006809BE" w:rsidP="00187EB1">
            <w:pPr>
              <w:ind w:rightChars="-62" w:right="-130"/>
              <w:jc w:val="left"/>
              <w:cnfStyle w:val="100000000000" w:firstRow="1" w:lastRow="0" w:firstColumn="0" w:lastColumn="0" w:oddVBand="0" w:evenVBand="0" w:oddHBand="0" w:evenHBand="0" w:firstRowFirstColumn="0" w:firstRowLastColumn="0" w:lastRowFirstColumn="0" w:lastRowLastColumn="0"/>
              <w:rPr>
                <w:rFonts w:ascii="Arial" w:eastAsia="DengXian" w:hAnsi="Arial" w:cs="Times New Roman"/>
                <w:color w:val="000000"/>
                <w:sz w:val="18"/>
                <w:szCs w:val="18"/>
              </w:rPr>
            </w:pPr>
            <m:oMathPara>
              <m:oMath>
                <m:sSub>
                  <m:sSubPr>
                    <m:ctrlPr>
                      <w:rPr>
                        <w:rFonts w:ascii="Cambria Math" w:eastAsia="DengXian" w:hAnsi="Cambria Math" w:cs="Times New Roman"/>
                        <w:b w:val="0"/>
                        <w:bCs w:val="0"/>
                        <w:i/>
                        <w:color w:val="000000"/>
                        <w:sz w:val="18"/>
                        <w:szCs w:val="18"/>
                      </w:rPr>
                    </m:ctrlPr>
                  </m:sSubPr>
                  <m:e>
                    <m:r>
                      <m:rPr>
                        <m:sty m:val="bi"/>
                      </m:rPr>
                      <w:rPr>
                        <w:rFonts w:ascii="Cambria Math" w:eastAsia="DengXian" w:hAnsi="Cambria Math" w:cs="Times New Roman"/>
                        <w:color w:val="000000"/>
                        <w:sz w:val="18"/>
                        <w:szCs w:val="18"/>
                      </w:rPr>
                      <m:t>s</m:t>
                    </m:r>
                  </m:e>
                  <m:sub>
                    <m:r>
                      <m:rPr>
                        <m:sty m:val="bi"/>
                      </m:rPr>
                      <w:rPr>
                        <w:rFonts w:ascii="Cambria Math" w:eastAsia="DengXian" w:hAnsi="Cambria Math" w:cs="Times New Roman"/>
                        <w:color w:val="000000"/>
                        <w:sz w:val="18"/>
                        <w:szCs w:val="18"/>
                      </w:rPr>
                      <m:t>6</m:t>
                    </m:r>
                  </m:sub>
                </m:sSub>
              </m:oMath>
            </m:oMathPara>
          </w:p>
        </w:tc>
      </w:tr>
      <w:tr w:rsidR="006809BE" w:rsidRPr="008C1777" w14:paraId="13E2EC1C" w14:textId="77777777" w:rsidTr="00187EB1">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64C212E0" w14:textId="77777777" w:rsidR="006809BE" w:rsidRPr="008C1777" w:rsidRDefault="006809BE" w:rsidP="00187EB1">
            <w:pPr>
              <w:jc w:val="left"/>
              <w:rPr>
                <w:rFonts w:ascii="Arial" w:eastAsia="DengXian" w:hAnsi="Arial" w:cs="Times New Roman"/>
                <w:b w:val="0"/>
                <w:bCs w:val="0"/>
                <w:color w:val="000000"/>
                <w:sz w:val="18"/>
                <w:szCs w:val="18"/>
              </w:rPr>
            </w:pPr>
            <w:r w:rsidRPr="008C1777">
              <w:rPr>
                <w:rFonts w:ascii="Arial" w:eastAsia="DengXian" w:hAnsi="Arial" w:cs="Times New Roman"/>
                <w:color w:val="000000"/>
                <w:sz w:val="18"/>
                <w:szCs w:val="18"/>
              </w:rPr>
              <w:t>Abbreviation</w:t>
            </w:r>
          </w:p>
        </w:tc>
        <w:tc>
          <w:tcPr>
            <w:tcW w:w="0" w:type="dxa"/>
            <w:vAlign w:val="center"/>
            <w:hideMark/>
          </w:tcPr>
          <w:p w14:paraId="045B14FD" w14:textId="77777777" w:rsidR="006809BE" w:rsidRPr="008C1777" w:rsidRDefault="006809BE" w:rsidP="00187EB1">
            <w:pPr>
              <w:jc w:val="left"/>
              <w:cnfStyle w:val="000000100000" w:firstRow="0" w:lastRow="0" w:firstColumn="0" w:lastColumn="0" w:oddVBand="0" w:evenVBand="0" w:oddHBand="1" w:evenHBand="0" w:firstRowFirstColumn="0" w:firstRowLastColumn="0" w:lastRowFirstColumn="0" w:lastRowLastColumn="0"/>
              <w:rPr>
                <w:rFonts w:ascii="Arial" w:eastAsia="DengXian" w:hAnsi="Arial" w:cs="Times New Roman"/>
                <w:b/>
                <w:bCs/>
                <w:color w:val="000000"/>
                <w:sz w:val="18"/>
                <w:szCs w:val="18"/>
              </w:rPr>
            </w:pPr>
            <w:r w:rsidRPr="008C1777">
              <w:rPr>
                <w:rFonts w:ascii="Arial" w:eastAsia="DengXian" w:hAnsi="Arial" w:cs="Times New Roman"/>
                <w:color w:val="000000"/>
                <w:sz w:val="18"/>
                <w:szCs w:val="18"/>
              </w:rPr>
              <w:t>ATVM</w:t>
            </w:r>
          </w:p>
        </w:tc>
        <w:tc>
          <w:tcPr>
            <w:tcW w:w="0" w:type="dxa"/>
            <w:vAlign w:val="center"/>
            <w:hideMark/>
          </w:tcPr>
          <w:p w14:paraId="3540D9D2" w14:textId="77777777" w:rsidR="006809BE" w:rsidRPr="008C1777" w:rsidRDefault="006809BE" w:rsidP="00187EB1">
            <w:pPr>
              <w:jc w:val="left"/>
              <w:cnfStyle w:val="000000100000" w:firstRow="0" w:lastRow="0" w:firstColumn="0" w:lastColumn="0" w:oddVBand="0" w:evenVBand="0" w:oddHBand="1" w:evenHBand="0" w:firstRowFirstColumn="0" w:firstRowLastColumn="0" w:lastRowFirstColumn="0" w:lastRowLastColumn="0"/>
              <w:rPr>
                <w:rFonts w:ascii="Arial" w:eastAsia="DengXian" w:hAnsi="Arial" w:cs="Times New Roman"/>
                <w:b/>
                <w:bCs/>
                <w:color w:val="000000"/>
                <w:sz w:val="18"/>
                <w:szCs w:val="18"/>
              </w:rPr>
            </w:pPr>
            <w:r w:rsidRPr="008C1777">
              <w:rPr>
                <w:rFonts w:ascii="Arial" w:eastAsia="DengXian" w:hAnsi="Arial" w:cs="Times New Roman"/>
                <w:color w:val="000000"/>
                <w:sz w:val="18"/>
                <w:szCs w:val="18"/>
              </w:rPr>
              <w:t>PTVM</w:t>
            </w:r>
          </w:p>
        </w:tc>
        <w:tc>
          <w:tcPr>
            <w:tcW w:w="0" w:type="dxa"/>
            <w:vAlign w:val="center"/>
            <w:hideMark/>
          </w:tcPr>
          <w:p w14:paraId="13F111B4" w14:textId="77777777" w:rsidR="006809BE" w:rsidRPr="008C1777" w:rsidRDefault="006809BE" w:rsidP="00187EB1">
            <w:pPr>
              <w:jc w:val="left"/>
              <w:cnfStyle w:val="000000100000" w:firstRow="0" w:lastRow="0" w:firstColumn="0" w:lastColumn="0" w:oddVBand="0" w:evenVBand="0" w:oddHBand="1" w:evenHBand="0" w:firstRowFirstColumn="0" w:firstRowLastColumn="0" w:lastRowFirstColumn="0" w:lastRowLastColumn="0"/>
              <w:rPr>
                <w:rFonts w:ascii="Arial" w:eastAsia="DengXian" w:hAnsi="Arial" w:cs="Times New Roman"/>
                <w:b/>
                <w:bCs/>
                <w:color w:val="000000"/>
                <w:sz w:val="18"/>
                <w:szCs w:val="18"/>
              </w:rPr>
            </w:pPr>
            <w:r w:rsidRPr="008C1777">
              <w:rPr>
                <w:rFonts w:ascii="Arial" w:eastAsia="DengXian" w:hAnsi="Arial" w:cs="Times New Roman"/>
                <w:color w:val="000000"/>
                <w:sz w:val="18"/>
                <w:szCs w:val="18"/>
              </w:rPr>
              <w:t>SC</w:t>
            </w:r>
          </w:p>
        </w:tc>
        <w:tc>
          <w:tcPr>
            <w:tcW w:w="0" w:type="dxa"/>
            <w:vAlign w:val="center"/>
            <w:hideMark/>
          </w:tcPr>
          <w:p w14:paraId="2240D3A6" w14:textId="77777777" w:rsidR="006809BE" w:rsidRPr="008C1777" w:rsidRDefault="006809BE" w:rsidP="00187EB1">
            <w:pPr>
              <w:jc w:val="left"/>
              <w:cnfStyle w:val="000000100000" w:firstRow="0" w:lastRow="0" w:firstColumn="0" w:lastColumn="0" w:oddVBand="0" w:evenVBand="0" w:oddHBand="1" w:evenHBand="0" w:firstRowFirstColumn="0" w:firstRowLastColumn="0" w:lastRowFirstColumn="0" w:lastRowLastColumn="0"/>
              <w:rPr>
                <w:rFonts w:ascii="Arial" w:eastAsia="DengXian" w:hAnsi="Arial" w:cs="Times New Roman"/>
                <w:b/>
                <w:bCs/>
                <w:color w:val="000000"/>
                <w:sz w:val="18"/>
                <w:szCs w:val="18"/>
              </w:rPr>
            </w:pPr>
            <w:r w:rsidRPr="008C1777">
              <w:rPr>
                <w:rFonts w:ascii="Arial" w:eastAsia="DengXian" w:hAnsi="Arial" w:cs="Times New Roman"/>
                <w:color w:val="000000"/>
                <w:sz w:val="18"/>
                <w:szCs w:val="18"/>
              </w:rPr>
              <w:t>ULS</w:t>
            </w:r>
          </w:p>
        </w:tc>
        <w:tc>
          <w:tcPr>
            <w:tcW w:w="0" w:type="dxa"/>
            <w:vAlign w:val="center"/>
            <w:hideMark/>
          </w:tcPr>
          <w:p w14:paraId="2C04560E" w14:textId="77777777" w:rsidR="006809BE" w:rsidRPr="008C1777" w:rsidRDefault="006809BE" w:rsidP="00187EB1">
            <w:pPr>
              <w:jc w:val="left"/>
              <w:cnfStyle w:val="000000100000" w:firstRow="0" w:lastRow="0" w:firstColumn="0" w:lastColumn="0" w:oddVBand="0" w:evenVBand="0" w:oddHBand="1" w:evenHBand="0" w:firstRowFirstColumn="0" w:firstRowLastColumn="0" w:lastRowFirstColumn="0" w:lastRowLastColumn="0"/>
              <w:rPr>
                <w:rFonts w:ascii="Arial" w:eastAsia="DengXian" w:hAnsi="Arial" w:cs="Times New Roman"/>
                <w:b/>
                <w:bCs/>
                <w:color w:val="000000"/>
                <w:sz w:val="18"/>
                <w:szCs w:val="18"/>
              </w:rPr>
            </w:pPr>
            <w:r w:rsidRPr="008C1777">
              <w:rPr>
                <w:rFonts w:ascii="Arial" w:eastAsia="DengXian" w:hAnsi="Arial" w:cs="Times New Roman"/>
                <w:color w:val="000000"/>
                <w:sz w:val="18"/>
                <w:szCs w:val="18"/>
              </w:rPr>
              <w:t>SSLF</w:t>
            </w:r>
          </w:p>
        </w:tc>
        <w:tc>
          <w:tcPr>
            <w:tcW w:w="0" w:type="dxa"/>
            <w:vAlign w:val="center"/>
            <w:hideMark/>
          </w:tcPr>
          <w:p w14:paraId="3D662D41" w14:textId="77777777" w:rsidR="006809BE" w:rsidRPr="008C1777" w:rsidRDefault="006809BE" w:rsidP="00187EB1">
            <w:pPr>
              <w:ind w:rightChars="-62" w:right="-130"/>
              <w:jc w:val="left"/>
              <w:cnfStyle w:val="000000100000" w:firstRow="0" w:lastRow="0" w:firstColumn="0" w:lastColumn="0" w:oddVBand="0" w:evenVBand="0" w:oddHBand="1" w:evenHBand="0" w:firstRowFirstColumn="0" w:firstRowLastColumn="0" w:lastRowFirstColumn="0" w:lastRowLastColumn="0"/>
              <w:rPr>
                <w:rFonts w:ascii="Arial" w:eastAsia="DengXian" w:hAnsi="Arial" w:cs="Times New Roman"/>
                <w:b/>
                <w:bCs/>
                <w:color w:val="000000"/>
                <w:sz w:val="18"/>
                <w:szCs w:val="18"/>
              </w:rPr>
            </w:pPr>
            <w:r w:rsidRPr="008C1777">
              <w:rPr>
                <w:rFonts w:ascii="Arial" w:eastAsia="DengXian" w:hAnsi="Arial" w:cs="Times New Roman"/>
                <w:color w:val="000000"/>
                <w:sz w:val="18"/>
                <w:szCs w:val="18"/>
              </w:rPr>
              <w:t>Colpocleisis</w:t>
            </w:r>
          </w:p>
        </w:tc>
      </w:tr>
      <w:tr w:rsidR="006809BE" w:rsidRPr="008C1777" w14:paraId="09EDCD42" w14:textId="77777777" w:rsidTr="00187EB1">
        <w:trPr>
          <w:trHeight w:val="820"/>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0388AB51" w14:textId="77777777" w:rsidR="006809BE" w:rsidRPr="008C1777" w:rsidRDefault="006809BE" w:rsidP="00187EB1">
            <w:pPr>
              <w:jc w:val="left"/>
              <w:rPr>
                <w:rFonts w:ascii="Arial" w:eastAsia="DengXian" w:hAnsi="Arial" w:cs="Times New Roman"/>
                <w:b w:val="0"/>
                <w:bCs w:val="0"/>
                <w:color w:val="000000"/>
                <w:sz w:val="18"/>
                <w:szCs w:val="18"/>
              </w:rPr>
            </w:pPr>
            <w:r w:rsidRPr="008C1777">
              <w:rPr>
                <w:rFonts w:ascii="Arial" w:eastAsia="DengXian" w:hAnsi="Arial" w:cs="Times New Roman"/>
                <w:color w:val="000000"/>
                <w:sz w:val="18"/>
                <w:szCs w:val="18"/>
              </w:rPr>
              <w:t>Full name</w:t>
            </w:r>
          </w:p>
        </w:tc>
        <w:tc>
          <w:tcPr>
            <w:tcW w:w="0" w:type="dxa"/>
            <w:vAlign w:val="center"/>
            <w:hideMark/>
          </w:tcPr>
          <w:p w14:paraId="2D20FE4C" w14:textId="77777777" w:rsidR="006809BE" w:rsidRPr="008C1777" w:rsidRDefault="006809BE" w:rsidP="00187EB1">
            <w:pPr>
              <w:jc w:val="left"/>
              <w:cnfStyle w:val="000000000000" w:firstRow="0" w:lastRow="0" w:firstColumn="0" w:lastColumn="0" w:oddVBand="0" w:evenVBand="0" w:oddHBand="0"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Anterior transvaginal mesh</w:t>
            </w:r>
          </w:p>
        </w:tc>
        <w:tc>
          <w:tcPr>
            <w:tcW w:w="0" w:type="dxa"/>
            <w:vAlign w:val="center"/>
            <w:hideMark/>
          </w:tcPr>
          <w:p w14:paraId="65C8621A" w14:textId="77777777" w:rsidR="006809BE" w:rsidRPr="008C1777" w:rsidRDefault="006809BE" w:rsidP="00187EB1">
            <w:pPr>
              <w:jc w:val="left"/>
              <w:cnfStyle w:val="000000000000" w:firstRow="0" w:lastRow="0" w:firstColumn="0" w:lastColumn="0" w:oddVBand="0" w:evenVBand="0" w:oddHBand="0"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Posterior transvaginal mesh</w:t>
            </w:r>
          </w:p>
        </w:tc>
        <w:tc>
          <w:tcPr>
            <w:tcW w:w="0" w:type="dxa"/>
            <w:vAlign w:val="center"/>
            <w:hideMark/>
          </w:tcPr>
          <w:p w14:paraId="53687E00" w14:textId="77777777" w:rsidR="006809BE" w:rsidRPr="008C1777" w:rsidRDefault="006809BE" w:rsidP="00187EB1">
            <w:pPr>
              <w:jc w:val="left"/>
              <w:cnfStyle w:val="000000000000" w:firstRow="0" w:lastRow="0" w:firstColumn="0" w:lastColumn="0" w:oddVBand="0" w:evenVBand="0" w:oddHBand="0"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Sacrocolpopexy</w:t>
            </w:r>
          </w:p>
        </w:tc>
        <w:tc>
          <w:tcPr>
            <w:tcW w:w="0" w:type="dxa"/>
            <w:vAlign w:val="center"/>
            <w:hideMark/>
          </w:tcPr>
          <w:p w14:paraId="6AB697D2" w14:textId="77777777" w:rsidR="006809BE" w:rsidRPr="008C1777" w:rsidRDefault="006809BE" w:rsidP="00187EB1">
            <w:pPr>
              <w:ind w:leftChars="-52" w:left="-109"/>
              <w:jc w:val="left"/>
              <w:cnfStyle w:val="000000000000" w:firstRow="0" w:lastRow="0" w:firstColumn="0" w:lastColumn="0" w:oddVBand="0" w:evenVBand="0" w:oddHBand="0"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Uterosacral ligament suspension</w:t>
            </w:r>
          </w:p>
        </w:tc>
        <w:tc>
          <w:tcPr>
            <w:tcW w:w="0" w:type="dxa"/>
            <w:vAlign w:val="center"/>
            <w:hideMark/>
          </w:tcPr>
          <w:p w14:paraId="79EB3A9D" w14:textId="77777777" w:rsidR="006809BE" w:rsidRPr="008C1777" w:rsidRDefault="006809BE" w:rsidP="00187EB1">
            <w:pPr>
              <w:jc w:val="left"/>
              <w:cnfStyle w:val="000000000000" w:firstRow="0" w:lastRow="0" w:firstColumn="0" w:lastColumn="0" w:oddVBand="0" w:evenVBand="0" w:oddHBand="0"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Sacrospinous ligament fixation</w:t>
            </w:r>
          </w:p>
        </w:tc>
        <w:tc>
          <w:tcPr>
            <w:tcW w:w="0" w:type="dxa"/>
            <w:vAlign w:val="center"/>
            <w:hideMark/>
          </w:tcPr>
          <w:p w14:paraId="50348561" w14:textId="77777777" w:rsidR="006809BE" w:rsidRPr="008C1777" w:rsidRDefault="006809BE" w:rsidP="00187EB1">
            <w:pPr>
              <w:jc w:val="left"/>
              <w:cnfStyle w:val="000000000000" w:firstRow="0" w:lastRow="0" w:firstColumn="0" w:lastColumn="0" w:oddVBand="0" w:evenVBand="0" w:oddHBand="0"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Complete/partial colpocleis</w:t>
            </w:r>
            <w:r w:rsidRPr="008C1777">
              <w:rPr>
                <w:rFonts w:ascii="Arial" w:eastAsia="DengXian" w:hAnsi="Arial" w:cs="Times New Roman" w:hint="eastAsia"/>
                <w:color w:val="000000"/>
                <w:sz w:val="18"/>
                <w:szCs w:val="18"/>
              </w:rPr>
              <w:t>is</w:t>
            </w:r>
          </w:p>
        </w:tc>
      </w:tr>
      <w:tr w:rsidR="006809BE" w:rsidRPr="008C1777" w14:paraId="7E732202" w14:textId="77777777" w:rsidTr="00187EB1">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02E8097D" w14:textId="77777777" w:rsidR="006809BE" w:rsidRPr="008C1777" w:rsidRDefault="006809BE" w:rsidP="00187EB1">
            <w:pPr>
              <w:jc w:val="left"/>
              <w:rPr>
                <w:rFonts w:ascii="Arial" w:eastAsia="DengXian" w:hAnsi="Arial" w:cs="Times New Roman"/>
                <w:b w:val="0"/>
                <w:bCs w:val="0"/>
                <w:color w:val="000000"/>
                <w:sz w:val="18"/>
                <w:szCs w:val="18"/>
              </w:rPr>
            </w:pPr>
            <w:r w:rsidRPr="008C1777">
              <w:rPr>
                <w:rFonts w:ascii="Arial" w:eastAsia="DengXian" w:hAnsi="Arial" w:cs="Times New Roman"/>
                <w:color w:val="000000"/>
                <w:sz w:val="18"/>
                <w:szCs w:val="18"/>
              </w:rPr>
              <w:t>Material</w:t>
            </w:r>
          </w:p>
        </w:tc>
        <w:tc>
          <w:tcPr>
            <w:tcW w:w="0" w:type="dxa"/>
            <w:gridSpan w:val="3"/>
            <w:vAlign w:val="center"/>
            <w:hideMark/>
          </w:tcPr>
          <w:p w14:paraId="1AC0AFD8" w14:textId="77777777" w:rsidR="006809BE" w:rsidRPr="008C1777" w:rsidRDefault="006809BE" w:rsidP="00187EB1">
            <w:pPr>
              <w:jc w:val="center"/>
              <w:cnfStyle w:val="000000100000" w:firstRow="0" w:lastRow="0" w:firstColumn="0" w:lastColumn="0" w:oddVBand="0" w:evenVBand="0" w:oddHBand="1"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Mesh</w:t>
            </w:r>
          </w:p>
        </w:tc>
        <w:tc>
          <w:tcPr>
            <w:tcW w:w="0" w:type="dxa"/>
            <w:gridSpan w:val="3"/>
            <w:vAlign w:val="center"/>
            <w:hideMark/>
          </w:tcPr>
          <w:p w14:paraId="6D26A41F" w14:textId="77777777" w:rsidR="006809BE" w:rsidRPr="008C1777" w:rsidRDefault="006809BE" w:rsidP="00187EB1">
            <w:pPr>
              <w:jc w:val="center"/>
              <w:cnfStyle w:val="000000100000" w:firstRow="0" w:lastRow="0" w:firstColumn="0" w:lastColumn="0" w:oddVBand="0" w:evenVBand="0" w:oddHBand="1" w:evenHBand="0" w:firstRowFirstColumn="0" w:firstRowLastColumn="0" w:lastRowFirstColumn="0" w:lastRowLastColumn="0"/>
              <w:rPr>
                <w:rFonts w:ascii="Arial" w:eastAsia="DengXian" w:hAnsi="Arial" w:cs="Times New Roman"/>
                <w:color w:val="000000"/>
                <w:sz w:val="18"/>
                <w:szCs w:val="18"/>
              </w:rPr>
            </w:pPr>
            <w:r w:rsidRPr="008C1777">
              <w:rPr>
                <w:rFonts w:ascii="Arial" w:hAnsi="Arial" w:cs="Times New Roman"/>
                <w:iCs/>
                <w:color w:val="000000" w:themeColor="text1"/>
                <w:sz w:val="18"/>
                <w:szCs w:val="18"/>
              </w:rPr>
              <w:t>Native tissue repair (</w:t>
            </w:r>
            <w:r w:rsidRPr="008C1777">
              <w:rPr>
                <w:rFonts w:ascii="Arial" w:eastAsia="DengXian" w:hAnsi="Arial" w:cs="Times New Roman"/>
                <w:color w:val="000000"/>
                <w:sz w:val="18"/>
                <w:szCs w:val="18"/>
              </w:rPr>
              <w:t>NTR)</w:t>
            </w:r>
          </w:p>
        </w:tc>
      </w:tr>
      <w:tr w:rsidR="006809BE" w:rsidRPr="008C1777" w14:paraId="57FC73B1" w14:textId="77777777" w:rsidTr="00187EB1">
        <w:trPr>
          <w:trHeight w:val="560"/>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21ECA489" w14:textId="77777777" w:rsidR="006809BE" w:rsidRPr="008C1777" w:rsidRDefault="006809BE" w:rsidP="00187EB1">
            <w:pPr>
              <w:jc w:val="left"/>
              <w:rPr>
                <w:rFonts w:ascii="Arial" w:eastAsia="DengXian" w:hAnsi="Arial" w:cs="Times New Roman"/>
                <w:b w:val="0"/>
                <w:bCs w:val="0"/>
                <w:color w:val="000000"/>
                <w:sz w:val="18"/>
                <w:szCs w:val="18"/>
              </w:rPr>
            </w:pPr>
            <w:r w:rsidRPr="008C1777">
              <w:rPr>
                <w:rFonts w:ascii="Arial" w:eastAsia="DengXian" w:hAnsi="Arial" w:cs="Times New Roman"/>
                <w:color w:val="000000"/>
                <w:sz w:val="18"/>
                <w:szCs w:val="18"/>
              </w:rPr>
              <w:t>Approach</w:t>
            </w:r>
          </w:p>
        </w:tc>
        <w:tc>
          <w:tcPr>
            <w:tcW w:w="0" w:type="dxa"/>
            <w:vAlign w:val="center"/>
            <w:hideMark/>
          </w:tcPr>
          <w:p w14:paraId="0E70CE59" w14:textId="77777777" w:rsidR="006809BE" w:rsidRPr="008C1777" w:rsidRDefault="006809BE" w:rsidP="00187EB1">
            <w:pPr>
              <w:jc w:val="left"/>
              <w:cnfStyle w:val="000000000000" w:firstRow="0" w:lastRow="0" w:firstColumn="0" w:lastColumn="0" w:oddVBand="0" w:evenVBand="0" w:oddHBand="0"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Transvaginal</w:t>
            </w:r>
          </w:p>
        </w:tc>
        <w:tc>
          <w:tcPr>
            <w:tcW w:w="0" w:type="dxa"/>
            <w:vAlign w:val="center"/>
            <w:hideMark/>
          </w:tcPr>
          <w:p w14:paraId="18A8F71D" w14:textId="77777777" w:rsidR="006809BE" w:rsidRPr="008C1777" w:rsidRDefault="006809BE" w:rsidP="00187EB1">
            <w:pPr>
              <w:jc w:val="left"/>
              <w:cnfStyle w:val="000000000000" w:firstRow="0" w:lastRow="0" w:firstColumn="0" w:lastColumn="0" w:oddVBand="0" w:evenVBand="0" w:oddHBand="0"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Transvaginal</w:t>
            </w:r>
          </w:p>
        </w:tc>
        <w:tc>
          <w:tcPr>
            <w:tcW w:w="0" w:type="dxa"/>
            <w:vAlign w:val="center"/>
            <w:hideMark/>
          </w:tcPr>
          <w:p w14:paraId="251CD1A7" w14:textId="77777777" w:rsidR="006809BE" w:rsidRPr="008C1777" w:rsidRDefault="006809BE" w:rsidP="00187EB1">
            <w:pPr>
              <w:jc w:val="left"/>
              <w:cnfStyle w:val="000000000000" w:firstRow="0" w:lastRow="0" w:firstColumn="0" w:lastColumn="0" w:oddVBand="0" w:evenVBand="0" w:oddHBand="0"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Laparoscopic/ transabdominal</w:t>
            </w:r>
          </w:p>
        </w:tc>
        <w:tc>
          <w:tcPr>
            <w:tcW w:w="0" w:type="dxa"/>
            <w:vAlign w:val="center"/>
            <w:hideMark/>
          </w:tcPr>
          <w:p w14:paraId="5DA3BD65" w14:textId="77777777" w:rsidR="006809BE" w:rsidRPr="008C1777" w:rsidRDefault="006809BE" w:rsidP="00187EB1">
            <w:pPr>
              <w:jc w:val="left"/>
              <w:cnfStyle w:val="000000000000" w:firstRow="0" w:lastRow="0" w:firstColumn="0" w:lastColumn="0" w:oddVBand="0" w:evenVBand="0" w:oddHBand="0"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Transvaginal/ laparoscopic</w:t>
            </w:r>
          </w:p>
        </w:tc>
        <w:tc>
          <w:tcPr>
            <w:tcW w:w="0" w:type="dxa"/>
            <w:vAlign w:val="center"/>
            <w:hideMark/>
          </w:tcPr>
          <w:p w14:paraId="6DA5C1B3" w14:textId="77777777" w:rsidR="006809BE" w:rsidRPr="008C1777" w:rsidRDefault="006809BE" w:rsidP="00187EB1">
            <w:pPr>
              <w:jc w:val="left"/>
              <w:cnfStyle w:val="000000000000" w:firstRow="0" w:lastRow="0" w:firstColumn="0" w:lastColumn="0" w:oddVBand="0" w:evenVBand="0" w:oddHBand="0"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Transvaginal</w:t>
            </w:r>
          </w:p>
        </w:tc>
        <w:tc>
          <w:tcPr>
            <w:tcW w:w="0" w:type="dxa"/>
            <w:vAlign w:val="center"/>
            <w:hideMark/>
          </w:tcPr>
          <w:p w14:paraId="0B04F375" w14:textId="77777777" w:rsidR="006809BE" w:rsidRPr="008C1777" w:rsidRDefault="006809BE" w:rsidP="00187EB1">
            <w:pPr>
              <w:jc w:val="left"/>
              <w:cnfStyle w:val="000000000000" w:firstRow="0" w:lastRow="0" w:firstColumn="0" w:lastColumn="0" w:oddVBand="0" w:evenVBand="0" w:oddHBand="0"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Transvaginal</w:t>
            </w:r>
          </w:p>
        </w:tc>
      </w:tr>
      <w:tr w:rsidR="006809BE" w:rsidRPr="008C1777" w14:paraId="59E51DB9" w14:textId="77777777" w:rsidTr="00187EB1">
        <w:trPr>
          <w:cnfStyle w:val="000000100000" w:firstRow="0" w:lastRow="0" w:firstColumn="0" w:lastColumn="0" w:oddVBand="0" w:evenVBand="0" w:oddHBand="1" w:evenHBand="0" w:firstRowFirstColumn="0" w:firstRowLastColumn="0" w:lastRowFirstColumn="0" w:lastRowLastColumn="0"/>
          <w:trHeight w:val="820"/>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0AEF433E" w14:textId="77777777" w:rsidR="006809BE" w:rsidRPr="008C1777" w:rsidRDefault="006809BE" w:rsidP="00187EB1">
            <w:pPr>
              <w:jc w:val="left"/>
              <w:rPr>
                <w:rFonts w:ascii="Arial" w:eastAsia="DengXian" w:hAnsi="Arial" w:cs="Times New Roman"/>
                <w:b w:val="0"/>
                <w:bCs w:val="0"/>
                <w:color w:val="000000"/>
                <w:sz w:val="18"/>
                <w:szCs w:val="18"/>
              </w:rPr>
            </w:pPr>
            <w:r w:rsidRPr="008C1777">
              <w:rPr>
                <w:rFonts w:ascii="Arial" w:eastAsia="DengXian" w:hAnsi="Arial" w:cs="Times New Roman"/>
                <w:color w:val="000000"/>
                <w:sz w:val="18"/>
                <w:szCs w:val="18"/>
              </w:rPr>
              <w:t>Effectiveness</w:t>
            </w:r>
          </w:p>
        </w:tc>
        <w:tc>
          <w:tcPr>
            <w:tcW w:w="0" w:type="dxa"/>
            <w:vAlign w:val="center"/>
            <w:hideMark/>
          </w:tcPr>
          <w:p w14:paraId="17F35141" w14:textId="77777777" w:rsidR="006809BE" w:rsidRPr="008C1777" w:rsidRDefault="006809BE" w:rsidP="00187EB1">
            <w:pPr>
              <w:jc w:val="left"/>
              <w:cnfStyle w:val="000000100000" w:firstRow="0" w:lastRow="0" w:firstColumn="0" w:lastColumn="0" w:oddVBand="0" w:evenVBand="0" w:oddHBand="1"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To correct anterior wall, apical vaginal prolapse, or both. May be more effective than NTRs</w:t>
            </w:r>
            <w:r w:rsidRPr="008C1777">
              <w:rPr>
                <w:rFonts w:ascii="Arial" w:eastAsia="DengXian" w:hAnsi="Arial" w:cs="Times New Roman"/>
                <w:noProof/>
                <w:color w:val="000000"/>
                <w:sz w:val="18"/>
                <w:szCs w:val="18"/>
                <w:vertAlign w:val="superscript"/>
              </w:rPr>
              <w:t>59</w:t>
            </w:r>
            <w:r w:rsidRPr="008C1777">
              <w:rPr>
                <w:rFonts w:ascii="Arial" w:eastAsia="DengXian" w:hAnsi="Arial" w:cs="Times New Roman"/>
                <w:color w:val="000000"/>
                <w:sz w:val="18"/>
                <w:szCs w:val="18"/>
              </w:rPr>
              <w:t>.</w:t>
            </w:r>
          </w:p>
        </w:tc>
        <w:tc>
          <w:tcPr>
            <w:tcW w:w="0" w:type="dxa"/>
            <w:vAlign w:val="center"/>
            <w:hideMark/>
          </w:tcPr>
          <w:p w14:paraId="6C80F923" w14:textId="77777777" w:rsidR="006809BE" w:rsidRPr="008C1777" w:rsidRDefault="006809BE" w:rsidP="00187EB1">
            <w:pPr>
              <w:jc w:val="left"/>
              <w:cnfStyle w:val="000000100000" w:firstRow="0" w:lastRow="0" w:firstColumn="0" w:lastColumn="0" w:oddVBand="0" w:evenVBand="0" w:oddHBand="1"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To correct posterior wall, apical vaginal prolapse, or both. May not be more effective than NTRs</w:t>
            </w:r>
            <w:r w:rsidRPr="008C1777">
              <w:rPr>
                <w:rFonts w:ascii="Arial" w:eastAsia="DengXian" w:hAnsi="Arial" w:cs="Times New Roman"/>
                <w:noProof/>
                <w:color w:val="000000"/>
                <w:sz w:val="18"/>
                <w:szCs w:val="18"/>
                <w:vertAlign w:val="superscript"/>
              </w:rPr>
              <w:t>35, 59</w:t>
            </w:r>
            <w:r w:rsidRPr="008C1777">
              <w:rPr>
                <w:rFonts w:ascii="Arial" w:eastAsia="DengXian" w:hAnsi="Arial" w:cs="Times New Roman"/>
                <w:color w:val="000000"/>
                <w:sz w:val="18"/>
                <w:szCs w:val="18"/>
              </w:rPr>
              <w:t>.</w:t>
            </w:r>
          </w:p>
        </w:tc>
        <w:tc>
          <w:tcPr>
            <w:tcW w:w="0" w:type="dxa"/>
            <w:vAlign w:val="center"/>
            <w:hideMark/>
          </w:tcPr>
          <w:p w14:paraId="2AE29B58" w14:textId="77777777" w:rsidR="006809BE" w:rsidRPr="008C1777" w:rsidRDefault="006809BE" w:rsidP="00187EB1">
            <w:pPr>
              <w:jc w:val="left"/>
              <w:cnfStyle w:val="000000100000" w:firstRow="0" w:lastRow="0" w:firstColumn="0" w:lastColumn="0" w:oddVBand="0" w:evenVBand="0" w:oddHBand="1"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To correct upper vaginal prolapse. Effective, low recurrent rate</w:t>
            </w:r>
            <w:r w:rsidRPr="008C1777">
              <w:rPr>
                <w:rFonts w:ascii="Arial" w:hAnsi="Arial" w:cs="Times New Roman"/>
                <w:iCs/>
                <w:noProof/>
                <w:color w:val="000000" w:themeColor="text1"/>
                <w:sz w:val="18"/>
                <w:szCs w:val="18"/>
                <w:vertAlign w:val="superscript"/>
              </w:rPr>
              <w:t>2</w:t>
            </w:r>
            <w:r w:rsidRPr="008C1777">
              <w:rPr>
                <w:rFonts w:ascii="Arial" w:hAnsi="Arial" w:cs="Times New Roman"/>
                <w:iCs/>
                <w:color w:val="000000" w:themeColor="text1"/>
                <w:sz w:val="18"/>
                <w:szCs w:val="18"/>
              </w:rPr>
              <w:t>.</w:t>
            </w:r>
          </w:p>
        </w:tc>
        <w:tc>
          <w:tcPr>
            <w:tcW w:w="0" w:type="dxa"/>
            <w:vAlign w:val="center"/>
            <w:hideMark/>
          </w:tcPr>
          <w:p w14:paraId="526E3A89" w14:textId="77777777" w:rsidR="006809BE" w:rsidRPr="008C1777" w:rsidRDefault="006809BE" w:rsidP="00187EB1">
            <w:pPr>
              <w:jc w:val="left"/>
              <w:cnfStyle w:val="000000100000" w:firstRow="0" w:lastRow="0" w:firstColumn="0" w:lastColumn="0" w:oddVBand="0" w:evenVBand="0" w:oddHBand="1"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To correct upper vaginal prolapse, comparable to SSLF</w:t>
            </w:r>
            <w:r w:rsidRPr="008C1777">
              <w:rPr>
                <w:rFonts w:ascii="Arial" w:eastAsia="DengXian" w:hAnsi="Arial" w:cs="Times New Roman"/>
                <w:noProof/>
                <w:color w:val="000000"/>
                <w:sz w:val="18"/>
                <w:szCs w:val="18"/>
                <w:vertAlign w:val="superscript"/>
              </w:rPr>
              <w:t>50</w:t>
            </w:r>
            <w:r w:rsidRPr="008C1777">
              <w:rPr>
                <w:rFonts w:ascii="Arial" w:eastAsia="DengXian" w:hAnsi="Arial" w:cs="Times New Roman"/>
                <w:color w:val="000000"/>
                <w:sz w:val="18"/>
                <w:szCs w:val="18"/>
              </w:rPr>
              <w:t>.</w:t>
            </w:r>
          </w:p>
        </w:tc>
        <w:tc>
          <w:tcPr>
            <w:tcW w:w="0" w:type="dxa"/>
            <w:vAlign w:val="center"/>
            <w:hideMark/>
          </w:tcPr>
          <w:p w14:paraId="69C8831E" w14:textId="77777777" w:rsidR="006809BE" w:rsidRPr="008C1777" w:rsidRDefault="006809BE" w:rsidP="00187EB1">
            <w:pPr>
              <w:jc w:val="left"/>
              <w:cnfStyle w:val="000000100000" w:firstRow="0" w:lastRow="0" w:firstColumn="0" w:lastColumn="0" w:oddVBand="0" w:evenVBand="0" w:oddHBand="1"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To correct upper vaginal prolapse, comparable to ULS</w:t>
            </w:r>
            <w:r w:rsidRPr="008C1777">
              <w:rPr>
                <w:rFonts w:ascii="Arial" w:eastAsia="DengXian" w:hAnsi="Arial" w:cs="Times New Roman"/>
                <w:noProof/>
                <w:color w:val="000000"/>
                <w:sz w:val="18"/>
                <w:szCs w:val="18"/>
                <w:vertAlign w:val="superscript"/>
              </w:rPr>
              <w:t>50</w:t>
            </w:r>
            <w:r w:rsidRPr="008C1777">
              <w:rPr>
                <w:rFonts w:ascii="Arial" w:eastAsia="DengXian" w:hAnsi="Arial" w:cs="Times New Roman"/>
                <w:color w:val="000000"/>
                <w:sz w:val="18"/>
                <w:szCs w:val="18"/>
              </w:rPr>
              <w:t>.</w:t>
            </w:r>
          </w:p>
        </w:tc>
        <w:tc>
          <w:tcPr>
            <w:tcW w:w="0" w:type="dxa"/>
            <w:vAlign w:val="center"/>
            <w:hideMark/>
          </w:tcPr>
          <w:p w14:paraId="4C5AFE93" w14:textId="77777777" w:rsidR="006809BE" w:rsidRPr="008C1777" w:rsidRDefault="006809BE" w:rsidP="00187EB1">
            <w:pPr>
              <w:jc w:val="left"/>
              <w:cnfStyle w:val="000000100000" w:firstRow="0" w:lastRow="0" w:firstColumn="0" w:lastColumn="0" w:oddVBand="0" w:evenVBand="0" w:oddHBand="1"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Effective, low recurrent rate.</w:t>
            </w:r>
          </w:p>
        </w:tc>
      </w:tr>
      <w:tr w:rsidR="006809BE" w:rsidRPr="008C1777" w14:paraId="4111BE42" w14:textId="77777777" w:rsidTr="00187EB1">
        <w:trPr>
          <w:trHeight w:val="820"/>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45B2379F" w14:textId="77777777" w:rsidR="006809BE" w:rsidRPr="008C1777" w:rsidRDefault="006809BE" w:rsidP="00187EB1">
            <w:pPr>
              <w:jc w:val="left"/>
              <w:rPr>
                <w:rFonts w:ascii="Arial" w:eastAsia="DengXian" w:hAnsi="Arial" w:cs="Times New Roman"/>
                <w:b w:val="0"/>
                <w:bCs w:val="0"/>
                <w:color w:val="000000"/>
                <w:sz w:val="18"/>
                <w:szCs w:val="18"/>
              </w:rPr>
            </w:pPr>
            <w:r w:rsidRPr="008C1777">
              <w:rPr>
                <w:rFonts w:ascii="Arial" w:eastAsia="DengXian" w:hAnsi="Arial" w:cs="Times New Roman"/>
                <w:color w:val="000000"/>
                <w:sz w:val="18"/>
                <w:szCs w:val="18"/>
              </w:rPr>
              <w:t>Safety</w:t>
            </w:r>
          </w:p>
        </w:tc>
        <w:tc>
          <w:tcPr>
            <w:tcW w:w="0" w:type="dxa"/>
            <w:gridSpan w:val="2"/>
            <w:vAlign w:val="center"/>
            <w:hideMark/>
          </w:tcPr>
          <w:p w14:paraId="610C9A70" w14:textId="77777777" w:rsidR="006809BE" w:rsidRPr="008C1777" w:rsidRDefault="006809BE" w:rsidP="00187EB1">
            <w:pPr>
              <w:jc w:val="left"/>
              <w:cnfStyle w:val="000000000000" w:firstRow="0" w:lastRow="0" w:firstColumn="0" w:lastColumn="0" w:oddVBand="0" w:evenVBand="0" w:oddHBand="0"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Higher rate of complications, &gt;10% mesh complications</w:t>
            </w:r>
            <w:r w:rsidRPr="008C1777">
              <w:rPr>
                <w:rFonts w:ascii="Arial" w:hAnsi="Arial" w:cs="Times New Roman"/>
                <w:noProof/>
                <w:color w:val="000000"/>
                <w:sz w:val="18"/>
                <w:szCs w:val="18"/>
                <w:vertAlign w:val="superscript"/>
              </w:rPr>
              <w:t>2, 35</w:t>
            </w:r>
            <w:r w:rsidRPr="008C1777">
              <w:rPr>
                <w:rFonts w:ascii="Arial" w:hAnsi="Arial" w:cs="Times New Roman"/>
                <w:color w:val="000000"/>
                <w:sz w:val="18"/>
                <w:szCs w:val="18"/>
              </w:rPr>
              <w:t>.</w:t>
            </w:r>
          </w:p>
        </w:tc>
        <w:tc>
          <w:tcPr>
            <w:tcW w:w="0" w:type="dxa"/>
            <w:vAlign w:val="center"/>
            <w:hideMark/>
          </w:tcPr>
          <w:p w14:paraId="3B8DA60F" w14:textId="77777777" w:rsidR="006809BE" w:rsidRPr="008C1777" w:rsidRDefault="006809BE" w:rsidP="00187EB1">
            <w:pPr>
              <w:jc w:val="left"/>
              <w:cnfStyle w:val="000000000000" w:firstRow="0" w:lastRow="0" w:firstColumn="0" w:lastColumn="0" w:oddVBand="0" w:evenVBand="0" w:oddHBand="0"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Higher rate of complications, Mesh complications (less than TVM).</w:t>
            </w:r>
          </w:p>
        </w:tc>
        <w:tc>
          <w:tcPr>
            <w:tcW w:w="0" w:type="dxa"/>
            <w:vAlign w:val="center"/>
            <w:hideMark/>
          </w:tcPr>
          <w:p w14:paraId="44287274" w14:textId="77777777" w:rsidR="006809BE" w:rsidRPr="008C1777" w:rsidRDefault="006809BE" w:rsidP="00187EB1">
            <w:pPr>
              <w:jc w:val="left"/>
              <w:cnfStyle w:val="000000000000" w:firstRow="0" w:lastRow="0" w:firstColumn="0" w:lastColumn="0" w:oddVBand="0" w:evenVBand="0" w:oddHBand="0"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Comparable to SSLF</w:t>
            </w:r>
            <w:r w:rsidRPr="008C1777">
              <w:rPr>
                <w:rFonts w:ascii="Arial" w:eastAsia="DengXian" w:hAnsi="Arial" w:cs="Times New Roman"/>
                <w:noProof/>
                <w:color w:val="000000"/>
                <w:sz w:val="18"/>
                <w:szCs w:val="18"/>
                <w:vertAlign w:val="superscript"/>
              </w:rPr>
              <w:t>50</w:t>
            </w:r>
            <w:r w:rsidRPr="008C1777">
              <w:rPr>
                <w:rFonts w:ascii="Arial" w:eastAsia="DengXian" w:hAnsi="Arial" w:cs="Times New Roman"/>
                <w:color w:val="000000"/>
                <w:sz w:val="18"/>
                <w:szCs w:val="18"/>
              </w:rPr>
              <w:t>.</w:t>
            </w:r>
          </w:p>
        </w:tc>
        <w:tc>
          <w:tcPr>
            <w:tcW w:w="0" w:type="dxa"/>
            <w:vAlign w:val="center"/>
            <w:hideMark/>
          </w:tcPr>
          <w:p w14:paraId="5EBBA049" w14:textId="77777777" w:rsidR="006809BE" w:rsidRPr="008C1777" w:rsidRDefault="006809BE" w:rsidP="00187EB1">
            <w:pPr>
              <w:jc w:val="left"/>
              <w:cnfStyle w:val="000000000000" w:firstRow="0" w:lastRow="0" w:firstColumn="0" w:lastColumn="0" w:oddVBand="0" w:evenVBand="0" w:oddHBand="0"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Comparable to ULS.</w:t>
            </w:r>
            <w:r w:rsidRPr="008C1777">
              <w:rPr>
                <w:rFonts w:ascii="Arial" w:eastAsia="DengXian" w:hAnsi="Arial" w:cs="Times New Roman"/>
                <w:noProof/>
                <w:color w:val="000000"/>
                <w:sz w:val="18"/>
                <w:szCs w:val="18"/>
                <w:vertAlign w:val="superscript"/>
              </w:rPr>
              <w:t>50</w:t>
            </w:r>
          </w:p>
        </w:tc>
        <w:tc>
          <w:tcPr>
            <w:tcW w:w="0" w:type="dxa"/>
            <w:vAlign w:val="center"/>
            <w:hideMark/>
          </w:tcPr>
          <w:p w14:paraId="5F00E9AF" w14:textId="77777777" w:rsidR="006809BE" w:rsidRPr="008C1777" w:rsidRDefault="006809BE" w:rsidP="00187EB1">
            <w:pPr>
              <w:jc w:val="left"/>
              <w:cnfStyle w:val="000000000000" w:firstRow="0" w:lastRow="0" w:firstColumn="0" w:lastColumn="0" w:oddVBand="0" w:evenVBand="0" w:oddHBand="0"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Low rate of complications</w:t>
            </w:r>
            <w:r w:rsidRPr="008C1777">
              <w:rPr>
                <w:rFonts w:ascii="Arial" w:eastAsia="DengXian" w:hAnsi="Arial" w:cs="Times New Roman"/>
                <w:noProof/>
                <w:color w:val="000000"/>
                <w:sz w:val="18"/>
                <w:szCs w:val="18"/>
                <w:vertAlign w:val="superscript"/>
              </w:rPr>
              <w:t>49</w:t>
            </w:r>
            <w:r w:rsidRPr="008C1777">
              <w:rPr>
                <w:rFonts w:ascii="Arial" w:eastAsia="DengXian" w:hAnsi="Arial" w:cs="Times New Roman"/>
                <w:color w:val="000000"/>
                <w:sz w:val="18"/>
                <w:szCs w:val="18"/>
              </w:rPr>
              <w:t>.</w:t>
            </w:r>
          </w:p>
        </w:tc>
      </w:tr>
      <w:tr w:rsidR="006809BE" w:rsidRPr="008C1777" w14:paraId="18402205" w14:textId="77777777" w:rsidTr="00187EB1">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60BCC217" w14:textId="77777777" w:rsidR="006809BE" w:rsidRPr="008C1777" w:rsidRDefault="006809BE" w:rsidP="00187EB1">
            <w:pPr>
              <w:jc w:val="left"/>
              <w:rPr>
                <w:rFonts w:ascii="Arial" w:eastAsia="DengXian" w:hAnsi="Arial" w:cs="Times New Roman"/>
                <w:b w:val="0"/>
                <w:bCs w:val="0"/>
                <w:color w:val="000000"/>
                <w:sz w:val="18"/>
                <w:szCs w:val="18"/>
              </w:rPr>
            </w:pPr>
            <w:r w:rsidRPr="008C1777">
              <w:rPr>
                <w:rFonts w:ascii="Arial" w:eastAsia="DengXian" w:hAnsi="Arial" w:cs="Times New Roman"/>
                <w:color w:val="000000"/>
                <w:sz w:val="18"/>
                <w:szCs w:val="18"/>
              </w:rPr>
              <w:t>Economy</w:t>
            </w:r>
          </w:p>
        </w:tc>
        <w:tc>
          <w:tcPr>
            <w:tcW w:w="0" w:type="dxa"/>
            <w:gridSpan w:val="3"/>
            <w:vAlign w:val="center"/>
            <w:hideMark/>
          </w:tcPr>
          <w:p w14:paraId="446EDD92" w14:textId="77777777" w:rsidR="006809BE" w:rsidRPr="008C1777" w:rsidRDefault="006809BE" w:rsidP="00187EB1">
            <w:pPr>
              <w:jc w:val="center"/>
              <w:cnfStyle w:val="000000100000" w:firstRow="0" w:lastRow="0" w:firstColumn="0" w:lastColumn="0" w:oddVBand="0" w:evenVBand="0" w:oddHBand="1"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Expensive</w:t>
            </w:r>
          </w:p>
        </w:tc>
        <w:tc>
          <w:tcPr>
            <w:tcW w:w="0" w:type="dxa"/>
            <w:gridSpan w:val="3"/>
            <w:vAlign w:val="center"/>
            <w:hideMark/>
          </w:tcPr>
          <w:p w14:paraId="6C37157C" w14:textId="77777777" w:rsidR="006809BE" w:rsidRPr="008C1777" w:rsidRDefault="006809BE" w:rsidP="00187EB1">
            <w:pPr>
              <w:jc w:val="center"/>
              <w:cnfStyle w:val="000000100000" w:firstRow="0" w:lastRow="0" w:firstColumn="0" w:lastColumn="0" w:oddVBand="0" w:evenVBand="0" w:oddHBand="1"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Economical</w:t>
            </w:r>
          </w:p>
        </w:tc>
      </w:tr>
      <w:tr w:rsidR="006809BE" w:rsidRPr="008C1777" w14:paraId="303D8386" w14:textId="77777777" w:rsidTr="00187EB1">
        <w:trPr>
          <w:trHeight w:val="560"/>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6F65E9EA" w14:textId="77777777" w:rsidR="006809BE" w:rsidRPr="008C1777" w:rsidRDefault="006809BE" w:rsidP="00187EB1">
            <w:pPr>
              <w:jc w:val="left"/>
              <w:rPr>
                <w:rFonts w:ascii="Arial" w:eastAsia="DengXian" w:hAnsi="Arial" w:cs="Times New Roman"/>
                <w:b w:val="0"/>
                <w:bCs w:val="0"/>
                <w:color w:val="000000"/>
                <w:sz w:val="18"/>
                <w:szCs w:val="18"/>
              </w:rPr>
            </w:pPr>
            <w:r w:rsidRPr="008C1777">
              <w:rPr>
                <w:rFonts w:ascii="Arial" w:eastAsia="DengXian" w:hAnsi="Arial" w:cs="Times New Roman"/>
                <w:color w:val="000000"/>
                <w:sz w:val="18"/>
                <w:szCs w:val="18"/>
              </w:rPr>
              <w:t>Complexity</w:t>
            </w:r>
          </w:p>
        </w:tc>
        <w:tc>
          <w:tcPr>
            <w:tcW w:w="0" w:type="dxa"/>
            <w:gridSpan w:val="3"/>
            <w:vAlign w:val="center"/>
            <w:hideMark/>
          </w:tcPr>
          <w:p w14:paraId="33CB9684" w14:textId="77777777" w:rsidR="006809BE" w:rsidRPr="008C1777" w:rsidRDefault="006809BE" w:rsidP="00187EB1">
            <w:pPr>
              <w:jc w:val="center"/>
              <w:cnfStyle w:val="000000000000" w:firstRow="0" w:lastRow="0" w:firstColumn="0" w:lastColumn="0" w:oddVBand="0" w:evenVBand="0" w:oddHBand="0"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C</w:t>
            </w:r>
            <w:r w:rsidRPr="008C1777">
              <w:rPr>
                <w:rFonts w:ascii="Arial" w:eastAsia="DengXian" w:hAnsi="Arial" w:cs="Times New Roman" w:hint="eastAsia"/>
                <w:color w:val="000000"/>
                <w:sz w:val="18"/>
                <w:szCs w:val="18"/>
              </w:rPr>
              <w:t>omplicated</w:t>
            </w:r>
          </w:p>
        </w:tc>
        <w:tc>
          <w:tcPr>
            <w:tcW w:w="0" w:type="dxa"/>
            <w:gridSpan w:val="3"/>
            <w:vAlign w:val="center"/>
            <w:hideMark/>
          </w:tcPr>
          <w:p w14:paraId="245A1DFF" w14:textId="77777777" w:rsidR="006809BE" w:rsidRPr="008C1777" w:rsidRDefault="006809BE" w:rsidP="00187EB1">
            <w:pPr>
              <w:jc w:val="center"/>
              <w:cnfStyle w:val="000000000000" w:firstRow="0" w:lastRow="0" w:firstColumn="0" w:lastColumn="0" w:oddVBand="0" w:evenVBand="0" w:oddHBand="0"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Moderate</w:t>
            </w:r>
          </w:p>
        </w:tc>
      </w:tr>
      <w:tr w:rsidR="006809BE" w:rsidRPr="008C1777" w14:paraId="7D5E3762" w14:textId="77777777" w:rsidTr="00187EB1">
        <w:trPr>
          <w:cnfStyle w:val="000000100000" w:firstRow="0" w:lastRow="0" w:firstColumn="0" w:lastColumn="0" w:oddVBand="0" w:evenVBand="0" w:oddHBand="1"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42EB74E3" w14:textId="77777777" w:rsidR="006809BE" w:rsidRPr="008C1777" w:rsidRDefault="006809BE" w:rsidP="00187EB1">
            <w:pPr>
              <w:jc w:val="left"/>
              <w:rPr>
                <w:rFonts w:ascii="Arial" w:eastAsia="DengXian" w:hAnsi="Arial" w:cs="Times New Roman"/>
                <w:b w:val="0"/>
                <w:bCs w:val="0"/>
                <w:color w:val="000000"/>
                <w:sz w:val="18"/>
                <w:szCs w:val="18"/>
              </w:rPr>
            </w:pPr>
            <w:r w:rsidRPr="008C1777">
              <w:rPr>
                <w:rFonts w:ascii="Arial" w:eastAsia="DengXian" w:hAnsi="Arial" w:cs="Times New Roman"/>
                <w:color w:val="000000"/>
                <w:sz w:val="18"/>
                <w:szCs w:val="18"/>
              </w:rPr>
              <w:t>Feature</w:t>
            </w:r>
          </w:p>
        </w:tc>
        <w:tc>
          <w:tcPr>
            <w:tcW w:w="0" w:type="dxa"/>
            <w:vAlign w:val="center"/>
            <w:hideMark/>
          </w:tcPr>
          <w:p w14:paraId="5DEFEDB2" w14:textId="77777777" w:rsidR="006809BE" w:rsidRPr="008C1777" w:rsidRDefault="006809BE" w:rsidP="00187EB1">
            <w:pPr>
              <w:jc w:val="left"/>
              <w:cnfStyle w:val="000000100000" w:firstRow="0" w:lastRow="0" w:firstColumn="0" w:lastColumn="0" w:oddVBand="0" w:evenVBand="0" w:oddHBand="1"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Suitable for severe or recurrent prolapse</w:t>
            </w:r>
            <w:r w:rsidRPr="008C1777">
              <w:rPr>
                <w:rFonts w:ascii="Arial" w:eastAsia="DengXian" w:hAnsi="Arial" w:cs="Times New Roman"/>
                <w:noProof/>
                <w:color w:val="000000"/>
                <w:sz w:val="18"/>
                <w:szCs w:val="18"/>
                <w:vertAlign w:val="superscript"/>
              </w:rPr>
              <w:t>60</w:t>
            </w:r>
            <w:r w:rsidRPr="008C1777">
              <w:rPr>
                <w:rFonts w:ascii="Arial" w:eastAsia="DengXian" w:hAnsi="Arial" w:cs="Times New Roman"/>
                <w:color w:val="000000"/>
                <w:sz w:val="18"/>
                <w:szCs w:val="18"/>
              </w:rPr>
              <w:t xml:space="preserve"> or the elderly, or with medical comorbidities. Mesh-related complications</w:t>
            </w:r>
            <w:r w:rsidRPr="008C1777">
              <w:rPr>
                <w:rFonts w:ascii="Arial" w:hAnsi="Arial" w:cs="Times New Roman"/>
                <w:noProof/>
                <w:color w:val="000000"/>
                <w:sz w:val="18"/>
                <w:szCs w:val="18"/>
                <w:vertAlign w:val="superscript"/>
              </w:rPr>
              <w:t>35</w:t>
            </w:r>
            <w:r w:rsidRPr="008C1777">
              <w:rPr>
                <w:rFonts w:ascii="Arial" w:eastAsia="DengXian" w:hAnsi="Arial" w:cs="Times New Roman"/>
                <w:color w:val="000000"/>
                <w:sz w:val="18"/>
                <w:szCs w:val="18"/>
              </w:rPr>
              <w:t xml:space="preserve"> </w:t>
            </w:r>
            <w:r w:rsidRPr="008C1777">
              <w:rPr>
                <w:rFonts w:ascii="Arial" w:eastAsia="DengXian" w:hAnsi="Arial" w:cs="Times New Roman" w:hint="eastAsia"/>
                <w:color w:val="000000"/>
                <w:sz w:val="18"/>
                <w:szCs w:val="18"/>
              </w:rPr>
              <w:t>and</w:t>
            </w:r>
            <w:r w:rsidRPr="008C1777">
              <w:rPr>
                <w:rFonts w:ascii="Arial" w:eastAsia="DengXian" w:hAnsi="Arial" w:cs="Times New Roman"/>
                <w:color w:val="000000"/>
                <w:sz w:val="18"/>
                <w:szCs w:val="18"/>
              </w:rPr>
              <w:t xml:space="preserve"> the younger should avoid </w:t>
            </w:r>
            <w:r w:rsidRPr="008C1777">
              <w:rPr>
                <w:rFonts w:ascii="Arial" w:eastAsia="DengXian" w:hAnsi="Arial" w:cs="Times New Roman"/>
                <w:noProof/>
                <w:color w:val="000000"/>
                <w:sz w:val="18"/>
                <w:szCs w:val="18"/>
                <w:vertAlign w:val="superscript"/>
              </w:rPr>
              <w:t>36</w:t>
            </w:r>
            <w:r w:rsidRPr="008C1777">
              <w:rPr>
                <w:rFonts w:ascii="Arial" w:eastAsia="DengXian" w:hAnsi="Arial" w:cs="Times New Roman"/>
                <w:color w:val="000000"/>
                <w:sz w:val="18"/>
                <w:szCs w:val="18"/>
              </w:rPr>
              <w:t>.</w:t>
            </w:r>
          </w:p>
        </w:tc>
        <w:tc>
          <w:tcPr>
            <w:tcW w:w="0" w:type="dxa"/>
            <w:vAlign w:val="center"/>
            <w:hideMark/>
          </w:tcPr>
          <w:p w14:paraId="587EBF92" w14:textId="77777777" w:rsidR="006809BE" w:rsidRPr="008C1777" w:rsidRDefault="006809BE" w:rsidP="00187EB1">
            <w:pPr>
              <w:jc w:val="left"/>
              <w:cnfStyle w:val="000000100000" w:firstRow="0" w:lastRow="0" w:firstColumn="0" w:lastColumn="0" w:oddVBand="0" w:evenVBand="0" w:oddHBand="1"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Used in specific occasions due to controversy.</w:t>
            </w:r>
          </w:p>
        </w:tc>
        <w:tc>
          <w:tcPr>
            <w:tcW w:w="0" w:type="dxa"/>
            <w:vAlign w:val="center"/>
            <w:hideMark/>
          </w:tcPr>
          <w:p w14:paraId="11883230" w14:textId="77777777" w:rsidR="006809BE" w:rsidRPr="008C1777" w:rsidRDefault="006809BE" w:rsidP="00187EB1">
            <w:pPr>
              <w:jc w:val="left"/>
              <w:cnfStyle w:val="000000100000" w:firstRow="0" w:lastRow="0" w:firstColumn="0" w:lastColumn="0" w:oddVBand="0" w:evenVBand="0" w:oddHBand="1"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 xml:space="preserve">Suitable for the younger (&lt;60 years, sexually </w:t>
            </w:r>
            <w:r w:rsidRPr="008C1777">
              <w:rPr>
                <w:rFonts w:ascii="Arial" w:eastAsia="DengXian" w:hAnsi="Arial" w:cs="Times New Roman" w:hint="eastAsia"/>
                <w:color w:val="000000"/>
                <w:sz w:val="18"/>
                <w:szCs w:val="18"/>
              </w:rPr>
              <w:t>active</w:t>
            </w:r>
            <w:r w:rsidRPr="008C1777">
              <w:rPr>
                <w:rFonts w:ascii="Arial" w:eastAsia="DengXian" w:hAnsi="Arial" w:cs="Times New Roman"/>
                <w:noProof/>
                <w:color w:val="000000"/>
                <w:sz w:val="18"/>
                <w:szCs w:val="18"/>
                <w:vertAlign w:val="superscript"/>
              </w:rPr>
              <w:t>36</w:t>
            </w:r>
            <w:r w:rsidRPr="008C1777">
              <w:rPr>
                <w:rFonts w:ascii="Arial" w:eastAsia="DengXian" w:hAnsi="Arial" w:cs="Times New Roman"/>
                <w:color w:val="000000"/>
                <w:sz w:val="18"/>
                <w:szCs w:val="18"/>
              </w:rPr>
              <w:t xml:space="preserve">), severe (stage 3 or 4 prolapse), overweight (BMI &gt;26), </w:t>
            </w:r>
            <w:r w:rsidRPr="008C1777">
              <w:rPr>
                <w:rFonts w:ascii="Arial" w:eastAsia="DengXian" w:hAnsi="Arial" w:cs="Times New Roman" w:hint="eastAsia"/>
                <w:color w:val="000000"/>
                <w:sz w:val="18"/>
                <w:szCs w:val="18"/>
              </w:rPr>
              <w:t>and</w:t>
            </w:r>
            <w:r w:rsidRPr="008C1777">
              <w:rPr>
                <w:rFonts w:ascii="Arial" w:eastAsia="DengXian" w:hAnsi="Arial" w:cs="Times New Roman"/>
                <w:color w:val="000000"/>
                <w:sz w:val="18"/>
                <w:szCs w:val="18"/>
              </w:rPr>
              <w:t xml:space="preserve"> </w:t>
            </w:r>
            <w:r w:rsidRPr="008C1777">
              <w:rPr>
                <w:rFonts w:ascii="Arial" w:eastAsia="DengXian" w:hAnsi="Arial" w:cs="Times New Roman" w:hint="eastAsia"/>
                <w:color w:val="000000"/>
                <w:sz w:val="18"/>
                <w:szCs w:val="18"/>
              </w:rPr>
              <w:t>recurrent</w:t>
            </w:r>
            <w:r w:rsidRPr="008C1777">
              <w:rPr>
                <w:rFonts w:ascii="Arial" w:hAnsi="Arial" w:cs="Helvetica"/>
                <w:color w:val="000000"/>
                <w:sz w:val="18"/>
                <w:szCs w:val="18"/>
              </w:rPr>
              <w:t xml:space="preserve"> </w:t>
            </w:r>
            <w:r w:rsidRPr="008C1777">
              <w:rPr>
                <w:rFonts w:ascii="Arial" w:hAnsi="Arial" w:cs="Times New Roman"/>
                <w:noProof/>
                <w:color w:val="000000"/>
                <w:sz w:val="18"/>
                <w:szCs w:val="18"/>
                <w:vertAlign w:val="superscript"/>
              </w:rPr>
              <w:t>35</w:t>
            </w:r>
            <w:r w:rsidRPr="008C1777">
              <w:rPr>
                <w:rFonts w:ascii="Arial" w:hAnsi="Arial" w:cs="Times New Roman"/>
                <w:color w:val="000000"/>
                <w:sz w:val="18"/>
                <w:szCs w:val="18"/>
              </w:rPr>
              <w:t>.</w:t>
            </w:r>
          </w:p>
        </w:tc>
        <w:tc>
          <w:tcPr>
            <w:tcW w:w="0" w:type="dxa"/>
            <w:vAlign w:val="center"/>
            <w:hideMark/>
          </w:tcPr>
          <w:p w14:paraId="30FA0F5D" w14:textId="77777777" w:rsidR="006809BE" w:rsidRPr="008C1777" w:rsidRDefault="006809BE" w:rsidP="00187EB1">
            <w:pPr>
              <w:jc w:val="left"/>
              <w:cnfStyle w:val="000000100000" w:firstRow="0" w:lastRow="0" w:firstColumn="0" w:lastColumn="0" w:oddVBand="0" w:evenVBand="0" w:oddHBand="1"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First choice for uterine /vault prolapse</w:t>
            </w:r>
            <w:r w:rsidRPr="008C1777">
              <w:rPr>
                <w:rFonts w:ascii="Arial" w:hAnsi="Arial" w:cs="Times New Roman"/>
                <w:iCs/>
                <w:noProof/>
                <w:color w:val="000000" w:themeColor="text1"/>
                <w:sz w:val="18"/>
                <w:szCs w:val="18"/>
                <w:vertAlign w:val="superscript"/>
              </w:rPr>
              <w:t>37</w:t>
            </w:r>
            <w:r w:rsidRPr="008C1777">
              <w:rPr>
                <w:rFonts w:ascii="Arial" w:hAnsi="Arial" w:cs="Times New Roman"/>
                <w:iCs/>
                <w:color w:val="000000" w:themeColor="text1"/>
                <w:sz w:val="18"/>
                <w:szCs w:val="18"/>
              </w:rPr>
              <w:t>.</w:t>
            </w:r>
          </w:p>
        </w:tc>
        <w:tc>
          <w:tcPr>
            <w:tcW w:w="0" w:type="dxa"/>
            <w:vAlign w:val="center"/>
            <w:hideMark/>
          </w:tcPr>
          <w:p w14:paraId="042C37E8" w14:textId="77777777" w:rsidR="006809BE" w:rsidRPr="008C1777" w:rsidRDefault="006809BE" w:rsidP="00187EB1">
            <w:pPr>
              <w:jc w:val="left"/>
              <w:cnfStyle w:val="000000100000" w:firstRow="0" w:lastRow="0" w:firstColumn="0" w:lastColumn="0" w:oddVBand="0" w:evenVBand="0" w:oddHBand="1"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First choice for uterine /vault prolapse</w:t>
            </w:r>
            <w:r w:rsidRPr="008C1777">
              <w:rPr>
                <w:rFonts w:ascii="Arial" w:hAnsi="Arial" w:cs="Times New Roman"/>
                <w:iCs/>
                <w:noProof/>
                <w:color w:val="000000" w:themeColor="text1"/>
                <w:sz w:val="18"/>
                <w:szCs w:val="18"/>
                <w:vertAlign w:val="superscript"/>
              </w:rPr>
              <w:t>37</w:t>
            </w:r>
            <w:r w:rsidRPr="008C1777">
              <w:rPr>
                <w:rFonts w:ascii="Arial" w:hAnsi="Arial" w:cs="Times New Roman"/>
                <w:iCs/>
                <w:color w:val="000000" w:themeColor="text1"/>
                <w:sz w:val="18"/>
                <w:szCs w:val="18"/>
              </w:rPr>
              <w:t>.</w:t>
            </w:r>
          </w:p>
        </w:tc>
        <w:tc>
          <w:tcPr>
            <w:tcW w:w="0" w:type="dxa"/>
            <w:vAlign w:val="center"/>
            <w:hideMark/>
          </w:tcPr>
          <w:p w14:paraId="2F697FF2" w14:textId="77777777" w:rsidR="006809BE" w:rsidRPr="008C1777" w:rsidRDefault="006809BE" w:rsidP="00187EB1">
            <w:pPr>
              <w:jc w:val="left"/>
              <w:cnfStyle w:val="000000100000" w:firstRow="0" w:lastRow="0" w:firstColumn="0" w:lastColumn="0" w:oddVBand="0" w:evenVBand="0" w:oddHBand="1" w:evenHBand="0" w:firstRowFirstColumn="0" w:firstRowLastColumn="0" w:lastRowFirstColumn="0" w:lastRowLastColumn="0"/>
              <w:rPr>
                <w:rFonts w:ascii="Arial" w:eastAsia="DengXian" w:hAnsi="Arial" w:cs="Times New Roman"/>
                <w:color w:val="000000"/>
                <w:sz w:val="18"/>
                <w:szCs w:val="18"/>
              </w:rPr>
            </w:pPr>
            <w:r w:rsidRPr="008C1777">
              <w:rPr>
                <w:rFonts w:ascii="Arial" w:eastAsia="DengXian" w:hAnsi="Arial" w:cs="Times New Roman"/>
                <w:color w:val="000000"/>
                <w:sz w:val="18"/>
                <w:szCs w:val="18"/>
              </w:rPr>
              <w:t>Vagina not reserved, women with significant comorbidities</w:t>
            </w:r>
            <w:r w:rsidRPr="008C1777" w:rsidDel="00EC259B">
              <w:rPr>
                <w:rFonts w:ascii="Arial" w:eastAsia="DengXian" w:hAnsi="Arial" w:cs="Times New Roman"/>
                <w:color w:val="000000"/>
                <w:sz w:val="18"/>
                <w:szCs w:val="18"/>
              </w:rPr>
              <w:t xml:space="preserve"> </w:t>
            </w:r>
            <w:r w:rsidRPr="008C1777">
              <w:rPr>
                <w:rFonts w:ascii="Arial" w:hAnsi="Arial" w:cs="Times New Roman"/>
                <w:noProof/>
                <w:color w:val="000000"/>
                <w:sz w:val="18"/>
                <w:szCs w:val="18"/>
                <w:vertAlign w:val="superscript"/>
              </w:rPr>
              <w:t>35</w:t>
            </w:r>
            <w:r w:rsidRPr="008C1777">
              <w:rPr>
                <w:rFonts w:ascii="Arial" w:hAnsi="Arial" w:cs="Times New Roman"/>
                <w:color w:val="000000"/>
                <w:sz w:val="18"/>
                <w:szCs w:val="18"/>
              </w:rPr>
              <w:t>.</w:t>
            </w:r>
          </w:p>
        </w:tc>
      </w:tr>
    </w:tbl>
    <w:p w14:paraId="227FADF4" w14:textId="77777777" w:rsidR="006809BE" w:rsidRPr="008C1777" w:rsidRDefault="006809BE" w:rsidP="006809BE">
      <w:pPr>
        <w:keepNext/>
        <w:keepLines/>
        <w:spacing w:before="260" w:after="260" w:line="416" w:lineRule="auto"/>
        <w:outlineLvl w:val="2"/>
        <w:rPr>
          <w:rFonts w:ascii="Arial" w:eastAsiaTheme="majorEastAsia" w:hAnsi="Arial" w:cs="Times New Roman"/>
          <w:b/>
          <w:bCs/>
          <w:sz w:val="24"/>
          <w:szCs w:val="24"/>
        </w:rPr>
      </w:pPr>
      <w:r w:rsidRPr="008C1777">
        <w:rPr>
          <w:rFonts w:ascii="Arial" w:eastAsiaTheme="majorEastAsia" w:hAnsi="Arial" w:cs="Times New Roman" w:hint="eastAsia"/>
          <w:b/>
          <w:bCs/>
          <w:sz w:val="24"/>
          <w:szCs w:val="24"/>
        </w:rPr>
        <w:t>A</w:t>
      </w:r>
      <w:r w:rsidRPr="008C1777">
        <w:rPr>
          <w:rFonts w:ascii="Arial" w:eastAsiaTheme="majorEastAsia" w:hAnsi="Arial" w:cs="Times New Roman"/>
          <w:b/>
          <w:bCs/>
          <w:sz w:val="24"/>
          <w:szCs w:val="24"/>
        </w:rPr>
        <w:t xml:space="preserve">4. Personalized surgical treatment </w:t>
      </w:r>
      <w:r w:rsidRPr="008C1777">
        <w:rPr>
          <w:rFonts w:ascii="Arial" w:eastAsiaTheme="majorEastAsia" w:hAnsi="Arial" w:cs="Times New Roman" w:hint="eastAsia"/>
          <w:b/>
          <w:bCs/>
          <w:sz w:val="24"/>
          <w:szCs w:val="24"/>
        </w:rPr>
        <w:t>planning</w:t>
      </w:r>
      <w:r w:rsidRPr="008C1777">
        <w:rPr>
          <w:rFonts w:ascii="Arial" w:eastAsiaTheme="majorEastAsia" w:hAnsi="Arial" w:cs="Times New Roman"/>
          <w:b/>
          <w:bCs/>
          <w:sz w:val="24"/>
          <w:szCs w:val="24"/>
        </w:rPr>
        <w:t xml:space="preserve"> for POP is challenging</w:t>
      </w:r>
      <w:r w:rsidRPr="008C1777" w:rsidDel="000C3C1B">
        <w:rPr>
          <w:rFonts w:ascii="Arial" w:eastAsiaTheme="majorEastAsia" w:hAnsi="Arial" w:cs="Times New Roman"/>
          <w:b/>
          <w:bCs/>
          <w:sz w:val="24"/>
          <w:szCs w:val="24"/>
        </w:rPr>
        <w:t xml:space="preserve"> </w:t>
      </w:r>
    </w:p>
    <w:p w14:paraId="17412D27" w14:textId="77777777" w:rsidR="006809BE" w:rsidRPr="008C1777" w:rsidRDefault="006809BE" w:rsidP="006809BE">
      <w:pPr>
        <w:ind w:firstLineChars="200" w:firstLine="420"/>
        <w:rPr>
          <w:rFonts w:ascii="Arial" w:hAnsi="Arial" w:cs="Times New Roman"/>
          <w:sz w:val="18"/>
          <w:szCs w:val="18"/>
        </w:rPr>
      </w:pPr>
      <w:r w:rsidRPr="008C1777">
        <w:rPr>
          <w:rFonts w:ascii="Arial" w:hAnsi="Arial" w:cs="Times New Roman"/>
        </w:rPr>
        <w:t>Th</w:t>
      </w:r>
      <w:r w:rsidRPr="008C1777">
        <w:rPr>
          <w:rFonts w:ascii="Arial" w:hAnsi="Arial" w:cs="Times New Roman" w:hint="eastAsia"/>
        </w:rPr>
        <w:t>e</w:t>
      </w:r>
      <w:r w:rsidRPr="008C1777">
        <w:rPr>
          <w:rFonts w:ascii="Arial" w:hAnsi="Arial" w:cs="Times New Roman"/>
        </w:rPr>
        <w:t xml:space="preserve"> compartmentalization </w:t>
      </w:r>
      <w:r w:rsidRPr="008C1777">
        <w:rPr>
          <w:rFonts w:ascii="Arial" w:hAnsi="Arial" w:cs="Times New Roman" w:hint="eastAsia"/>
        </w:rPr>
        <w:t>of</w:t>
      </w:r>
      <w:r w:rsidRPr="008C1777">
        <w:rPr>
          <w:rFonts w:ascii="Arial" w:hAnsi="Arial" w:cs="Times New Roman"/>
        </w:rPr>
        <w:t xml:space="preserve"> </w:t>
      </w:r>
      <w:r w:rsidRPr="008C1777">
        <w:rPr>
          <w:rFonts w:ascii="Arial" w:hAnsi="Arial" w:cs="Times New Roman" w:hint="eastAsia"/>
        </w:rPr>
        <w:t>POP</w:t>
      </w:r>
      <w:r w:rsidRPr="008C1777">
        <w:rPr>
          <w:rFonts w:ascii="Arial" w:hAnsi="Arial" w:cs="Times New Roman"/>
        </w:rPr>
        <w:t xml:space="preserve"> has led the patient to be referred to a single specialist such as a urologist, a gynecologist, or a colorectal surgeon. However, multi-compartmental disease is more common than an alteration of a single compartment alone, thus requiring a shared and integrated multidisciplinary approach from a team composed of different specialist</w:t>
      </w:r>
      <w:r w:rsidRPr="008C1777">
        <w:rPr>
          <w:rFonts w:ascii="Arial" w:hAnsi="Arial" w:cs="Times New Roman" w:hint="eastAsia"/>
        </w:rPr>
        <w:t>s</w:t>
      </w:r>
      <w:r w:rsidRPr="008C1777">
        <w:rPr>
          <w:rFonts w:ascii="Arial" w:hAnsi="Arial" w:cs="Times New Roman"/>
          <w:noProof/>
          <w:vertAlign w:val="superscript"/>
        </w:rPr>
        <w:t>45</w:t>
      </w:r>
      <w:r w:rsidRPr="008C1777">
        <w:rPr>
          <w:rFonts w:ascii="Arial" w:hAnsi="Arial" w:cs="Times New Roman"/>
        </w:rPr>
        <w:t xml:space="preserve">. Such a situation </w:t>
      </w:r>
      <w:r w:rsidRPr="008C1777">
        <w:rPr>
          <w:rFonts w:ascii="Arial" w:hAnsi="Arial" w:cs="Times New Roman" w:hint="eastAsia"/>
        </w:rPr>
        <w:t>leads</w:t>
      </w:r>
      <w:r w:rsidRPr="008C1777">
        <w:rPr>
          <w:rFonts w:ascii="Arial" w:hAnsi="Arial" w:cs="Times New Roman"/>
        </w:rPr>
        <w:t xml:space="preserve"> </w:t>
      </w:r>
      <w:r w:rsidRPr="008C1777">
        <w:rPr>
          <w:rFonts w:ascii="Arial" w:hAnsi="Arial" w:cs="Times New Roman" w:hint="eastAsia"/>
        </w:rPr>
        <w:t>t</w:t>
      </w:r>
      <w:r w:rsidRPr="008C1777">
        <w:rPr>
          <w:rFonts w:ascii="Arial" w:hAnsi="Arial" w:cs="Times New Roman"/>
        </w:rPr>
        <w:t xml:space="preserve">o </w:t>
      </w:r>
      <w:r w:rsidRPr="008C1777">
        <w:rPr>
          <w:rFonts w:ascii="Arial" w:hAnsi="Arial" w:cs="Times New Roman" w:hint="eastAsia"/>
        </w:rPr>
        <w:t>critical</w:t>
      </w:r>
      <w:r w:rsidRPr="008C1777">
        <w:rPr>
          <w:rFonts w:ascii="Arial" w:hAnsi="Arial" w:cs="Times New Roman"/>
        </w:rPr>
        <w:t xml:space="preserve"> challenges in surgical treatment planning for POP patients. On the other hand, the </w:t>
      </w:r>
      <w:r w:rsidRPr="008C1777">
        <w:rPr>
          <w:rFonts w:ascii="Arial" w:hAnsi="Arial" w:cs="Times New Roman"/>
          <w:color w:val="000000" w:themeColor="text1"/>
        </w:rPr>
        <w:t xml:space="preserve">selection of surgical treatment for a POP patient needs to consider multiple factors, including </w:t>
      </w:r>
      <w:r w:rsidRPr="008C1777">
        <w:rPr>
          <w:rFonts w:ascii="Arial" w:hAnsi="Arial" w:cs="Times New Roman"/>
        </w:rPr>
        <w:t xml:space="preserve">the site and severity of the prolapse </w:t>
      </w:r>
      <w:r w:rsidRPr="008C1777">
        <w:rPr>
          <w:rFonts w:ascii="Arial" w:hAnsi="Arial" w:cs="Times New Roman"/>
        </w:rPr>
        <w:lastRenderedPageBreak/>
        <w:t xml:space="preserve">and whether it’s recurring, the general health </w:t>
      </w:r>
      <w:r w:rsidRPr="008C1777">
        <w:rPr>
          <w:rFonts w:ascii="Arial" w:hAnsi="Arial" w:cs="Times New Roman" w:hint="eastAsia"/>
        </w:rPr>
        <w:t>conditio</w:t>
      </w:r>
      <w:r w:rsidRPr="008C1777">
        <w:rPr>
          <w:rFonts w:ascii="Arial" w:hAnsi="Arial" w:cs="Times New Roman"/>
        </w:rPr>
        <w:t xml:space="preserve">ns and expectations of the patient, the preference and capabilities of the surgeon, and potential risks and medical cost for receiving the surgical treatment. </w:t>
      </w:r>
      <w:r w:rsidRPr="008C1777">
        <w:rPr>
          <w:rFonts w:ascii="Arial" w:hAnsi="Arial" w:cs="Times New Roman"/>
          <w:color w:val="000000" w:themeColor="text1"/>
          <w:sz w:val="22"/>
        </w:rPr>
        <w:t xml:space="preserve">Table S2 lists some key objective and subjective factors that may influent surgical treatment recommendations of surgeons to POP patients. </w:t>
      </w:r>
    </w:p>
    <w:tbl>
      <w:tblPr>
        <w:tblStyle w:val="TableGrid"/>
        <w:tblW w:w="0" w:type="auto"/>
        <w:jc w:val="center"/>
        <w:tblLook w:val="04A0" w:firstRow="1" w:lastRow="0" w:firstColumn="1" w:lastColumn="0" w:noHBand="0" w:noVBand="1"/>
      </w:tblPr>
      <w:tblGrid>
        <w:gridCol w:w="1129"/>
        <w:gridCol w:w="1843"/>
        <w:gridCol w:w="5324"/>
      </w:tblGrid>
      <w:tr w:rsidR="006809BE" w:rsidRPr="008C1777" w14:paraId="52B74894" w14:textId="77777777" w:rsidTr="00187EB1">
        <w:trPr>
          <w:jc w:val="center"/>
        </w:trPr>
        <w:tc>
          <w:tcPr>
            <w:tcW w:w="2972" w:type="dxa"/>
            <w:gridSpan w:val="2"/>
            <w:vAlign w:val="center"/>
          </w:tcPr>
          <w:p w14:paraId="3A6DFDE5" w14:textId="77777777" w:rsidR="006809BE" w:rsidRPr="008C1777" w:rsidRDefault="006809BE" w:rsidP="00187EB1">
            <w:pPr>
              <w:jc w:val="center"/>
              <w:rPr>
                <w:rFonts w:ascii="Arial" w:hAnsi="Arial" w:cs="Times New Roman"/>
                <w:color w:val="000000" w:themeColor="text1"/>
                <w:sz w:val="18"/>
                <w:szCs w:val="20"/>
              </w:rPr>
            </w:pPr>
            <w:r w:rsidRPr="008C1777">
              <w:rPr>
                <w:rFonts w:ascii="Arial" w:hAnsi="Arial" w:cs="Times New Roman"/>
                <w:color w:val="000000" w:themeColor="text1"/>
                <w:sz w:val="18"/>
                <w:szCs w:val="20"/>
              </w:rPr>
              <w:t>Covariate</w:t>
            </w:r>
          </w:p>
        </w:tc>
        <w:tc>
          <w:tcPr>
            <w:tcW w:w="5324" w:type="dxa"/>
            <w:vAlign w:val="center"/>
          </w:tcPr>
          <w:p w14:paraId="28B21408" w14:textId="77777777" w:rsidR="006809BE" w:rsidRPr="008C1777" w:rsidRDefault="006809BE" w:rsidP="00187EB1">
            <w:pPr>
              <w:jc w:val="center"/>
              <w:rPr>
                <w:rFonts w:ascii="Arial" w:hAnsi="Arial" w:cs="Times New Roman"/>
                <w:color w:val="000000" w:themeColor="text1"/>
                <w:sz w:val="18"/>
                <w:szCs w:val="20"/>
              </w:rPr>
            </w:pPr>
            <w:r w:rsidRPr="008C1777">
              <w:rPr>
                <w:rFonts w:ascii="Arial" w:hAnsi="Arial" w:cs="Times New Roman"/>
                <w:color w:val="000000" w:themeColor="text1"/>
                <w:sz w:val="18"/>
                <w:szCs w:val="20"/>
              </w:rPr>
              <w:t>Significance</w:t>
            </w:r>
          </w:p>
        </w:tc>
      </w:tr>
      <w:tr w:rsidR="006809BE" w:rsidRPr="008C1777" w14:paraId="1DA57D07" w14:textId="77777777" w:rsidTr="00187EB1">
        <w:trPr>
          <w:jc w:val="center"/>
        </w:trPr>
        <w:tc>
          <w:tcPr>
            <w:tcW w:w="1129" w:type="dxa"/>
            <w:vMerge w:val="restart"/>
            <w:vAlign w:val="center"/>
          </w:tcPr>
          <w:p w14:paraId="5C682F27" w14:textId="77777777" w:rsidR="006809BE" w:rsidRPr="008C1777" w:rsidRDefault="006809BE" w:rsidP="00187EB1">
            <w:pPr>
              <w:jc w:val="center"/>
              <w:rPr>
                <w:rFonts w:ascii="Arial" w:hAnsi="Arial" w:cs="Times New Roman"/>
                <w:color w:val="000000" w:themeColor="text1"/>
                <w:sz w:val="18"/>
                <w:szCs w:val="20"/>
              </w:rPr>
            </w:pPr>
            <w:r w:rsidRPr="008C1777">
              <w:rPr>
                <w:rFonts w:ascii="Arial" w:hAnsi="Arial" w:cs="Times New Roman"/>
                <w:color w:val="000000" w:themeColor="text1"/>
                <w:sz w:val="18"/>
                <w:szCs w:val="20"/>
              </w:rPr>
              <w:t>Objective</w:t>
            </w:r>
          </w:p>
        </w:tc>
        <w:tc>
          <w:tcPr>
            <w:tcW w:w="1843" w:type="dxa"/>
            <w:vAlign w:val="center"/>
          </w:tcPr>
          <w:p w14:paraId="23E5DFC2" w14:textId="77777777" w:rsidR="006809BE" w:rsidRPr="008C1777" w:rsidRDefault="006809BE" w:rsidP="00187EB1">
            <w:pPr>
              <w:jc w:val="center"/>
              <w:rPr>
                <w:rFonts w:ascii="Arial" w:hAnsi="Arial" w:cs="Times New Roman"/>
                <w:color w:val="000000" w:themeColor="text1"/>
                <w:sz w:val="18"/>
                <w:szCs w:val="20"/>
              </w:rPr>
            </w:pPr>
            <w:r w:rsidRPr="008C1777">
              <w:rPr>
                <w:rFonts w:ascii="Arial" w:hAnsi="Arial" w:cs="Times New Roman"/>
                <w:color w:val="000000" w:themeColor="text1"/>
                <w:sz w:val="18"/>
                <w:szCs w:val="20"/>
              </w:rPr>
              <w:t>Age</w:t>
            </w:r>
          </w:p>
        </w:tc>
        <w:tc>
          <w:tcPr>
            <w:tcW w:w="5324" w:type="dxa"/>
            <w:vAlign w:val="center"/>
          </w:tcPr>
          <w:p w14:paraId="44C5E13B" w14:textId="77777777" w:rsidR="006809BE" w:rsidRPr="008C1777" w:rsidRDefault="006809BE" w:rsidP="00187EB1">
            <w:pPr>
              <w:jc w:val="center"/>
              <w:rPr>
                <w:rFonts w:ascii="Arial" w:hAnsi="Arial" w:cs="Times New Roman"/>
                <w:color w:val="000000" w:themeColor="text1"/>
                <w:sz w:val="18"/>
                <w:szCs w:val="20"/>
              </w:rPr>
            </w:pPr>
            <w:r w:rsidRPr="008C1777">
              <w:rPr>
                <w:rFonts w:ascii="Arial" w:hAnsi="Arial" w:cs="Times New Roman"/>
                <w:color w:val="000000" w:themeColor="text1"/>
                <w:sz w:val="18"/>
                <w:szCs w:val="20"/>
              </w:rPr>
              <w:t xml:space="preserve">Basic feature, general health, and expectation related; </w:t>
            </w:r>
          </w:p>
          <w:p w14:paraId="765E6068" w14:textId="77777777" w:rsidR="006809BE" w:rsidRPr="008C1777" w:rsidRDefault="006809BE" w:rsidP="00187EB1">
            <w:pPr>
              <w:jc w:val="center"/>
              <w:rPr>
                <w:rFonts w:ascii="Arial" w:hAnsi="Arial" w:cs="Times New Roman"/>
                <w:color w:val="000000" w:themeColor="text1"/>
                <w:sz w:val="18"/>
                <w:szCs w:val="20"/>
              </w:rPr>
            </w:pPr>
            <w:r w:rsidRPr="008C1777">
              <w:rPr>
                <w:rFonts w:ascii="Arial" w:hAnsi="Arial" w:cs="Times New Roman"/>
                <w:color w:val="000000" w:themeColor="text1"/>
                <w:sz w:val="18"/>
                <w:szCs w:val="20"/>
              </w:rPr>
              <w:t>mesh procedures for elder (60+) patients, etc.</w:t>
            </w:r>
          </w:p>
        </w:tc>
      </w:tr>
      <w:tr w:rsidR="006809BE" w:rsidRPr="008C1777" w14:paraId="1BA4A7E1" w14:textId="77777777" w:rsidTr="00187EB1">
        <w:trPr>
          <w:jc w:val="center"/>
        </w:trPr>
        <w:tc>
          <w:tcPr>
            <w:tcW w:w="1129" w:type="dxa"/>
            <w:vMerge/>
            <w:vAlign w:val="center"/>
          </w:tcPr>
          <w:p w14:paraId="70BA4A22" w14:textId="77777777" w:rsidR="006809BE" w:rsidRPr="008C1777" w:rsidRDefault="006809BE" w:rsidP="00187EB1">
            <w:pPr>
              <w:jc w:val="center"/>
              <w:rPr>
                <w:rFonts w:ascii="Arial" w:hAnsi="Arial" w:cs="Times New Roman"/>
                <w:color w:val="000000" w:themeColor="text1"/>
                <w:sz w:val="18"/>
                <w:szCs w:val="20"/>
              </w:rPr>
            </w:pPr>
          </w:p>
        </w:tc>
        <w:tc>
          <w:tcPr>
            <w:tcW w:w="1843" w:type="dxa"/>
            <w:vAlign w:val="center"/>
          </w:tcPr>
          <w:p w14:paraId="35BAFD54" w14:textId="77777777" w:rsidR="006809BE" w:rsidRPr="008C1777" w:rsidRDefault="006809BE" w:rsidP="00187EB1">
            <w:pPr>
              <w:jc w:val="center"/>
              <w:rPr>
                <w:rFonts w:ascii="Arial" w:hAnsi="Arial" w:cs="Times New Roman"/>
                <w:color w:val="000000" w:themeColor="text1"/>
                <w:sz w:val="18"/>
                <w:szCs w:val="20"/>
              </w:rPr>
            </w:pPr>
            <w:r w:rsidRPr="008C1777">
              <w:rPr>
                <w:rFonts w:ascii="Arial" w:hAnsi="Arial" w:cs="Times New Roman"/>
                <w:color w:val="000000" w:themeColor="text1"/>
                <w:sz w:val="18"/>
                <w:szCs w:val="20"/>
              </w:rPr>
              <w:t>BMI</w:t>
            </w:r>
          </w:p>
        </w:tc>
        <w:tc>
          <w:tcPr>
            <w:tcW w:w="5324" w:type="dxa"/>
            <w:vAlign w:val="center"/>
          </w:tcPr>
          <w:p w14:paraId="61954679" w14:textId="77777777" w:rsidR="006809BE" w:rsidRPr="008C1777" w:rsidRDefault="006809BE" w:rsidP="00187EB1">
            <w:pPr>
              <w:jc w:val="center"/>
              <w:rPr>
                <w:rFonts w:ascii="Arial" w:hAnsi="Arial" w:cs="Times New Roman"/>
                <w:color w:val="000000" w:themeColor="text1"/>
                <w:sz w:val="18"/>
                <w:szCs w:val="20"/>
              </w:rPr>
            </w:pPr>
            <w:r w:rsidRPr="008C1777">
              <w:rPr>
                <w:rFonts w:ascii="Arial" w:hAnsi="Arial" w:cs="Times New Roman"/>
                <w:color w:val="000000" w:themeColor="text1"/>
                <w:sz w:val="18"/>
                <w:szCs w:val="20"/>
              </w:rPr>
              <w:t>Basic feature, Effectiveness, and Surgery complexity related;</w:t>
            </w:r>
          </w:p>
          <w:p w14:paraId="36BD6A52" w14:textId="77777777" w:rsidR="006809BE" w:rsidRPr="008C1777" w:rsidRDefault="006809BE" w:rsidP="00187EB1">
            <w:pPr>
              <w:jc w:val="center"/>
              <w:rPr>
                <w:rFonts w:ascii="Arial" w:hAnsi="Arial" w:cs="Times New Roman"/>
                <w:color w:val="000000" w:themeColor="text1"/>
                <w:sz w:val="18"/>
                <w:szCs w:val="20"/>
              </w:rPr>
            </w:pPr>
            <w:r w:rsidRPr="008C1777">
              <w:rPr>
                <w:rFonts w:ascii="Arial" w:hAnsi="Arial" w:cs="Times New Roman"/>
                <w:color w:val="000000" w:themeColor="text1"/>
                <w:sz w:val="18"/>
                <w:szCs w:val="20"/>
              </w:rPr>
              <w:t xml:space="preserve"> mesh procedures for heavier (BMI 26+) patients, etc.</w:t>
            </w:r>
          </w:p>
        </w:tc>
      </w:tr>
      <w:tr w:rsidR="006809BE" w:rsidRPr="008C1777" w14:paraId="4ED55E53" w14:textId="77777777" w:rsidTr="00187EB1">
        <w:trPr>
          <w:jc w:val="center"/>
        </w:trPr>
        <w:tc>
          <w:tcPr>
            <w:tcW w:w="1129" w:type="dxa"/>
            <w:vMerge/>
            <w:vAlign w:val="center"/>
          </w:tcPr>
          <w:p w14:paraId="16C91F48" w14:textId="77777777" w:rsidR="006809BE" w:rsidRPr="008C1777" w:rsidRDefault="006809BE" w:rsidP="00187EB1">
            <w:pPr>
              <w:jc w:val="center"/>
              <w:rPr>
                <w:rFonts w:ascii="Arial" w:hAnsi="Arial" w:cs="Times New Roman"/>
                <w:color w:val="000000" w:themeColor="text1"/>
                <w:sz w:val="18"/>
                <w:szCs w:val="20"/>
              </w:rPr>
            </w:pPr>
          </w:p>
        </w:tc>
        <w:tc>
          <w:tcPr>
            <w:tcW w:w="1843" w:type="dxa"/>
            <w:vAlign w:val="center"/>
          </w:tcPr>
          <w:p w14:paraId="3CC1DE01" w14:textId="77777777" w:rsidR="006809BE" w:rsidRPr="008C1777" w:rsidRDefault="006809BE" w:rsidP="00187EB1">
            <w:pPr>
              <w:jc w:val="center"/>
              <w:rPr>
                <w:rFonts w:ascii="Arial" w:hAnsi="Arial" w:cs="Times New Roman"/>
                <w:color w:val="000000" w:themeColor="text1"/>
                <w:sz w:val="18"/>
                <w:szCs w:val="20"/>
              </w:rPr>
            </w:pPr>
            <w:r w:rsidRPr="008C1777">
              <w:rPr>
                <w:rFonts w:ascii="Arial" w:hAnsi="Arial" w:cs="Times New Roman"/>
                <w:color w:val="000000" w:themeColor="text1"/>
                <w:sz w:val="18"/>
                <w:szCs w:val="20"/>
              </w:rPr>
              <w:t>POP-Q</w:t>
            </w:r>
          </w:p>
        </w:tc>
        <w:tc>
          <w:tcPr>
            <w:tcW w:w="5324" w:type="dxa"/>
            <w:vAlign w:val="center"/>
          </w:tcPr>
          <w:p w14:paraId="746EA5D3" w14:textId="77777777" w:rsidR="006809BE" w:rsidRPr="008C1777" w:rsidRDefault="006809BE" w:rsidP="00187EB1">
            <w:pPr>
              <w:jc w:val="center"/>
              <w:rPr>
                <w:rFonts w:ascii="Arial" w:hAnsi="Arial" w:cs="Times New Roman"/>
                <w:color w:val="000000" w:themeColor="text1"/>
                <w:sz w:val="18"/>
                <w:szCs w:val="20"/>
              </w:rPr>
            </w:pPr>
            <w:r w:rsidRPr="008C1777">
              <w:rPr>
                <w:rFonts w:ascii="Arial" w:hAnsi="Arial" w:cs="Times New Roman"/>
                <w:color w:val="000000" w:themeColor="text1"/>
                <w:sz w:val="18"/>
                <w:szCs w:val="20"/>
              </w:rPr>
              <w:t xml:space="preserve">Indication of prolapse severity; </w:t>
            </w:r>
          </w:p>
          <w:p w14:paraId="53DC8B35" w14:textId="77777777" w:rsidR="006809BE" w:rsidRPr="008C1777" w:rsidRDefault="006809BE" w:rsidP="00187EB1">
            <w:pPr>
              <w:jc w:val="center"/>
              <w:rPr>
                <w:rFonts w:ascii="Arial" w:hAnsi="Arial" w:cs="Times New Roman"/>
                <w:color w:val="000000" w:themeColor="text1"/>
                <w:sz w:val="18"/>
                <w:szCs w:val="20"/>
              </w:rPr>
            </w:pPr>
            <w:r w:rsidRPr="008C1777">
              <w:rPr>
                <w:rFonts w:ascii="Arial" w:hAnsi="Arial" w:cs="Times New Roman"/>
                <w:color w:val="000000" w:themeColor="text1"/>
                <w:sz w:val="18"/>
                <w:szCs w:val="20"/>
              </w:rPr>
              <w:t>The objective standard of “Effectiveness”</w:t>
            </w:r>
          </w:p>
        </w:tc>
      </w:tr>
      <w:tr w:rsidR="006809BE" w:rsidRPr="008C1777" w14:paraId="59E899EB" w14:textId="77777777" w:rsidTr="00187EB1">
        <w:trPr>
          <w:jc w:val="center"/>
        </w:trPr>
        <w:tc>
          <w:tcPr>
            <w:tcW w:w="1129" w:type="dxa"/>
            <w:vMerge w:val="restart"/>
            <w:vAlign w:val="center"/>
          </w:tcPr>
          <w:p w14:paraId="6A906978" w14:textId="77777777" w:rsidR="006809BE" w:rsidRPr="008C1777" w:rsidRDefault="006809BE" w:rsidP="00187EB1">
            <w:pPr>
              <w:jc w:val="center"/>
              <w:rPr>
                <w:rFonts w:ascii="Arial" w:hAnsi="Arial" w:cs="Times New Roman"/>
                <w:color w:val="000000" w:themeColor="text1"/>
                <w:sz w:val="18"/>
                <w:szCs w:val="20"/>
              </w:rPr>
            </w:pPr>
            <w:r w:rsidRPr="008C1777">
              <w:rPr>
                <w:rFonts w:ascii="Arial" w:hAnsi="Arial" w:cs="Times New Roman"/>
                <w:color w:val="000000" w:themeColor="text1"/>
                <w:sz w:val="18"/>
                <w:szCs w:val="20"/>
              </w:rPr>
              <w:t>Subjective</w:t>
            </w:r>
          </w:p>
        </w:tc>
        <w:tc>
          <w:tcPr>
            <w:tcW w:w="1843" w:type="dxa"/>
            <w:vAlign w:val="center"/>
          </w:tcPr>
          <w:p w14:paraId="412B2032" w14:textId="77777777" w:rsidR="006809BE" w:rsidRPr="008C1777" w:rsidRDefault="006809BE" w:rsidP="00187EB1">
            <w:pPr>
              <w:jc w:val="center"/>
              <w:rPr>
                <w:rFonts w:ascii="Arial" w:hAnsi="Arial" w:cs="Times New Roman"/>
                <w:color w:val="000000" w:themeColor="text1"/>
                <w:sz w:val="18"/>
                <w:szCs w:val="20"/>
              </w:rPr>
            </w:pPr>
            <w:r w:rsidRPr="008C1777">
              <w:rPr>
                <w:rFonts w:ascii="Arial" w:hAnsi="Arial" w:cs="Times New Roman"/>
                <w:color w:val="000000" w:themeColor="text1"/>
                <w:sz w:val="18"/>
                <w:szCs w:val="20"/>
              </w:rPr>
              <w:t>Sexual life or vagina reservation</w:t>
            </w:r>
          </w:p>
        </w:tc>
        <w:tc>
          <w:tcPr>
            <w:tcW w:w="5324" w:type="dxa"/>
            <w:vAlign w:val="center"/>
          </w:tcPr>
          <w:p w14:paraId="2E7F04D1" w14:textId="77777777" w:rsidR="006809BE" w:rsidRPr="008C1777" w:rsidRDefault="006809BE" w:rsidP="00187EB1">
            <w:pPr>
              <w:jc w:val="center"/>
              <w:rPr>
                <w:rFonts w:ascii="Arial" w:hAnsi="Arial" w:cs="Times New Roman"/>
                <w:color w:val="000000" w:themeColor="text1"/>
                <w:sz w:val="18"/>
                <w:szCs w:val="20"/>
              </w:rPr>
            </w:pPr>
            <w:r w:rsidRPr="008C1777">
              <w:rPr>
                <w:rFonts w:ascii="Arial" w:hAnsi="Arial" w:cs="Times New Roman"/>
                <w:color w:val="000000" w:themeColor="text1"/>
                <w:sz w:val="18"/>
                <w:szCs w:val="20"/>
              </w:rPr>
              <w:t xml:space="preserve">SC, SSLF, and ULS are recommended for sexually active patients, while the vagina will not be reserved in </w:t>
            </w:r>
            <w:r w:rsidRPr="008C1777">
              <w:rPr>
                <w:rFonts w:ascii="Arial" w:eastAsia="DengXian" w:hAnsi="Arial" w:cs="Times New Roman"/>
                <w:color w:val="000000"/>
                <w:sz w:val="18"/>
                <w:szCs w:val="18"/>
              </w:rPr>
              <w:t>Colpocleisis</w:t>
            </w:r>
          </w:p>
        </w:tc>
      </w:tr>
      <w:tr w:rsidR="006809BE" w:rsidRPr="008C1777" w14:paraId="5504FAEE" w14:textId="77777777" w:rsidTr="00187EB1">
        <w:trPr>
          <w:jc w:val="center"/>
        </w:trPr>
        <w:tc>
          <w:tcPr>
            <w:tcW w:w="1129" w:type="dxa"/>
            <w:vMerge/>
            <w:vAlign w:val="center"/>
          </w:tcPr>
          <w:p w14:paraId="4B65BDF6" w14:textId="77777777" w:rsidR="006809BE" w:rsidRPr="008C1777" w:rsidRDefault="006809BE" w:rsidP="00187EB1">
            <w:pPr>
              <w:jc w:val="center"/>
              <w:rPr>
                <w:rFonts w:ascii="Arial" w:hAnsi="Arial" w:cs="Times New Roman"/>
                <w:color w:val="000000" w:themeColor="text1"/>
                <w:sz w:val="18"/>
                <w:szCs w:val="20"/>
              </w:rPr>
            </w:pPr>
          </w:p>
        </w:tc>
        <w:tc>
          <w:tcPr>
            <w:tcW w:w="1843" w:type="dxa"/>
            <w:vAlign w:val="center"/>
          </w:tcPr>
          <w:p w14:paraId="19356E4C" w14:textId="77777777" w:rsidR="006809BE" w:rsidRPr="008C1777" w:rsidRDefault="006809BE" w:rsidP="00187EB1">
            <w:pPr>
              <w:jc w:val="center"/>
              <w:rPr>
                <w:rFonts w:ascii="Arial" w:hAnsi="Arial" w:cs="Times New Roman"/>
                <w:color w:val="000000" w:themeColor="text1"/>
                <w:sz w:val="18"/>
                <w:szCs w:val="20"/>
              </w:rPr>
            </w:pPr>
            <w:r w:rsidRPr="008C1777">
              <w:rPr>
                <w:rFonts w:ascii="Arial" w:hAnsi="Arial" w:cs="Times New Roman"/>
                <w:color w:val="000000" w:themeColor="text1"/>
                <w:sz w:val="18"/>
                <w:szCs w:val="20"/>
              </w:rPr>
              <w:t>Mesh aversion</w:t>
            </w:r>
          </w:p>
        </w:tc>
        <w:tc>
          <w:tcPr>
            <w:tcW w:w="5324" w:type="dxa"/>
            <w:vAlign w:val="center"/>
          </w:tcPr>
          <w:p w14:paraId="31D50A9D" w14:textId="77777777" w:rsidR="006809BE" w:rsidRPr="008C1777" w:rsidRDefault="006809BE" w:rsidP="00187EB1">
            <w:pPr>
              <w:jc w:val="center"/>
              <w:rPr>
                <w:rFonts w:ascii="Arial" w:hAnsi="Arial" w:cs="Times New Roman"/>
                <w:color w:val="000000" w:themeColor="text1"/>
                <w:sz w:val="18"/>
                <w:szCs w:val="20"/>
              </w:rPr>
            </w:pPr>
            <w:r w:rsidRPr="008C1777">
              <w:rPr>
                <w:rFonts w:ascii="Arial" w:hAnsi="Arial" w:cs="Times New Roman"/>
                <w:color w:val="000000" w:themeColor="text1"/>
                <w:sz w:val="18"/>
                <w:szCs w:val="20"/>
              </w:rPr>
              <w:t>Mesh-contradicted comorbidity or personal concerns affects mesh-related procedure choosing</w:t>
            </w:r>
          </w:p>
        </w:tc>
      </w:tr>
      <w:tr w:rsidR="006809BE" w:rsidRPr="008C1777" w14:paraId="1AFA9A76" w14:textId="77777777" w:rsidTr="00187EB1">
        <w:trPr>
          <w:jc w:val="center"/>
        </w:trPr>
        <w:tc>
          <w:tcPr>
            <w:tcW w:w="1129" w:type="dxa"/>
            <w:vMerge/>
            <w:vAlign w:val="center"/>
          </w:tcPr>
          <w:p w14:paraId="3B1B6AC2" w14:textId="77777777" w:rsidR="006809BE" w:rsidRPr="008C1777" w:rsidRDefault="006809BE" w:rsidP="00187EB1">
            <w:pPr>
              <w:jc w:val="center"/>
              <w:rPr>
                <w:rFonts w:ascii="Arial" w:hAnsi="Arial" w:cs="Times New Roman"/>
                <w:color w:val="000000" w:themeColor="text1"/>
                <w:sz w:val="18"/>
                <w:szCs w:val="20"/>
              </w:rPr>
            </w:pPr>
          </w:p>
        </w:tc>
        <w:tc>
          <w:tcPr>
            <w:tcW w:w="1843" w:type="dxa"/>
            <w:vAlign w:val="center"/>
          </w:tcPr>
          <w:p w14:paraId="25DB5657" w14:textId="77777777" w:rsidR="006809BE" w:rsidRPr="008C1777" w:rsidRDefault="006809BE" w:rsidP="00187EB1">
            <w:pPr>
              <w:jc w:val="center"/>
              <w:rPr>
                <w:rFonts w:ascii="Arial" w:hAnsi="Arial" w:cs="Times New Roman"/>
                <w:color w:val="000000" w:themeColor="text1"/>
                <w:sz w:val="18"/>
                <w:szCs w:val="20"/>
              </w:rPr>
            </w:pPr>
            <w:r w:rsidRPr="008C1777">
              <w:rPr>
                <w:rFonts w:ascii="Arial" w:hAnsi="Arial" w:cs="Times New Roman"/>
                <w:color w:val="000000" w:themeColor="text1"/>
                <w:sz w:val="18"/>
                <w:szCs w:val="20"/>
              </w:rPr>
              <w:t>Cost-sensitive</w:t>
            </w:r>
          </w:p>
        </w:tc>
        <w:tc>
          <w:tcPr>
            <w:tcW w:w="5324" w:type="dxa"/>
            <w:vAlign w:val="center"/>
          </w:tcPr>
          <w:p w14:paraId="6A8C147B" w14:textId="77777777" w:rsidR="006809BE" w:rsidRPr="008C1777" w:rsidRDefault="006809BE" w:rsidP="00187EB1">
            <w:pPr>
              <w:jc w:val="center"/>
              <w:rPr>
                <w:rFonts w:ascii="Arial" w:hAnsi="Arial" w:cs="Times New Roman"/>
                <w:color w:val="FF0000"/>
                <w:sz w:val="18"/>
                <w:szCs w:val="20"/>
              </w:rPr>
            </w:pPr>
            <w:r w:rsidRPr="008C1777">
              <w:rPr>
                <w:rFonts w:ascii="Arial" w:hAnsi="Arial" w:cs="Times New Roman"/>
                <w:color w:val="000000" w:themeColor="text1"/>
                <w:sz w:val="18"/>
                <w:szCs w:val="20"/>
              </w:rPr>
              <w:t>Economy concern: cost of procedures varies</w:t>
            </w:r>
          </w:p>
        </w:tc>
      </w:tr>
      <w:tr w:rsidR="006809BE" w:rsidRPr="008C1777" w14:paraId="2A076CBB" w14:textId="77777777" w:rsidTr="00187EB1">
        <w:trPr>
          <w:jc w:val="center"/>
        </w:trPr>
        <w:tc>
          <w:tcPr>
            <w:tcW w:w="1129" w:type="dxa"/>
            <w:vMerge/>
            <w:vAlign w:val="center"/>
          </w:tcPr>
          <w:p w14:paraId="1B046A4D" w14:textId="77777777" w:rsidR="006809BE" w:rsidRPr="008C1777" w:rsidRDefault="006809BE" w:rsidP="00187EB1">
            <w:pPr>
              <w:jc w:val="center"/>
              <w:rPr>
                <w:rFonts w:ascii="Arial" w:hAnsi="Arial" w:cs="Times New Roman"/>
                <w:color w:val="FF0000"/>
                <w:sz w:val="18"/>
                <w:szCs w:val="20"/>
              </w:rPr>
            </w:pPr>
          </w:p>
        </w:tc>
        <w:tc>
          <w:tcPr>
            <w:tcW w:w="1843" w:type="dxa"/>
            <w:vAlign w:val="center"/>
          </w:tcPr>
          <w:p w14:paraId="136EBFC0" w14:textId="77777777" w:rsidR="006809BE" w:rsidRPr="008C1777" w:rsidRDefault="006809BE" w:rsidP="00187EB1">
            <w:pPr>
              <w:jc w:val="center"/>
              <w:rPr>
                <w:rFonts w:ascii="Arial" w:hAnsi="Arial" w:cs="Times New Roman"/>
                <w:color w:val="FF0000"/>
                <w:sz w:val="18"/>
                <w:szCs w:val="20"/>
              </w:rPr>
            </w:pPr>
            <w:r w:rsidRPr="008C1777">
              <w:rPr>
                <w:rFonts w:ascii="Arial" w:hAnsi="Arial" w:cs="Times New Roman"/>
                <w:color w:val="000000" w:themeColor="text1"/>
                <w:sz w:val="18"/>
                <w:szCs w:val="20"/>
              </w:rPr>
              <w:t>Surgery complexity</w:t>
            </w:r>
          </w:p>
        </w:tc>
        <w:tc>
          <w:tcPr>
            <w:tcW w:w="5324" w:type="dxa"/>
            <w:vAlign w:val="center"/>
          </w:tcPr>
          <w:p w14:paraId="1ABEEFEF" w14:textId="77777777" w:rsidR="006809BE" w:rsidRPr="008C1777" w:rsidRDefault="006809BE" w:rsidP="00187EB1">
            <w:pPr>
              <w:jc w:val="center"/>
              <w:rPr>
                <w:rFonts w:ascii="Arial" w:hAnsi="Arial" w:cs="Times New Roman"/>
                <w:color w:val="FF0000"/>
                <w:sz w:val="18"/>
                <w:szCs w:val="20"/>
              </w:rPr>
            </w:pPr>
            <w:r w:rsidRPr="008C1777">
              <w:rPr>
                <w:rFonts w:ascii="Arial" w:hAnsi="Arial" w:cs="Times New Roman"/>
                <w:sz w:val="18"/>
                <w:szCs w:val="20"/>
              </w:rPr>
              <w:t>Surgeon’s preference and capabilities related</w:t>
            </w:r>
          </w:p>
        </w:tc>
      </w:tr>
    </w:tbl>
    <w:p w14:paraId="79E311A7" w14:textId="77777777" w:rsidR="006809BE" w:rsidRPr="008C1777" w:rsidRDefault="006809BE" w:rsidP="006809BE">
      <w:pPr>
        <w:rPr>
          <w:rFonts w:ascii="Arial" w:hAnsi="Arial" w:cs="Times New Roman"/>
        </w:rPr>
      </w:pPr>
      <w:r w:rsidRPr="008C1777">
        <w:rPr>
          <w:rFonts w:ascii="Arial" w:hAnsi="Arial" w:cs="Times New Roman"/>
          <w:b/>
          <w:bCs/>
          <w:color w:val="000000" w:themeColor="text1"/>
          <w:sz w:val="18"/>
          <w:szCs w:val="18"/>
        </w:rPr>
        <w:t xml:space="preserve">Table S2. </w:t>
      </w:r>
      <w:r w:rsidRPr="008C1777">
        <w:rPr>
          <w:rFonts w:ascii="Arial" w:hAnsi="Arial" w:cs="Times New Roman"/>
          <w:sz w:val="18"/>
          <w:szCs w:val="20"/>
        </w:rPr>
        <w:t>Objective and subjective factors that may influent surgical treatment recommendation of surgeons to POP patients.</w:t>
      </w:r>
    </w:p>
    <w:p w14:paraId="17293E10" w14:textId="77777777" w:rsidR="006809BE" w:rsidRPr="008C1777" w:rsidRDefault="006809BE" w:rsidP="006809BE">
      <w:pPr>
        <w:autoSpaceDE w:val="0"/>
        <w:autoSpaceDN w:val="0"/>
        <w:adjustRightInd w:val="0"/>
        <w:ind w:firstLine="420"/>
        <w:rPr>
          <w:rFonts w:ascii="Arial" w:hAnsi="Arial" w:cs="Times New Roman"/>
        </w:rPr>
      </w:pPr>
      <w:r w:rsidRPr="008C1777">
        <w:rPr>
          <w:rFonts w:ascii="Arial" w:hAnsi="Arial" w:cs="Times New Roman"/>
          <w:color w:val="000000" w:themeColor="text1"/>
        </w:rPr>
        <w:t xml:space="preserve">Although </w:t>
      </w:r>
      <w:r w:rsidRPr="008C1777">
        <w:rPr>
          <w:rFonts w:ascii="Arial" w:hAnsi="Arial" w:cs="Times New Roman"/>
        </w:rPr>
        <w:t xml:space="preserve">experienced surgeons have their ways to process received information and make decisions in clinical practice, it is usually difficult to directly summarize their experiences into a self-contained intelligent system. </w:t>
      </w:r>
      <w:r w:rsidRPr="008C1777">
        <w:rPr>
          <w:rFonts w:ascii="Arial" w:hAnsi="Arial" w:cs="Times New Roman" w:hint="eastAsia"/>
        </w:rPr>
        <w:t>Still</w:t>
      </w:r>
      <w:r w:rsidRPr="008C1777">
        <w:rPr>
          <w:rFonts w:ascii="Arial" w:hAnsi="Arial" w:cs="Times New Roman"/>
          <w:color w:val="000000" w:themeColor="text1"/>
        </w:rPr>
        <w:t>, even experienced urogynecologists with different backgrounds</w:t>
      </w:r>
      <w:r w:rsidRPr="008C1777" w:rsidDel="005B6228">
        <w:rPr>
          <w:rFonts w:ascii="Arial" w:hAnsi="Arial" w:cs="Times New Roman"/>
          <w:color w:val="000000" w:themeColor="text1"/>
        </w:rPr>
        <w:t xml:space="preserve"> </w:t>
      </w:r>
      <w:r w:rsidRPr="008C1777">
        <w:rPr>
          <w:rFonts w:ascii="Arial" w:hAnsi="Arial" w:cs="Times New Roman"/>
          <w:color w:val="000000" w:themeColor="text1"/>
        </w:rPr>
        <w:t xml:space="preserve">sometimes can hardly reach a consensus, suggesting a highly multi-dimensional and complicated clinical scene. Most existing guidelines for POP summarize qualitative principles </w:t>
      </w:r>
      <w:r w:rsidRPr="008C1777">
        <w:rPr>
          <w:rFonts w:ascii="Arial" w:hAnsi="Arial" w:cs="Times New Roman" w:hint="eastAsia"/>
          <w:color w:val="000000" w:themeColor="text1"/>
        </w:rPr>
        <w:t>for</w:t>
      </w:r>
      <w:r w:rsidRPr="008C1777">
        <w:rPr>
          <w:rFonts w:ascii="Arial" w:hAnsi="Arial" w:cs="Times New Roman"/>
          <w:color w:val="000000" w:themeColor="text1"/>
        </w:rPr>
        <w:t xml:space="preserve"> selection of surg</w:t>
      </w:r>
      <w:r w:rsidRPr="008C1777">
        <w:rPr>
          <w:rFonts w:ascii="Arial" w:hAnsi="Arial" w:cs="Times New Roman" w:hint="eastAsia"/>
          <w:color w:val="000000" w:themeColor="text1"/>
        </w:rPr>
        <w:t>i</w:t>
      </w:r>
      <w:r w:rsidRPr="008C1777">
        <w:rPr>
          <w:rFonts w:ascii="Arial" w:hAnsi="Arial" w:cs="Times New Roman"/>
          <w:color w:val="000000" w:themeColor="text1"/>
        </w:rPr>
        <w:t>c</w:t>
      </w:r>
      <w:r w:rsidRPr="008C1777">
        <w:rPr>
          <w:rFonts w:ascii="Arial" w:hAnsi="Arial" w:cs="Times New Roman" w:hint="eastAsia"/>
          <w:color w:val="000000" w:themeColor="text1"/>
        </w:rPr>
        <w:t>al</w:t>
      </w:r>
      <w:r w:rsidRPr="008C1777">
        <w:rPr>
          <w:rFonts w:ascii="Arial" w:hAnsi="Arial" w:cs="Times New Roman"/>
          <w:color w:val="000000" w:themeColor="text1"/>
        </w:rPr>
        <w:t xml:space="preserve"> </w:t>
      </w:r>
      <w:r w:rsidRPr="008C1777">
        <w:rPr>
          <w:rFonts w:ascii="Arial" w:hAnsi="Arial" w:cs="Times New Roman" w:hint="eastAsia"/>
          <w:color w:val="000000" w:themeColor="text1"/>
        </w:rPr>
        <w:t>type</w:t>
      </w:r>
      <w:r w:rsidRPr="008C1777">
        <w:rPr>
          <w:rFonts w:ascii="Arial" w:hAnsi="Arial" w:cs="Times New Roman"/>
          <w:color w:val="000000" w:themeColor="text1"/>
        </w:rPr>
        <w:t xml:space="preserve"> and timing, but cannot operably direct </w:t>
      </w:r>
      <w:r w:rsidRPr="008C1777">
        <w:rPr>
          <w:rFonts w:ascii="Arial" w:hAnsi="Arial" w:cs="Times New Roman"/>
        </w:rPr>
        <w:t>surgeons in a personalized way yet. For example, SC, SSLF, and ULS are all recommended by the ACOG guideline</w:t>
      </w:r>
      <w:r w:rsidRPr="008C1777">
        <w:rPr>
          <w:rFonts w:ascii="Arial" w:hAnsi="Arial" w:cs="Times New Roman"/>
          <w:noProof/>
          <w:vertAlign w:val="superscript"/>
        </w:rPr>
        <w:t>35</w:t>
      </w:r>
      <w:r w:rsidRPr="008C1777">
        <w:rPr>
          <w:rFonts w:ascii="Arial" w:hAnsi="Arial" w:cs="Times New Roman"/>
        </w:rPr>
        <w:t xml:space="preserve"> for sexually active patients with primary symptomatic vaginal vault prolapse grading POP-Q stage 2 and above, while these three procedures have a significant difference in effectiveness, safety, sexual function influence, and cost, leaving no explicit or </w:t>
      </w:r>
      <w:r w:rsidRPr="008C1777">
        <w:rPr>
          <w:rFonts w:ascii="Arial" w:hAnsi="Arial" w:cs="Times New Roman" w:hint="eastAsia"/>
        </w:rPr>
        <w:t>individual</w:t>
      </w:r>
      <w:r w:rsidRPr="008C1777">
        <w:rPr>
          <w:rFonts w:ascii="Arial" w:hAnsi="Arial" w:cs="Times New Roman"/>
        </w:rPr>
        <w:t xml:space="preserve"> instruction to choose certain surgery for a particular patient. Such ambiguous indications in POP guidelines confront inexperienced </w:t>
      </w:r>
      <w:r w:rsidRPr="008C1777">
        <w:rPr>
          <w:rFonts w:ascii="Arial" w:hAnsi="Arial" w:cs="Times New Roman" w:hint="eastAsia"/>
        </w:rPr>
        <w:t>surgeons</w:t>
      </w:r>
      <w:r w:rsidRPr="008C1777">
        <w:rPr>
          <w:rFonts w:ascii="Arial" w:hAnsi="Arial" w:cs="Times New Roman"/>
        </w:rPr>
        <w:t xml:space="preserve"> to make decisions. </w:t>
      </w:r>
    </w:p>
    <w:p w14:paraId="243EB22C" w14:textId="77777777" w:rsidR="006809BE" w:rsidRPr="008C1777" w:rsidRDefault="006809BE" w:rsidP="006809BE">
      <w:pPr>
        <w:ind w:firstLineChars="200" w:firstLine="420"/>
        <w:rPr>
          <w:rFonts w:ascii="Arial" w:hAnsi="Arial" w:cs="Times New Roman"/>
          <w:color w:val="000000" w:themeColor="text1"/>
        </w:rPr>
      </w:pPr>
      <w:r w:rsidRPr="008C1777">
        <w:rPr>
          <w:rFonts w:ascii="Arial" w:hAnsi="Arial" w:cs="Times New Roman"/>
        </w:rPr>
        <w:t>Some studies in the literature tried to back up the ambiguous indications in POP guidelines with more explicit ones. But, most of them always concluded that “procedure A is more efficient than B while having more complications and it should be balanced”, and didn’t provide any “balanced” solution</w:t>
      </w:r>
      <w:r w:rsidRPr="008C1777">
        <w:rPr>
          <w:rFonts w:ascii="Arial" w:hAnsi="Arial" w:cs="Times New Roman"/>
          <w:noProof/>
          <w:vertAlign w:val="superscript"/>
        </w:rPr>
        <w:t>59</w:t>
      </w:r>
      <w:r w:rsidRPr="008C1777">
        <w:rPr>
          <w:rFonts w:ascii="Arial" w:hAnsi="Arial" w:cs="Times New Roman"/>
        </w:rPr>
        <w:t>. How to balance effectiveness, risk, and cost remains a puzzle. Several studies</w:t>
      </w:r>
      <w:r w:rsidRPr="008C1777">
        <w:rPr>
          <w:rFonts w:ascii="Arial" w:hAnsi="Arial" w:cs="Times New Roman"/>
          <w:noProof/>
          <w:vertAlign w:val="superscript"/>
        </w:rPr>
        <w:t>41, 42</w:t>
      </w:r>
      <w:r w:rsidRPr="008C1777">
        <w:rPr>
          <w:rFonts w:ascii="Arial" w:hAnsi="Arial" w:cs="Times New Roman"/>
        </w:rPr>
        <w:t xml:space="preserve"> used the Markov model to evaluate the cost-effectiveness of procedures, simultaneously taking effectiveness, complication, and cost into account. However, cost-effectiveness as the index is macroscopic and non-personalized, thus not practical and instructional in decision-making. In short, personalized surgical treatment planning for POP patients is still a critical challenge worth in-depth research in clinical </w:t>
      </w:r>
      <w:r w:rsidRPr="008C1777">
        <w:rPr>
          <w:rFonts w:ascii="Arial" w:hAnsi="Arial" w:cs="Times New Roman"/>
          <w:color w:val="000000" w:themeColor="text1"/>
        </w:rPr>
        <w:t>practice</w:t>
      </w:r>
      <w:r w:rsidRPr="008C1777">
        <w:rPr>
          <w:rFonts w:ascii="Arial" w:hAnsi="Arial" w:cs="Times New Roman"/>
          <w:noProof/>
          <w:color w:val="000000" w:themeColor="text1"/>
          <w:vertAlign w:val="superscript"/>
        </w:rPr>
        <w:t>61</w:t>
      </w:r>
      <w:r w:rsidRPr="008C1777">
        <w:rPr>
          <w:rFonts w:ascii="Arial" w:hAnsi="Arial" w:cs="Times New Roman"/>
          <w:color w:val="000000" w:themeColor="text1"/>
        </w:rPr>
        <w:t>.</w:t>
      </w:r>
    </w:p>
    <w:p w14:paraId="14460AF8" w14:textId="77777777" w:rsidR="006809BE" w:rsidRPr="008C1777" w:rsidRDefault="006809BE" w:rsidP="006809BE">
      <w:pPr>
        <w:widowControl/>
        <w:jc w:val="left"/>
        <w:rPr>
          <w:rFonts w:ascii="Arial" w:eastAsiaTheme="majorEastAsia" w:hAnsi="Arial" w:cs="Times New Roman"/>
          <w:b/>
          <w:bCs/>
          <w:sz w:val="24"/>
          <w:szCs w:val="24"/>
        </w:rPr>
      </w:pPr>
      <w:r w:rsidRPr="008C1777">
        <w:rPr>
          <w:rFonts w:ascii="Arial" w:eastAsiaTheme="majorEastAsia" w:hAnsi="Arial" w:cs="Times New Roman"/>
          <w:b/>
          <w:bCs/>
          <w:sz w:val="24"/>
          <w:szCs w:val="24"/>
        </w:rPr>
        <w:br w:type="page"/>
      </w:r>
    </w:p>
    <w:p w14:paraId="5E1F7C6C" w14:textId="77777777" w:rsidR="006809BE" w:rsidRPr="008C1777" w:rsidRDefault="006809BE" w:rsidP="006809BE">
      <w:pPr>
        <w:keepNext/>
        <w:keepLines/>
        <w:spacing w:before="260" w:after="260"/>
        <w:outlineLvl w:val="2"/>
        <w:rPr>
          <w:rFonts w:ascii="Arial" w:eastAsiaTheme="majorEastAsia" w:hAnsi="Arial" w:cs="Times New Roman"/>
          <w:b/>
          <w:bCs/>
          <w:sz w:val="24"/>
          <w:szCs w:val="24"/>
        </w:rPr>
      </w:pPr>
      <w:r w:rsidRPr="008C1777">
        <w:rPr>
          <w:rFonts w:ascii="Arial" w:eastAsiaTheme="majorEastAsia" w:hAnsi="Arial" w:cs="Times New Roman" w:hint="eastAsia"/>
          <w:b/>
          <w:bCs/>
          <w:sz w:val="24"/>
          <w:szCs w:val="24"/>
        </w:rPr>
        <w:lastRenderedPageBreak/>
        <w:t>A</w:t>
      </w:r>
      <w:r w:rsidRPr="008C1777">
        <w:rPr>
          <w:rFonts w:ascii="Arial" w:eastAsiaTheme="majorEastAsia" w:hAnsi="Arial" w:cs="Times New Roman"/>
          <w:b/>
          <w:bCs/>
          <w:sz w:val="24"/>
          <w:szCs w:val="24"/>
        </w:rPr>
        <w:t xml:space="preserve">5. The global shortage of medical resources </w:t>
      </w:r>
      <w:r w:rsidRPr="008C1777">
        <w:rPr>
          <w:rFonts w:ascii="Arial" w:eastAsiaTheme="majorEastAsia" w:hAnsi="Arial" w:cs="Times New Roman" w:hint="eastAsia"/>
          <w:b/>
          <w:bCs/>
          <w:sz w:val="24"/>
          <w:szCs w:val="24"/>
        </w:rPr>
        <w:t>for</w:t>
      </w:r>
      <w:r w:rsidRPr="008C1777">
        <w:rPr>
          <w:rFonts w:ascii="Arial" w:eastAsiaTheme="majorEastAsia" w:hAnsi="Arial" w:cs="Times New Roman"/>
          <w:b/>
          <w:bCs/>
          <w:sz w:val="24"/>
          <w:szCs w:val="24"/>
        </w:rPr>
        <w:t xml:space="preserve"> POP is a long-term challenge </w:t>
      </w:r>
    </w:p>
    <w:p w14:paraId="78F51B24" w14:textId="77777777" w:rsidR="006809BE" w:rsidRPr="008C1777" w:rsidRDefault="006809BE" w:rsidP="006809BE">
      <w:pPr>
        <w:autoSpaceDE w:val="0"/>
        <w:autoSpaceDN w:val="0"/>
        <w:adjustRightInd w:val="0"/>
        <w:ind w:firstLine="420"/>
        <w:rPr>
          <w:rFonts w:ascii="Arial" w:hAnsi="Arial" w:cs="Times New Roman"/>
          <w:color w:val="000000" w:themeColor="text1"/>
        </w:rPr>
      </w:pPr>
      <w:r w:rsidRPr="008C1777">
        <w:rPr>
          <w:rFonts w:ascii="Arial" w:hAnsi="Arial" w:cs="Times New Roman"/>
        </w:rPr>
        <w:t xml:space="preserve">The lack of explicit guidelines for personalized surgical treatment planning for POP results in the fact that we have to depend heavily on professional urogynecologists and experienced physicians to take effective care of POP patients. Unfortunately, however, professional urogynecologists and experienced physicians are in great shortage in most </w:t>
      </w:r>
      <w:r w:rsidRPr="008C1777">
        <w:rPr>
          <w:rFonts w:ascii="Arial" w:hAnsi="Arial" w:cs="Times New Roman"/>
          <w:color w:val="000000" w:themeColor="text1"/>
        </w:rPr>
        <w:t>countries, even in the USA</w:t>
      </w:r>
      <w:r w:rsidRPr="008C1777">
        <w:rPr>
          <w:rFonts w:ascii="Arial" w:hAnsi="Arial" w:cs="Times New Roman"/>
          <w:noProof/>
          <w:color w:val="000000" w:themeColor="text1"/>
          <w:vertAlign w:val="superscript"/>
        </w:rPr>
        <w:t>40</w:t>
      </w:r>
      <w:r w:rsidRPr="008C1777">
        <w:rPr>
          <w:rFonts w:ascii="Arial" w:hAnsi="Arial" w:cs="Times New Roman" w:hint="eastAsia"/>
          <w:color w:val="000000" w:themeColor="text1"/>
        </w:rPr>
        <w:t>.</w:t>
      </w:r>
      <w:r w:rsidRPr="008C1777">
        <w:rPr>
          <w:rFonts w:ascii="Arial" w:hAnsi="Arial" w:cs="Times New Roman"/>
          <w:color w:val="000000" w:themeColor="text1"/>
        </w:rPr>
        <w:t xml:space="preserve"> Mo</w:t>
      </w:r>
      <w:r w:rsidRPr="008C1777">
        <w:rPr>
          <w:rFonts w:ascii="Arial" w:hAnsi="Arial" w:cs="Times New Roman"/>
        </w:rPr>
        <w:t xml:space="preserve">reover, with the aging of the global population, we would expect more and more POP patients in the future and a </w:t>
      </w:r>
      <w:r w:rsidRPr="008C1777">
        <w:rPr>
          <w:rFonts w:ascii="Arial" w:hAnsi="Arial" w:cs="Times New Roman" w:hint="eastAsia"/>
        </w:rPr>
        <w:t>larger</w:t>
      </w:r>
      <w:r w:rsidRPr="008C1777">
        <w:rPr>
          <w:rFonts w:ascii="Arial" w:hAnsi="Arial" w:cs="Times New Roman"/>
        </w:rPr>
        <w:t xml:space="preserve"> gap between increasing demand and a limited supply of medical resources. In this situation, developing intelligent </w:t>
      </w:r>
      <w:r w:rsidRPr="008C1777">
        <w:rPr>
          <w:rFonts w:ascii="Arial" w:hAnsi="Arial" w:cs="Times New Roman" w:hint="eastAsia"/>
        </w:rPr>
        <w:t>data-driven</w:t>
      </w:r>
      <w:r w:rsidRPr="008C1777">
        <w:rPr>
          <w:rFonts w:ascii="Arial" w:hAnsi="Arial" w:cs="Times New Roman"/>
        </w:rPr>
        <w:t xml:space="preserve"> approaches for personalized surgical treatment recommendations becomes an inviting solution to alleviate the d</w:t>
      </w:r>
      <w:r w:rsidRPr="008C1777">
        <w:rPr>
          <w:rFonts w:ascii="Arial" w:hAnsi="Arial" w:cs="Times New Roman" w:hint="eastAsia"/>
        </w:rPr>
        <w:t>i</w:t>
      </w:r>
      <w:r w:rsidRPr="008C1777">
        <w:rPr>
          <w:rFonts w:ascii="Arial" w:hAnsi="Arial" w:cs="Times New Roman"/>
        </w:rPr>
        <w:t>l</w:t>
      </w:r>
      <w:r w:rsidRPr="008C1777">
        <w:rPr>
          <w:rFonts w:ascii="Arial" w:hAnsi="Arial" w:cs="Times New Roman" w:hint="eastAsia"/>
        </w:rPr>
        <w:t>em</w:t>
      </w:r>
      <w:r w:rsidRPr="008C1777">
        <w:rPr>
          <w:rFonts w:ascii="Arial" w:hAnsi="Arial" w:cs="Times New Roman"/>
        </w:rPr>
        <w:t>ma.</w:t>
      </w:r>
      <w:r w:rsidRPr="008C1777">
        <w:rPr>
          <w:rFonts w:ascii="Arial" w:hAnsi="Arial" w:cs="Times New Roman"/>
          <w:color w:val="000000" w:themeColor="text1"/>
        </w:rPr>
        <w:t xml:space="preserve"> </w:t>
      </w:r>
    </w:p>
    <w:p w14:paraId="6E1F2119" w14:textId="77777777" w:rsidR="006809BE" w:rsidRPr="008C1777" w:rsidRDefault="006809BE" w:rsidP="006809BE">
      <w:pPr>
        <w:widowControl/>
        <w:jc w:val="left"/>
        <w:rPr>
          <w:rFonts w:ascii="Arial" w:eastAsiaTheme="majorEastAsia" w:hAnsi="Arial" w:cs="Times New Roman"/>
          <w:b/>
          <w:bCs/>
          <w:sz w:val="28"/>
          <w:szCs w:val="28"/>
        </w:rPr>
      </w:pPr>
      <w:r w:rsidRPr="008C1777">
        <w:rPr>
          <w:rFonts w:ascii="Arial" w:eastAsiaTheme="majorEastAsia" w:hAnsi="Arial" w:cs="Times New Roman"/>
          <w:b/>
          <w:bCs/>
          <w:sz w:val="28"/>
          <w:szCs w:val="28"/>
        </w:rPr>
        <w:br w:type="page"/>
      </w:r>
    </w:p>
    <w:p w14:paraId="3B45A103" w14:textId="77777777" w:rsidR="006809BE" w:rsidRPr="008C1777" w:rsidRDefault="006809BE" w:rsidP="006809BE">
      <w:pPr>
        <w:keepNext/>
        <w:keepLines/>
        <w:spacing w:before="260" w:after="260" w:line="416" w:lineRule="auto"/>
        <w:outlineLvl w:val="1"/>
        <w:rPr>
          <w:rFonts w:ascii="Arial" w:eastAsiaTheme="majorEastAsia" w:hAnsi="Arial" w:cs="Times New Roman"/>
          <w:b/>
          <w:bCs/>
          <w:sz w:val="28"/>
          <w:szCs w:val="28"/>
        </w:rPr>
      </w:pPr>
      <w:r w:rsidRPr="008C1777">
        <w:rPr>
          <w:rFonts w:ascii="Arial" w:eastAsiaTheme="majorEastAsia" w:hAnsi="Arial" w:cs="Times New Roman"/>
          <w:b/>
          <w:bCs/>
          <w:sz w:val="28"/>
          <w:szCs w:val="28"/>
        </w:rPr>
        <w:lastRenderedPageBreak/>
        <w:t>B. More details about the POP datasets</w:t>
      </w:r>
    </w:p>
    <w:p w14:paraId="793EBD56" w14:textId="77777777" w:rsidR="006809BE" w:rsidRPr="008C1777" w:rsidRDefault="006809BE" w:rsidP="006809BE">
      <w:pPr>
        <w:autoSpaceDE w:val="0"/>
        <w:autoSpaceDN w:val="0"/>
        <w:adjustRightInd w:val="0"/>
        <w:ind w:firstLine="420"/>
        <w:rPr>
          <w:rFonts w:ascii="Arial" w:hAnsi="Arial" w:cs="Times New Roman"/>
          <w:color w:val="000000" w:themeColor="text1"/>
        </w:rPr>
      </w:pPr>
      <w:r w:rsidRPr="008C1777">
        <w:rPr>
          <w:rFonts w:ascii="Arial" w:hAnsi="Arial" w:cs="Times New Roman"/>
          <w:color w:val="000000" w:themeColor="text1"/>
        </w:rPr>
        <w:t xml:space="preserve">Table </w:t>
      </w:r>
      <w:r w:rsidRPr="008C1777">
        <w:rPr>
          <w:rFonts w:ascii="Arial" w:hAnsi="Arial" w:cs="Times New Roman" w:hint="eastAsia"/>
          <w:color w:val="000000" w:themeColor="text1"/>
        </w:rPr>
        <w:t>S</w:t>
      </w:r>
      <w:r w:rsidRPr="008C1777">
        <w:rPr>
          <w:rFonts w:ascii="Arial" w:hAnsi="Arial" w:cs="Times New Roman"/>
          <w:color w:val="000000" w:themeColor="text1"/>
        </w:rPr>
        <w:t xml:space="preserve">3 </w:t>
      </w:r>
      <w:r w:rsidRPr="008C1777">
        <w:rPr>
          <w:rFonts w:ascii="Arial" w:hAnsi="Arial" w:cs="Times New Roman" w:hint="eastAsia"/>
          <w:color w:val="000000" w:themeColor="text1"/>
        </w:rPr>
        <w:t>lists</w:t>
      </w:r>
      <w:r w:rsidRPr="008C1777">
        <w:rPr>
          <w:rFonts w:ascii="Arial" w:hAnsi="Arial" w:cs="Times New Roman"/>
          <w:color w:val="000000" w:themeColor="text1"/>
        </w:rPr>
        <w:t xml:space="preserve"> the hospital-specific key characteristics of patient</w:t>
      </w:r>
      <w:r w:rsidRPr="008C1777">
        <w:rPr>
          <w:rFonts w:ascii="Arial" w:hAnsi="Arial" w:cs="Times New Roman" w:hint="eastAsia"/>
          <w:color w:val="000000" w:themeColor="text1"/>
        </w:rPr>
        <w:t xml:space="preserve">s </w:t>
      </w:r>
      <w:r w:rsidRPr="008C1777">
        <w:rPr>
          <w:rFonts w:ascii="Arial" w:hAnsi="Arial" w:cs="Times New Roman"/>
          <w:color w:val="000000" w:themeColor="text1"/>
        </w:rPr>
        <w:t xml:space="preserve">and the empirical distribution of surgeries in each of the involved datasets including </w:t>
      </w:r>
      <m:oMath>
        <m:sSub>
          <m:sSubPr>
            <m:ctrlPr>
              <w:rPr>
                <w:rFonts w:ascii="Cambria Math" w:hAnsi="Cambria Math" w:cs="Times New Roman"/>
                <w:i/>
                <w:color w:val="000000" w:themeColor="text1"/>
                <w:sz w:val="18"/>
                <w:szCs w:val="18"/>
              </w:rPr>
            </m:ctrlPr>
          </m:sSubPr>
          <m:e>
            <m:r>
              <m:rPr>
                <m:scr m:val="script"/>
                <m:sty m:val="bi"/>
              </m:rPr>
              <w:rPr>
                <w:rFonts w:ascii="Cambria Math" w:hAnsi="Cambria Math" w:cs="Times New Roman"/>
                <w:color w:val="000000" w:themeColor="text1"/>
                <w:sz w:val="18"/>
                <w:szCs w:val="18"/>
              </w:rPr>
              <m:t>D</m:t>
            </m:r>
          </m:e>
          <m:sub>
            <m:r>
              <w:rPr>
                <w:rFonts w:ascii="Cambria Math" w:hAnsi="Cambria Math" w:cs="Times New Roman"/>
                <w:color w:val="000000" w:themeColor="text1"/>
                <w:sz w:val="18"/>
                <w:szCs w:val="18"/>
              </w:rPr>
              <m:t>s,t</m:t>
            </m:r>
          </m:sub>
        </m:sSub>
      </m:oMath>
      <w:r w:rsidRPr="008C1777">
        <w:rPr>
          <w:rFonts w:ascii="Arial" w:hAnsi="Arial" w:cs="Times New Roman"/>
          <w:color w:val="000000" w:themeColor="text1"/>
        </w:rPr>
        <w:t xml:space="preserve">, </w:t>
      </w:r>
      <m:oMath>
        <m:sSub>
          <m:sSubPr>
            <m:ctrlPr>
              <w:rPr>
                <w:rFonts w:ascii="Cambria Math" w:hAnsi="Cambria Math" w:cs="Times New Roman"/>
                <w:i/>
                <w:color w:val="000000" w:themeColor="text1"/>
                <w:sz w:val="18"/>
                <w:szCs w:val="18"/>
              </w:rPr>
            </m:ctrlPr>
          </m:sSubPr>
          <m:e>
            <m:r>
              <m:rPr>
                <m:scr m:val="script"/>
                <m:sty m:val="bi"/>
              </m:rPr>
              <w:rPr>
                <w:rFonts w:ascii="Cambria Math" w:hAnsi="Cambria Math" w:cs="Times New Roman"/>
                <w:color w:val="000000" w:themeColor="text1"/>
                <w:sz w:val="18"/>
                <w:szCs w:val="18"/>
              </w:rPr>
              <m:t>D</m:t>
            </m:r>
          </m:e>
          <m:sub>
            <m:r>
              <m:rPr>
                <m:sty m:val="bi"/>
              </m:rPr>
              <w:rPr>
                <w:rFonts w:ascii="Cambria Math" w:hAnsi="Cambria Math" w:cs="Times New Roman"/>
                <w:color w:val="000000" w:themeColor="text1"/>
                <w:sz w:val="18"/>
                <w:szCs w:val="18"/>
              </w:rPr>
              <m:t>s,v</m:t>
            </m:r>
          </m:sub>
        </m:sSub>
      </m:oMath>
      <w:r w:rsidRPr="008C1777">
        <w:rPr>
          <w:rFonts w:ascii="Arial" w:hAnsi="Arial" w:cs="Times New Roman"/>
          <w:color w:val="000000" w:themeColor="text1"/>
          <w:sz w:val="18"/>
          <w:szCs w:val="18"/>
        </w:rPr>
        <w:t xml:space="preserve">, </w:t>
      </w:r>
      <m:oMath>
        <m:sSub>
          <m:sSubPr>
            <m:ctrlPr>
              <w:rPr>
                <w:rFonts w:ascii="Cambria Math" w:hAnsi="Cambria Math" w:cs="Times New Roman"/>
                <w:i/>
                <w:color w:val="000000" w:themeColor="text1"/>
                <w:sz w:val="18"/>
                <w:szCs w:val="18"/>
              </w:rPr>
            </m:ctrlPr>
          </m:sSubPr>
          <m:e>
            <m:r>
              <m:rPr>
                <m:scr m:val="script"/>
                <m:sty m:val="bi"/>
              </m:rPr>
              <w:rPr>
                <w:rFonts w:ascii="Cambria Math" w:hAnsi="Cambria Math" w:cs="Times New Roman"/>
                <w:color w:val="000000" w:themeColor="text1"/>
                <w:sz w:val="18"/>
                <w:szCs w:val="18"/>
              </w:rPr>
              <m:t>D</m:t>
            </m:r>
          </m:e>
          <m:sub>
            <m:r>
              <m:rPr>
                <m:sty m:val="bi"/>
              </m:rPr>
              <w:rPr>
                <w:rFonts w:ascii="Cambria Math" w:hAnsi="Cambria Math" w:cs="Times New Roman"/>
                <w:color w:val="000000" w:themeColor="text1"/>
                <w:sz w:val="18"/>
                <w:szCs w:val="18"/>
              </w:rPr>
              <m:t>m</m:t>
            </m:r>
          </m:sub>
        </m:sSub>
      </m:oMath>
      <w:r w:rsidRPr="008C1777">
        <w:rPr>
          <w:rFonts w:ascii="Arial" w:hAnsi="Arial" w:cs="Times New Roman"/>
          <w:color w:val="000000" w:themeColor="text1"/>
          <w:sz w:val="18"/>
          <w:szCs w:val="18"/>
        </w:rPr>
        <w:t xml:space="preserve"> and </w:t>
      </w:r>
      <m:oMath>
        <m:sSub>
          <m:sSubPr>
            <m:ctrlPr>
              <w:rPr>
                <w:rFonts w:ascii="Cambria Math" w:hAnsi="Cambria Math" w:cs="Times New Roman"/>
                <w:i/>
                <w:color w:val="000000" w:themeColor="text1"/>
                <w:sz w:val="18"/>
                <w:szCs w:val="18"/>
              </w:rPr>
            </m:ctrlPr>
          </m:sSubPr>
          <m:e>
            <m:r>
              <m:rPr>
                <m:scr m:val="script"/>
                <m:sty m:val="bi"/>
              </m:rPr>
              <w:rPr>
                <w:rFonts w:ascii="Cambria Math" w:hAnsi="Cambria Math" w:cs="Times New Roman"/>
                <w:color w:val="000000" w:themeColor="text1"/>
                <w:sz w:val="18"/>
                <w:szCs w:val="18"/>
              </w:rPr>
              <m:t>D</m:t>
            </m:r>
          </m:e>
          <m:sub>
            <m:r>
              <w:rPr>
                <w:rFonts w:ascii="Cambria Math" w:hAnsi="Cambria Math" w:cs="Times New Roman"/>
                <w:color w:val="000000" w:themeColor="text1"/>
                <w:sz w:val="18"/>
                <w:szCs w:val="18"/>
              </w:rPr>
              <m:t>m</m:t>
            </m:r>
            <m:r>
              <m:rPr>
                <m:sty m:val="bi"/>
              </m:rPr>
              <w:rPr>
                <w:rFonts w:ascii="Cambria Math" w:hAnsi="Cambria Math" w:cs="Times New Roman"/>
                <w:color w:val="000000" w:themeColor="text1"/>
                <w:sz w:val="18"/>
                <w:szCs w:val="18"/>
              </w:rPr>
              <m:t>,v</m:t>
            </m:r>
          </m:sub>
        </m:sSub>
      </m:oMath>
      <w:r w:rsidRPr="008C1777">
        <w:rPr>
          <w:rFonts w:ascii="Arial" w:hAnsi="Arial" w:cs="Times New Roman"/>
          <w:color w:val="000000" w:themeColor="text1"/>
          <w:sz w:val="18"/>
          <w:szCs w:val="18"/>
        </w:rPr>
        <w:t xml:space="preserve">. </w:t>
      </w:r>
      <w:r w:rsidRPr="008C1777">
        <w:rPr>
          <w:rFonts w:ascii="Arial" w:hAnsi="Arial" w:cs="Times New Roman"/>
          <w:color w:val="000000" w:themeColor="text1"/>
          <w:szCs w:val="21"/>
        </w:rPr>
        <w:t>From the table,</w:t>
      </w:r>
      <w:r w:rsidRPr="008C1777">
        <w:rPr>
          <w:rFonts w:ascii="Arial" w:hAnsi="Arial" w:cs="Times New Roman"/>
          <w:color w:val="000000" w:themeColor="text1"/>
        </w:rPr>
        <w:t xml:space="preserve"> we can see the following facts. First, the key characteristics of patient</w:t>
      </w:r>
      <w:r w:rsidRPr="008C1777">
        <w:rPr>
          <w:rFonts w:ascii="Arial" w:hAnsi="Arial" w:cs="Times New Roman" w:hint="eastAsia"/>
          <w:color w:val="000000" w:themeColor="text1"/>
        </w:rPr>
        <w:t>s</w:t>
      </w:r>
      <w:r w:rsidRPr="008C1777">
        <w:rPr>
          <w:rFonts w:ascii="Arial" w:hAnsi="Arial" w:cs="Times New Roman"/>
          <w:color w:val="000000" w:themeColor="text1"/>
        </w:rPr>
        <w:t xml:space="preserve"> are similar across hospitals,</w:t>
      </w:r>
      <w:r w:rsidRPr="008C1777">
        <w:rPr>
          <w:rFonts w:ascii="Arial" w:hAnsi="Arial" w:cs="Times New Roman" w:hint="eastAsia"/>
          <w:color w:val="000000" w:themeColor="text1"/>
        </w:rPr>
        <w:t xml:space="preserve"> </w:t>
      </w:r>
      <w:r w:rsidRPr="008C1777">
        <w:rPr>
          <w:rFonts w:ascii="Arial" w:hAnsi="Arial" w:cs="Times New Roman"/>
          <w:color w:val="000000" w:themeColor="text1"/>
        </w:rPr>
        <w:t xml:space="preserve">indicating different medical centers cover homogeneous patient populations. Second, the empirical distribution of surgeries </w:t>
      </w:r>
      <w:r w:rsidRPr="008C1777">
        <w:rPr>
          <w:rFonts w:ascii="Arial" w:hAnsi="Arial" w:cs="Times New Roman" w:hint="eastAsia"/>
          <w:color w:val="000000" w:themeColor="text1"/>
        </w:rPr>
        <w:t>vari</w:t>
      </w:r>
      <w:r w:rsidRPr="008C1777">
        <w:rPr>
          <w:rFonts w:ascii="Arial" w:hAnsi="Arial" w:cs="Times New Roman"/>
          <w:color w:val="000000" w:themeColor="text1"/>
        </w:rPr>
        <w:t>es significantly across hospitals,</w:t>
      </w:r>
      <w:r w:rsidRPr="008C1777">
        <w:rPr>
          <w:rFonts w:ascii="Arial" w:hAnsi="Arial" w:cs="Times New Roman" w:hint="eastAsia"/>
          <w:color w:val="000000" w:themeColor="text1"/>
        </w:rPr>
        <w:t xml:space="preserve"> </w:t>
      </w:r>
      <w:r w:rsidRPr="008C1777">
        <w:rPr>
          <w:rFonts w:ascii="Arial" w:hAnsi="Arial" w:cs="Times New Roman"/>
          <w:color w:val="000000" w:themeColor="text1"/>
        </w:rPr>
        <w:t xml:space="preserve">suggesting that different medical centers prefer different surgeries. And thus, third, different medical centers follow heterogeneous principles in surgery selection. </w:t>
      </w:r>
    </w:p>
    <w:p w14:paraId="76F296DB" w14:textId="77777777" w:rsidR="006809BE" w:rsidRPr="008C1777" w:rsidRDefault="006809BE" w:rsidP="006809BE">
      <w:pPr>
        <w:autoSpaceDE w:val="0"/>
        <w:autoSpaceDN w:val="0"/>
        <w:adjustRightInd w:val="0"/>
        <w:ind w:rightChars="-27" w:right="-57"/>
        <w:rPr>
          <w:rFonts w:ascii="Arial" w:hAnsi="Arial" w:cs="Times New Roman"/>
          <w:color w:val="000000" w:themeColor="text1"/>
        </w:rPr>
      </w:pPr>
    </w:p>
    <w:p w14:paraId="53925142" w14:textId="77777777" w:rsidR="006809BE" w:rsidRPr="008C1777" w:rsidRDefault="006809BE" w:rsidP="006809BE">
      <w:pPr>
        <w:autoSpaceDE w:val="0"/>
        <w:autoSpaceDN w:val="0"/>
        <w:adjustRightInd w:val="0"/>
        <w:ind w:rightChars="-27" w:right="-57"/>
        <w:rPr>
          <w:rFonts w:ascii="Arial" w:hAnsi="Arial" w:cs="Times New Roman"/>
          <w:color w:val="000000" w:themeColor="text1"/>
        </w:rPr>
        <w:sectPr w:rsidR="006809BE" w:rsidRPr="008C1777" w:rsidSect="00F05EE8">
          <w:footerReference w:type="even" r:id="rId6"/>
          <w:footerReference w:type="default" r:id="rId7"/>
          <w:pgSz w:w="11906" w:h="16838"/>
          <w:pgMar w:top="1440" w:right="1800" w:bottom="1440" w:left="1800" w:header="851" w:footer="992" w:gutter="0"/>
          <w:lnNumType w:countBy="1" w:restart="continuous"/>
          <w:cols w:space="425"/>
          <w:docGrid w:type="lines" w:linePitch="312"/>
        </w:sectPr>
      </w:pPr>
    </w:p>
    <w:p w14:paraId="2F443B00" w14:textId="77777777" w:rsidR="006809BE" w:rsidRPr="008C1777" w:rsidRDefault="006809BE" w:rsidP="006809BE">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b/>
          <w:bCs/>
          <w:color w:val="000000" w:themeColor="text1"/>
          <w:sz w:val="18"/>
          <w:szCs w:val="20"/>
        </w:rPr>
        <w:lastRenderedPageBreak/>
        <w:t xml:space="preserve">Table S3. </w:t>
      </w:r>
      <w:r w:rsidRPr="008C1777">
        <w:rPr>
          <w:rFonts w:ascii="Arial" w:hAnsi="Arial" w:cs="Times New Roman"/>
          <w:color w:val="000000" w:themeColor="text1"/>
          <w:sz w:val="18"/>
          <w:szCs w:val="20"/>
        </w:rPr>
        <w:t xml:space="preserve">Primary information of the involved datasets </w:t>
      </w:r>
      <w:r w:rsidRPr="008C1777">
        <w:rPr>
          <w:rFonts w:ascii="Arial" w:hAnsi="Arial" w:cs="Times New Roman" w:hint="eastAsia"/>
          <w:color w:val="000000" w:themeColor="text1"/>
          <w:sz w:val="18"/>
          <w:szCs w:val="20"/>
        </w:rPr>
        <w:t>o</w:t>
      </w:r>
      <w:r w:rsidRPr="008C1777">
        <w:rPr>
          <w:rFonts w:ascii="Arial" w:hAnsi="Arial" w:cs="Times New Roman"/>
          <w:color w:val="000000" w:themeColor="text1"/>
          <w:sz w:val="18"/>
          <w:szCs w:val="20"/>
        </w:rPr>
        <w:t>f POP patients.</w:t>
      </w:r>
    </w:p>
    <w:tbl>
      <w:tblPr>
        <w:tblStyle w:val="TableGrid"/>
        <w:tblW w:w="14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997"/>
        <w:gridCol w:w="882"/>
        <w:gridCol w:w="252"/>
        <w:gridCol w:w="874"/>
        <w:gridCol w:w="874"/>
        <w:gridCol w:w="874"/>
        <w:gridCol w:w="874"/>
        <w:gridCol w:w="874"/>
        <w:gridCol w:w="875"/>
        <w:gridCol w:w="284"/>
        <w:gridCol w:w="1063"/>
        <w:gridCol w:w="1063"/>
        <w:gridCol w:w="283"/>
        <w:gridCol w:w="945"/>
        <w:gridCol w:w="771"/>
        <w:gridCol w:w="127"/>
        <w:gridCol w:w="992"/>
      </w:tblGrid>
      <w:tr w:rsidR="006809BE" w:rsidRPr="008C1777" w14:paraId="56F88BEC" w14:textId="77777777" w:rsidTr="00187EB1">
        <w:tc>
          <w:tcPr>
            <w:tcW w:w="1271" w:type="dxa"/>
            <w:vMerge w:val="restart"/>
            <w:tcBorders>
              <w:top w:val="single" w:sz="4" w:space="0" w:color="7F7F7F" w:themeColor="text1" w:themeTint="80"/>
            </w:tcBorders>
            <w:vAlign w:val="center"/>
          </w:tcPr>
          <w:p w14:paraId="679849A9"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b/>
                <w:bCs/>
                <w:color w:val="000000" w:themeColor="text1"/>
                <w:sz w:val="18"/>
                <w:szCs w:val="18"/>
              </w:rPr>
              <w:t>Dataset</w:t>
            </w:r>
          </w:p>
        </w:tc>
        <w:tc>
          <w:tcPr>
            <w:tcW w:w="997" w:type="dxa"/>
            <w:vMerge w:val="restart"/>
            <w:tcBorders>
              <w:top w:val="single" w:sz="4" w:space="0" w:color="7F7F7F" w:themeColor="text1" w:themeTint="80"/>
            </w:tcBorders>
            <w:vAlign w:val="center"/>
          </w:tcPr>
          <w:p w14:paraId="584ED05B"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b/>
                <w:bCs/>
                <w:color w:val="000000" w:themeColor="text1"/>
                <w:sz w:val="18"/>
                <w:szCs w:val="18"/>
              </w:rPr>
              <w:t>Hospital</w:t>
            </w:r>
          </w:p>
        </w:tc>
        <w:tc>
          <w:tcPr>
            <w:tcW w:w="882" w:type="dxa"/>
            <w:vMerge w:val="restart"/>
            <w:tcBorders>
              <w:top w:val="single" w:sz="4" w:space="0" w:color="7F7F7F" w:themeColor="text1" w:themeTint="80"/>
            </w:tcBorders>
            <w:vAlign w:val="center"/>
          </w:tcPr>
          <w:p w14:paraId="629C057A"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b/>
                <w:bCs/>
                <w:color w:val="000000" w:themeColor="text1"/>
                <w:sz w:val="18"/>
                <w:szCs w:val="20"/>
              </w:rPr>
              <w:t>Sample</w:t>
            </w:r>
            <w:r w:rsidRPr="008C1777">
              <w:rPr>
                <w:rFonts w:ascii="Arial" w:hAnsi="Arial" w:cs="Times New Roman"/>
                <w:b/>
                <w:bCs/>
                <w:color w:val="000000" w:themeColor="text1"/>
                <w:sz w:val="18"/>
                <w:szCs w:val="18"/>
              </w:rPr>
              <w:t xml:space="preserve"> size</w:t>
            </w:r>
          </w:p>
        </w:tc>
        <w:tc>
          <w:tcPr>
            <w:tcW w:w="252" w:type="dxa"/>
            <w:tcBorders>
              <w:top w:val="single" w:sz="4" w:space="0" w:color="7F7F7F" w:themeColor="text1" w:themeTint="80"/>
            </w:tcBorders>
          </w:tcPr>
          <w:p w14:paraId="168B1208"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5245" w:type="dxa"/>
            <w:gridSpan w:val="6"/>
            <w:tcBorders>
              <w:top w:val="single" w:sz="4" w:space="0" w:color="7F7F7F" w:themeColor="text1" w:themeTint="80"/>
              <w:bottom w:val="single" w:sz="4" w:space="0" w:color="7F7F7F" w:themeColor="text1" w:themeTint="80"/>
            </w:tcBorders>
          </w:tcPr>
          <w:p w14:paraId="703F8848" w14:textId="77777777" w:rsidR="006809BE" w:rsidRPr="008C1777" w:rsidRDefault="006809BE" w:rsidP="00187EB1">
            <w:pPr>
              <w:autoSpaceDE w:val="0"/>
              <w:autoSpaceDN w:val="0"/>
              <w:adjustRightInd w:val="0"/>
              <w:jc w:val="center"/>
              <w:rPr>
                <w:rFonts w:ascii="Arial" w:hAnsi="Arial" w:cs="Times New Roman"/>
                <w:b/>
                <w:bCs/>
                <w:color w:val="000000" w:themeColor="text1"/>
                <w:sz w:val="18"/>
                <w:szCs w:val="20"/>
              </w:rPr>
            </w:pPr>
            <w:r w:rsidRPr="008C1777">
              <w:rPr>
                <w:rFonts w:ascii="Arial" w:hAnsi="Arial" w:cs="Times New Roman"/>
                <w:b/>
                <w:bCs/>
                <w:color w:val="000000" w:themeColor="text1"/>
                <w:sz w:val="18"/>
                <w:szCs w:val="20"/>
              </w:rPr>
              <w:t>Sample distribution over surgical procedures</w:t>
            </w:r>
          </w:p>
          <w:p w14:paraId="505C2805" w14:textId="77777777" w:rsidR="006809BE" w:rsidRPr="008C1777" w:rsidRDefault="006809BE" w:rsidP="00187EB1">
            <w:pPr>
              <w:autoSpaceDE w:val="0"/>
              <w:autoSpaceDN w:val="0"/>
              <w:adjustRightInd w:val="0"/>
              <w:jc w:val="center"/>
              <w:rPr>
                <w:rFonts w:ascii="Arial" w:hAnsi="Arial" w:cs="Times New Roman"/>
                <w:b/>
                <w:bCs/>
                <w:color w:val="000000" w:themeColor="text1"/>
                <w:sz w:val="18"/>
                <w:szCs w:val="20"/>
              </w:rPr>
            </w:pPr>
            <w:r w:rsidRPr="008C1777">
              <w:rPr>
                <w:rFonts w:ascii="Arial" w:hAnsi="Arial" w:cs="Times New Roman" w:hint="eastAsia"/>
                <w:color w:val="000000" w:themeColor="text1"/>
                <w:sz w:val="18"/>
                <w:szCs w:val="18"/>
              </w:rPr>
              <w:t>(</w:t>
            </w:r>
            <w:r w:rsidRPr="008C1777">
              <w:rPr>
                <w:rFonts w:ascii="Arial" w:hAnsi="Arial" w:cs="Times New Roman"/>
                <w:color w:val="000000" w:themeColor="text1"/>
                <w:sz w:val="18"/>
                <w:szCs w:val="18"/>
              </w:rPr>
              <w:t>number (percent))</w:t>
            </w:r>
          </w:p>
        </w:tc>
        <w:tc>
          <w:tcPr>
            <w:tcW w:w="284" w:type="dxa"/>
            <w:tcBorders>
              <w:top w:val="single" w:sz="4" w:space="0" w:color="7F7F7F" w:themeColor="text1" w:themeTint="80"/>
            </w:tcBorders>
          </w:tcPr>
          <w:p w14:paraId="7A781703"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2126" w:type="dxa"/>
            <w:gridSpan w:val="2"/>
            <w:tcBorders>
              <w:top w:val="single" w:sz="4" w:space="0" w:color="7F7F7F" w:themeColor="text1" w:themeTint="80"/>
              <w:bottom w:val="single" w:sz="4" w:space="0" w:color="7F7F7F" w:themeColor="text1" w:themeTint="80"/>
            </w:tcBorders>
          </w:tcPr>
          <w:p w14:paraId="6C17CE11" w14:textId="77777777" w:rsidR="006809BE" w:rsidRPr="008C1777" w:rsidRDefault="006809BE" w:rsidP="00187EB1">
            <w:pPr>
              <w:autoSpaceDE w:val="0"/>
              <w:autoSpaceDN w:val="0"/>
              <w:adjustRightInd w:val="0"/>
              <w:jc w:val="center"/>
              <w:rPr>
                <w:rFonts w:ascii="Arial" w:hAnsi="Arial" w:cs="Times New Roman"/>
                <w:b/>
                <w:bCs/>
                <w:color w:val="000000" w:themeColor="text1"/>
                <w:sz w:val="18"/>
                <w:szCs w:val="18"/>
              </w:rPr>
            </w:pPr>
            <w:r w:rsidRPr="008C1777">
              <w:rPr>
                <w:rFonts w:ascii="Arial" w:hAnsi="Arial" w:cs="Times New Roman"/>
                <w:b/>
                <w:bCs/>
                <w:color w:val="000000" w:themeColor="text1"/>
                <w:sz w:val="18"/>
                <w:szCs w:val="18"/>
              </w:rPr>
              <w:t xml:space="preserve">Background </w:t>
            </w:r>
            <w:r w:rsidRPr="008C1777">
              <w:rPr>
                <w:rFonts w:ascii="Arial" w:hAnsi="Arial" w:cs="Times New Roman" w:hint="eastAsia"/>
                <w:b/>
                <w:bCs/>
                <w:color w:val="000000" w:themeColor="text1"/>
                <w:sz w:val="18"/>
                <w:szCs w:val="18"/>
              </w:rPr>
              <w:t>co</w:t>
            </w:r>
            <w:r w:rsidRPr="008C1777">
              <w:rPr>
                <w:rFonts w:ascii="Arial" w:hAnsi="Arial" w:cs="Times New Roman"/>
                <w:b/>
                <w:bCs/>
                <w:color w:val="000000" w:themeColor="text1"/>
                <w:sz w:val="18"/>
                <w:szCs w:val="18"/>
              </w:rPr>
              <w:t>varia</w:t>
            </w:r>
            <w:r w:rsidRPr="008C1777">
              <w:rPr>
                <w:rFonts w:ascii="Arial" w:hAnsi="Arial" w:cs="Times New Roman" w:hint="eastAsia"/>
                <w:b/>
                <w:bCs/>
                <w:color w:val="000000" w:themeColor="text1"/>
                <w:sz w:val="18"/>
                <w:szCs w:val="18"/>
              </w:rPr>
              <w:t>tes</w:t>
            </w:r>
          </w:p>
          <w:p w14:paraId="6849454E"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hint="eastAsia"/>
                <w:color w:val="000000" w:themeColor="text1"/>
                <w:sz w:val="18"/>
                <w:szCs w:val="18"/>
              </w:rPr>
              <w:t>(</w:t>
            </w:r>
            <w:r w:rsidRPr="008C1777">
              <w:rPr>
                <w:rFonts w:ascii="Arial" w:hAnsi="Arial" w:cs="Times New Roman"/>
                <w:color w:val="000000" w:themeColor="text1"/>
                <w:sz w:val="18"/>
                <w:szCs w:val="18"/>
              </w:rPr>
              <w:t>mean± SD)</w:t>
            </w:r>
          </w:p>
        </w:tc>
        <w:tc>
          <w:tcPr>
            <w:tcW w:w="283" w:type="dxa"/>
            <w:tcBorders>
              <w:top w:val="single" w:sz="4" w:space="0" w:color="7F7F7F" w:themeColor="text1" w:themeTint="80"/>
            </w:tcBorders>
          </w:tcPr>
          <w:p w14:paraId="5DF4A729"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2835" w:type="dxa"/>
            <w:gridSpan w:val="4"/>
            <w:tcBorders>
              <w:top w:val="single" w:sz="4" w:space="0" w:color="7F7F7F" w:themeColor="text1" w:themeTint="80"/>
              <w:bottom w:val="single" w:sz="4" w:space="0" w:color="7F7F7F" w:themeColor="text1" w:themeTint="80"/>
            </w:tcBorders>
          </w:tcPr>
          <w:p w14:paraId="0DBDCA55" w14:textId="77777777" w:rsidR="006809BE" w:rsidRPr="008C1777" w:rsidRDefault="006809BE" w:rsidP="00187EB1">
            <w:pPr>
              <w:autoSpaceDE w:val="0"/>
              <w:autoSpaceDN w:val="0"/>
              <w:adjustRightInd w:val="0"/>
              <w:jc w:val="center"/>
              <w:rPr>
                <w:rFonts w:ascii="Arial" w:hAnsi="Arial" w:cs="Times New Roman"/>
                <w:b/>
                <w:bCs/>
                <w:color w:val="000000" w:themeColor="text1"/>
                <w:sz w:val="18"/>
                <w:szCs w:val="18"/>
              </w:rPr>
            </w:pPr>
            <w:r w:rsidRPr="008C1777">
              <w:rPr>
                <w:rFonts w:ascii="Arial" w:hAnsi="Arial" w:cs="Times New Roman"/>
                <w:b/>
                <w:bCs/>
                <w:color w:val="000000" w:themeColor="text1"/>
                <w:sz w:val="18"/>
                <w:szCs w:val="18"/>
              </w:rPr>
              <w:t>POP-Q</w:t>
            </w:r>
          </w:p>
          <w:p w14:paraId="4507CAB6"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(median (P25, P75))</w:t>
            </w:r>
          </w:p>
        </w:tc>
      </w:tr>
      <w:tr w:rsidR="006809BE" w:rsidRPr="008C1777" w14:paraId="57D63E4D" w14:textId="77777777" w:rsidTr="00187EB1">
        <w:trPr>
          <w:trHeight w:val="319"/>
        </w:trPr>
        <w:tc>
          <w:tcPr>
            <w:tcW w:w="1271" w:type="dxa"/>
            <w:vMerge/>
            <w:tcBorders>
              <w:bottom w:val="single" w:sz="4" w:space="0" w:color="7F7F7F" w:themeColor="text1" w:themeTint="80"/>
            </w:tcBorders>
          </w:tcPr>
          <w:p w14:paraId="181CB47A" w14:textId="77777777" w:rsidR="006809BE" w:rsidRPr="008C1777" w:rsidRDefault="006809BE" w:rsidP="00187EB1">
            <w:pPr>
              <w:autoSpaceDE w:val="0"/>
              <w:autoSpaceDN w:val="0"/>
              <w:adjustRightInd w:val="0"/>
              <w:jc w:val="center"/>
              <w:rPr>
                <w:rFonts w:ascii="Arial" w:hAnsi="Arial" w:cs="Times New Roman"/>
                <w:b/>
                <w:bCs/>
                <w:color w:val="000000" w:themeColor="text1"/>
                <w:sz w:val="18"/>
                <w:szCs w:val="20"/>
              </w:rPr>
            </w:pPr>
          </w:p>
        </w:tc>
        <w:tc>
          <w:tcPr>
            <w:tcW w:w="997" w:type="dxa"/>
            <w:vMerge/>
            <w:tcBorders>
              <w:bottom w:val="single" w:sz="4" w:space="0" w:color="7F7F7F" w:themeColor="text1" w:themeTint="80"/>
            </w:tcBorders>
          </w:tcPr>
          <w:p w14:paraId="20447AB3"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882" w:type="dxa"/>
            <w:vMerge/>
            <w:tcBorders>
              <w:bottom w:val="single" w:sz="4" w:space="0" w:color="7F7F7F" w:themeColor="text1" w:themeTint="80"/>
            </w:tcBorders>
            <w:vAlign w:val="center"/>
          </w:tcPr>
          <w:p w14:paraId="7E23D85A"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252" w:type="dxa"/>
          </w:tcPr>
          <w:p w14:paraId="402FDECB"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874" w:type="dxa"/>
            <w:tcBorders>
              <w:top w:val="single" w:sz="4" w:space="0" w:color="7F7F7F" w:themeColor="text1" w:themeTint="80"/>
              <w:bottom w:val="single" w:sz="4" w:space="0" w:color="7F7F7F" w:themeColor="text1" w:themeTint="80"/>
            </w:tcBorders>
          </w:tcPr>
          <w:p w14:paraId="0782F362"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m:oMathPara>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s</m:t>
                    </m:r>
                    <m:ctrlPr>
                      <w:rPr>
                        <w:rFonts w:ascii="Cambria Math" w:hAnsi="Cambria Math" w:cs="Times New Roman" w:hint="eastAsia"/>
                        <w:i/>
                        <w:color w:val="000000" w:themeColor="text1"/>
                        <w:sz w:val="18"/>
                        <w:szCs w:val="18"/>
                      </w:rPr>
                    </m:ctrlPr>
                  </m:e>
                  <m:sub>
                    <m:r>
                      <w:rPr>
                        <w:rFonts w:ascii="Cambria Math" w:hAnsi="Cambria Math" w:cs="Times New Roman"/>
                        <w:color w:val="000000" w:themeColor="text1"/>
                        <w:sz w:val="18"/>
                        <w:szCs w:val="18"/>
                      </w:rPr>
                      <m:t>1</m:t>
                    </m:r>
                  </m:sub>
                </m:sSub>
              </m:oMath>
            </m:oMathPara>
          </w:p>
        </w:tc>
        <w:tc>
          <w:tcPr>
            <w:tcW w:w="874" w:type="dxa"/>
            <w:tcBorders>
              <w:top w:val="single" w:sz="4" w:space="0" w:color="7F7F7F" w:themeColor="text1" w:themeTint="80"/>
              <w:bottom w:val="single" w:sz="4" w:space="0" w:color="7F7F7F" w:themeColor="text1" w:themeTint="80"/>
            </w:tcBorders>
          </w:tcPr>
          <w:p w14:paraId="45BF9DB7"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m:oMathPara>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s</m:t>
                    </m:r>
                    <m:ctrlPr>
                      <w:rPr>
                        <w:rFonts w:ascii="Cambria Math" w:hAnsi="Cambria Math" w:cs="Times New Roman" w:hint="eastAsia"/>
                        <w:i/>
                        <w:color w:val="000000" w:themeColor="text1"/>
                        <w:sz w:val="18"/>
                        <w:szCs w:val="18"/>
                      </w:rPr>
                    </m:ctrlPr>
                  </m:e>
                  <m:sub>
                    <m:r>
                      <w:rPr>
                        <w:rFonts w:ascii="Cambria Math" w:hAnsi="Cambria Math" w:cs="Times New Roman"/>
                        <w:color w:val="000000" w:themeColor="text1"/>
                        <w:sz w:val="18"/>
                        <w:szCs w:val="18"/>
                      </w:rPr>
                      <m:t>2</m:t>
                    </m:r>
                  </m:sub>
                </m:sSub>
              </m:oMath>
            </m:oMathPara>
          </w:p>
        </w:tc>
        <w:tc>
          <w:tcPr>
            <w:tcW w:w="874" w:type="dxa"/>
            <w:tcBorders>
              <w:top w:val="single" w:sz="4" w:space="0" w:color="7F7F7F" w:themeColor="text1" w:themeTint="80"/>
              <w:bottom w:val="single" w:sz="4" w:space="0" w:color="7F7F7F" w:themeColor="text1" w:themeTint="80"/>
            </w:tcBorders>
          </w:tcPr>
          <w:p w14:paraId="63124846"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m:oMathPara>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s</m:t>
                    </m:r>
                    <m:ctrlPr>
                      <w:rPr>
                        <w:rFonts w:ascii="Cambria Math" w:hAnsi="Cambria Math" w:cs="Times New Roman" w:hint="eastAsia"/>
                        <w:i/>
                        <w:color w:val="000000" w:themeColor="text1"/>
                        <w:sz w:val="18"/>
                        <w:szCs w:val="18"/>
                      </w:rPr>
                    </m:ctrlPr>
                  </m:e>
                  <m:sub>
                    <m:r>
                      <w:rPr>
                        <w:rFonts w:ascii="Cambria Math" w:hAnsi="Cambria Math" w:cs="Times New Roman"/>
                        <w:color w:val="000000" w:themeColor="text1"/>
                        <w:sz w:val="18"/>
                        <w:szCs w:val="18"/>
                      </w:rPr>
                      <m:t>3</m:t>
                    </m:r>
                  </m:sub>
                </m:sSub>
              </m:oMath>
            </m:oMathPara>
          </w:p>
        </w:tc>
        <w:tc>
          <w:tcPr>
            <w:tcW w:w="874" w:type="dxa"/>
            <w:tcBorders>
              <w:top w:val="single" w:sz="4" w:space="0" w:color="7F7F7F" w:themeColor="text1" w:themeTint="80"/>
              <w:bottom w:val="single" w:sz="4" w:space="0" w:color="7F7F7F" w:themeColor="text1" w:themeTint="80"/>
            </w:tcBorders>
          </w:tcPr>
          <w:p w14:paraId="4F6B9A9E"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m:oMathPara>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s</m:t>
                    </m:r>
                    <m:ctrlPr>
                      <w:rPr>
                        <w:rFonts w:ascii="Cambria Math" w:hAnsi="Cambria Math" w:cs="Times New Roman" w:hint="eastAsia"/>
                        <w:i/>
                        <w:color w:val="000000" w:themeColor="text1"/>
                        <w:sz w:val="18"/>
                        <w:szCs w:val="18"/>
                      </w:rPr>
                    </m:ctrlPr>
                  </m:e>
                  <m:sub>
                    <m:r>
                      <w:rPr>
                        <w:rFonts w:ascii="Cambria Math" w:hAnsi="Cambria Math" w:cs="Times New Roman"/>
                        <w:color w:val="000000" w:themeColor="text1"/>
                        <w:sz w:val="18"/>
                        <w:szCs w:val="18"/>
                      </w:rPr>
                      <m:t>4</m:t>
                    </m:r>
                  </m:sub>
                </m:sSub>
              </m:oMath>
            </m:oMathPara>
          </w:p>
        </w:tc>
        <w:tc>
          <w:tcPr>
            <w:tcW w:w="874" w:type="dxa"/>
            <w:tcBorders>
              <w:top w:val="single" w:sz="4" w:space="0" w:color="7F7F7F" w:themeColor="text1" w:themeTint="80"/>
              <w:bottom w:val="single" w:sz="4" w:space="0" w:color="7F7F7F" w:themeColor="text1" w:themeTint="80"/>
            </w:tcBorders>
          </w:tcPr>
          <w:p w14:paraId="6E177C88"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m:oMathPara>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s</m:t>
                    </m:r>
                    <m:ctrlPr>
                      <w:rPr>
                        <w:rFonts w:ascii="Cambria Math" w:hAnsi="Cambria Math" w:cs="Times New Roman" w:hint="eastAsia"/>
                        <w:i/>
                        <w:color w:val="000000" w:themeColor="text1"/>
                        <w:sz w:val="18"/>
                        <w:szCs w:val="18"/>
                      </w:rPr>
                    </m:ctrlPr>
                  </m:e>
                  <m:sub>
                    <m:r>
                      <w:rPr>
                        <w:rFonts w:ascii="Cambria Math" w:hAnsi="Cambria Math" w:cs="Times New Roman"/>
                        <w:color w:val="000000" w:themeColor="text1"/>
                        <w:sz w:val="18"/>
                        <w:szCs w:val="18"/>
                      </w:rPr>
                      <m:t>5</m:t>
                    </m:r>
                  </m:sub>
                </m:sSub>
              </m:oMath>
            </m:oMathPara>
          </w:p>
        </w:tc>
        <w:tc>
          <w:tcPr>
            <w:tcW w:w="875" w:type="dxa"/>
            <w:tcBorders>
              <w:top w:val="single" w:sz="4" w:space="0" w:color="7F7F7F" w:themeColor="text1" w:themeTint="80"/>
              <w:bottom w:val="single" w:sz="4" w:space="0" w:color="7F7F7F" w:themeColor="text1" w:themeTint="80"/>
            </w:tcBorders>
          </w:tcPr>
          <w:p w14:paraId="16116525"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m:oMathPara>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s</m:t>
                    </m:r>
                    <m:ctrlPr>
                      <w:rPr>
                        <w:rFonts w:ascii="Cambria Math" w:hAnsi="Cambria Math" w:cs="Times New Roman" w:hint="eastAsia"/>
                        <w:i/>
                        <w:color w:val="000000" w:themeColor="text1"/>
                        <w:sz w:val="18"/>
                        <w:szCs w:val="18"/>
                      </w:rPr>
                    </m:ctrlPr>
                  </m:e>
                  <m:sub>
                    <m:r>
                      <w:rPr>
                        <w:rFonts w:ascii="Cambria Math" w:hAnsi="Cambria Math" w:cs="Times New Roman"/>
                        <w:color w:val="000000" w:themeColor="text1"/>
                        <w:sz w:val="18"/>
                        <w:szCs w:val="18"/>
                      </w:rPr>
                      <m:t>6</m:t>
                    </m:r>
                  </m:sub>
                </m:sSub>
              </m:oMath>
            </m:oMathPara>
          </w:p>
        </w:tc>
        <w:tc>
          <w:tcPr>
            <w:tcW w:w="284" w:type="dxa"/>
          </w:tcPr>
          <w:p w14:paraId="3461FA1C"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1063" w:type="dxa"/>
            <w:tcBorders>
              <w:top w:val="single" w:sz="4" w:space="0" w:color="7F7F7F" w:themeColor="text1" w:themeTint="80"/>
              <w:bottom w:val="single" w:sz="4" w:space="0" w:color="7F7F7F" w:themeColor="text1" w:themeTint="80"/>
            </w:tcBorders>
          </w:tcPr>
          <w:p w14:paraId="2DC4CA75"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b/>
                <w:bCs/>
                <w:color w:val="000000" w:themeColor="text1"/>
                <w:sz w:val="18"/>
                <w:szCs w:val="18"/>
              </w:rPr>
              <w:t>Age</w:t>
            </w:r>
          </w:p>
        </w:tc>
        <w:tc>
          <w:tcPr>
            <w:tcW w:w="1063" w:type="dxa"/>
            <w:tcBorders>
              <w:top w:val="single" w:sz="4" w:space="0" w:color="7F7F7F" w:themeColor="text1" w:themeTint="80"/>
              <w:bottom w:val="single" w:sz="4" w:space="0" w:color="7F7F7F" w:themeColor="text1" w:themeTint="80"/>
            </w:tcBorders>
          </w:tcPr>
          <w:p w14:paraId="7197AC83"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eastAsia="DengXian" w:hAnsi="Arial" w:cs="Times New Roman" w:hint="eastAsia"/>
                <w:b/>
                <w:bCs/>
                <w:color w:val="000000" w:themeColor="text1"/>
                <w:sz w:val="18"/>
                <w:szCs w:val="18"/>
              </w:rPr>
              <w:t>BMI</w:t>
            </w:r>
          </w:p>
        </w:tc>
        <w:tc>
          <w:tcPr>
            <w:tcW w:w="283" w:type="dxa"/>
          </w:tcPr>
          <w:p w14:paraId="62C21EC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945" w:type="dxa"/>
            <w:tcBorders>
              <w:top w:val="single" w:sz="4" w:space="0" w:color="7F7F7F" w:themeColor="text1" w:themeTint="80"/>
              <w:bottom w:val="single" w:sz="4" w:space="0" w:color="7F7F7F" w:themeColor="text1" w:themeTint="80"/>
            </w:tcBorders>
          </w:tcPr>
          <w:p w14:paraId="4C2324BC" w14:textId="77777777" w:rsidR="006809BE" w:rsidRPr="008C1777" w:rsidRDefault="006809BE" w:rsidP="00187EB1">
            <w:pPr>
              <w:autoSpaceDE w:val="0"/>
              <w:autoSpaceDN w:val="0"/>
              <w:adjustRightInd w:val="0"/>
              <w:jc w:val="center"/>
              <w:rPr>
                <w:rFonts w:ascii="Arial" w:eastAsia="DengXian" w:hAnsi="Arial" w:cs="Times New Roman"/>
                <w:b/>
                <w:bCs/>
                <w:color w:val="000000" w:themeColor="text1"/>
                <w:sz w:val="18"/>
                <w:szCs w:val="18"/>
              </w:rPr>
            </w:pPr>
            <w:r w:rsidRPr="008C1777">
              <w:rPr>
                <w:rFonts w:ascii="Arial" w:eastAsia="DengXian" w:hAnsi="Arial" w:cs="Times New Roman"/>
                <w:b/>
                <w:bCs/>
                <w:color w:val="000000" w:themeColor="text1"/>
                <w:sz w:val="18"/>
                <w:szCs w:val="18"/>
              </w:rPr>
              <w:t>Ba</w:t>
            </w:r>
          </w:p>
        </w:tc>
        <w:tc>
          <w:tcPr>
            <w:tcW w:w="771" w:type="dxa"/>
            <w:tcBorders>
              <w:top w:val="single" w:sz="4" w:space="0" w:color="7F7F7F" w:themeColor="text1" w:themeTint="80"/>
              <w:bottom w:val="single" w:sz="4" w:space="0" w:color="7F7F7F" w:themeColor="text1" w:themeTint="80"/>
            </w:tcBorders>
          </w:tcPr>
          <w:p w14:paraId="7B4530D6" w14:textId="77777777" w:rsidR="006809BE" w:rsidRPr="008C1777" w:rsidRDefault="006809BE" w:rsidP="00187EB1">
            <w:pPr>
              <w:autoSpaceDE w:val="0"/>
              <w:autoSpaceDN w:val="0"/>
              <w:adjustRightInd w:val="0"/>
              <w:jc w:val="center"/>
              <w:rPr>
                <w:rFonts w:ascii="Arial" w:hAnsi="Arial" w:cs="Times New Roman"/>
                <w:b/>
                <w:bCs/>
                <w:color w:val="000000" w:themeColor="text1"/>
                <w:sz w:val="18"/>
                <w:szCs w:val="20"/>
              </w:rPr>
            </w:pPr>
            <w:r w:rsidRPr="008C1777">
              <w:rPr>
                <w:rFonts w:ascii="Arial" w:eastAsia="DengXian" w:hAnsi="Arial" w:cs="Times New Roman"/>
                <w:b/>
                <w:bCs/>
                <w:color w:val="000000" w:themeColor="text1"/>
                <w:sz w:val="18"/>
                <w:szCs w:val="18"/>
              </w:rPr>
              <w:t>C</w:t>
            </w:r>
          </w:p>
        </w:tc>
        <w:tc>
          <w:tcPr>
            <w:tcW w:w="1119" w:type="dxa"/>
            <w:gridSpan w:val="2"/>
            <w:tcBorders>
              <w:top w:val="single" w:sz="4" w:space="0" w:color="7F7F7F" w:themeColor="text1" w:themeTint="80"/>
              <w:bottom w:val="single" w:sz="4" w:space="0" w:color="7F7F7F" w:themeColor="text1" w:themeTint="80"/>
            </w:tcBorders>
          </w:tcPr>
          <w:p w14:paraId="286F7B34" w14:textId="77777777" w:rsidR="006809BE" w:rsidRPr="008C1777" w:rsidRDefault="006809BE" w:rsidP="00187EB1">
            <w:pPr>
              <w:autoSpaceDE w:val="0"/>
              <w:autoSpaceDN w:val="0"/>
              <w:adjustRightInd w:val="0"/>
              <w:jc w:val="center"/>
              <w:rPr>
                <w:rFonts w:ascii="Arial" w:hAnsi="Arial" w:cs="Times New Roman"/>
                <w:b/>
                <w:bCs/>
                <w:color w:val="000000" w:themeColor="text1"/>
                <w:sz w:val="18"/>
                <w:szCs w:val="20"/>
              </w:rPr>
            </w:pPr>
            <w:r w:rsidRPr="008C1777">
              <w:rPr>
                <w:rFonts w:ascii="Arial" w:eastAsia="DengXian" w:hAnsi="Arial" w:cs="Times New Roman"/>
                <w:b/>
                <w:bCs/>
                <w:color w:val="000000" w:themeColor="text1"/>
                <w:sz w:val="18"/>
                <w:szCs w:val="18"/>
              </w:rPr>
              <w:t>Bp</w:t>
            </w:r>
          </w:p>
        </w:tc>
      </w:tr>
      <w:tr w:rsidR="006809BE" w:rsidRPr="008C1777" w14:paraId="13B019B9" w14:textId="77777777" w:rsidTr="00187EB1">
        <w:tc>
          <w:tcPr>
            <w:tcW w:w="1271" w:type="dxa"/>
            <w:tcBorders>
              <w:top w:val="single" w:sz="4" w:space="0" w:color="7F7F7F" w:themeColor="text1" w:themeTint="80"/>
              <w:bottom w:val="single" w:sz="4" w:space="0" w:color="7F7F7F" w:themeColor="text1" w:themeTint="80"/>
            </w:tcBorders>
            <w:vAlign w:val="center"/>
          </w:tcPr>
          <w:p w14:paraId="5120E398" w14:textId="77777777" w:rsidR="006809BE" w:rsidRPr="008C1777" w:rsidRDefault="006809BE" w:rsidP="00187EB1">
            <w:pPr>
              <w:autoSpaceDE w:val="0"/>
              <w:autoSpaceDN w:val="0"/>
              <w:adjustRightInd w:val="0"/>
              <w:jc w:val="center"/>
              <w:rPr>
                <w:rFonts w:ascii="Arial" w:hAnsi="Arial" w:cs="Times New Roman"/>
                <w:b/>
                <w:bCs/>
                <w:color w:val="000000" w:themeColor="text1"/>
                <w:sz w:val="18"/>
                <w:szCs w:val="18"/>
              </w:rPr>
            </w:pPr>
            <m:oMathPara>
              <m:oMath>
                <m:sSub>
                  <m:sSubPr>
                    <m:ctrlPr>
                      <w:rPr>
                        <w:rFonts w:ascii="Cambria Math" w:hAnsi="Cambria Math" w:cs="Times New Roman"/>
                        <w:i/>
                        <w:color w:val="000000" w:themeColor="text1"/>
                        <w:sz w:val="18"/>
                        <w:szCs w:val="18"/>
                      </w:rPr>
                    </m:ctrlPr>
                  </m:sSubPr>
                  <m:e>
                    <m:r>
                      <m:rPr>
                        <m:scr m:val="script"/>
                        <m:sty m:val="bi"/>
                      </m:rPr>
                      <w:rPr>
                        <w:rFonts w:ascii="Cambria Math" w:hAnsi="Cambria Math" w:cs="Times New Roman"/>
                        <w:color w:val="000000" w:themeColor="text1"/>
                        <w:sz w:val="18"/>
                        <w:szCs w:val="18"/>
                      </w:rPr>
                      <m:t>D</m:t>
                    </m:r>
                  </m:e>
                  <m:sub>
                    <m:r>
                      <w:rPr>
                        <w:rFonts w:ascii="Cambria Math" w:hAnsi="Cambria Math" w:cs="Times New Roman"/>
                        <w:color w:val="000000" w:themeColor="text1"/>
                        <w:sz w:val="18"/>
                        <w:szCs w:val="18"/>
                      </w:rPr>
                      <m:t>s,t</m:t>
                    </m:r>
                  </m:sub>
                </m:sSub>
              </m:oMath>
            </m:oMathPara>
          </w:p>
          <w:p w14:paraId="75C80CF7" w14:textId="77777777" w:rsidR="006809BE" w:rsidRPr="008C1777" w:rsidRDefault="006809BE" w:rsidP="00187EB1">
            <w:pPr>
              <w:autoSpaceDE w:val="0"/>
              <w:autoSpaceDN w:val="0"/>
              <w:adjustRightInd w:val="0"/>
              <w:jc w:val="center"/>
              <w:rPr>
                <w:rFonts w:ascii="Arial" w:hAnsi="Arial" w:cs="Times New Roman"/>
                <w:bCs/>
                <w:color w:val="000000" w:themeColor="text1"/>
                <w:sz w:val="18"/>
                <w:szCs w:val="20"/>
              </w:rPr>
            </w:pPr>
            <w:r w:rsidRPr="008C1777">
              <w:rPr>
                <w:rFonts w:ascii="Arial" w:hAnsi="Arial" w:cs="Times New Roman"/>
                <w:bCs/>
                <w:color w:val="000000" w:themeColor="text1"/>
                <w:sz w:val="15"/>
                <w:szCs w:val="15"/>
              </w:rPr>
              <w:t>2015/1-2020/12</w:t>
            </w:r>
          </w:p>
        </w:tc>
        <w:tc>
          <w:tcPr>
            <w:tcW w:w="997" w:type="dxa"/>
            <w:tcBorders>
              <w:top w:val="single" w:sz="4" w:space="0" w:color="7F7F7F" w:themeColor="text1" w:themeTint="80"/>
              <w:bottom w:val="single" w:sz="4" w:space="0" w:color="7F7F7F" w:themeColor="text1" w:themeTint="80"/>
            </w:tcBorders>
            <w:vAlign w:val="center"/>
          </w:tcPr>
          <w:p w14:paraId="16A65C4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m:oMathPara>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H</m:t>
                    </m:r>
                  </m:e>
                  <m:sub>
                    <m:r>
                      <w:rPr>
                        <w:rFonts w:ascii="Cambria Math" w:hAnsi="Cambria Math" w:cs="Times New Roman"/>
                        <w:color w:val="000000" w:themeColor="text1"/>
                        <w:sz w:val="18"/>
                        <w:szCs w:val="18"/>
                      </w:rPr>
                      <m:t>1</m:t>
                    </m:r>
                  </m:sub>
                </m:sSub>
              </m:oMath>
            </m:oMathPara>
          </w:p>
        </w:tc>
        <w:tc>
          <w:tcPr>
            <w:tcW w:w="882" w:type="dxa"/>
            <w:tcBorders>
              <w:top w:val="single" w:sz="4" w:space="0" w:color="7F7F7F" w:themeColor="text1" w:themeTint="80"/>
              <w:bottom w:val="single" w:sz="4" w:space="0" w:color="7F7F7F" w:themeColor="text1" w:themeTint="80"/>
            </w:tcBorders>
            <w:vAlign w:val="center"/>
          </w:tcPr>
          <w:p w14:paraId="072E4BF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799</w:t>
            </w:r>
          </w:p>
        </w:tc>
        <w:tc>
          <w:tcPr>
            <w:tcW w:w="252" w:type="dxa"/>
            <w:tcBorders>
              <w:bottom w:val="single" w:sz="4" w:space="0" w:color="7F7F7F" w:themeColor="text1" w:themeTint="80"/>
            </w:tcBorders>
          </w:tcPr>
          <w:p w14:paraId="1625CDA1"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874" w:type="dxa"/>
            <w:tcBorders>
              <w:top w:val="single" w:sz="4" w:space="0" w:color="7F7F7F" w:themeColor="text1" w:themeTint="80"/>
              <w:bottom w:val="single" w:sz="4" w:space="0" w:color="7F7F7F" w:themeColor="text1" w:themeTint="80"/>
            </w:tcBorders>
            <w:vAlign w:val="center"/>
          </w:tcPr>
          <w:p w14:paraId="434E4D1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250 (31.3%)</w:t>
            </w:r>
          </w:p>
        </w:tc>
        <w:tc>
          <w:tcPr>
            <w:tcW w:w="874" w:type="dxa"/>
            <w:tcBorders>
              <w:top w:val="single" w:sz="4" w:space="0" w:color="7F7F7F" w:themeColor="text1" w:themeTint="80"/>
              <w:bottom w:val="single" w:sz="4" w:space="0" w:color="7F7F7F" w:themeColor="text1" w:themeTint="80"/>
            </w:tcBorders>
            <w:vAlign w:val="center"/>
          </w:tcPr>
          <w:p w14:paraId="2DF13125"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hint="eastAsia"/>
                <w:color w:val="000000" w:themeColor="text1"/>
                <w:sz w:val="18"/>
                <w:szCs w:val="18"/>
              </w:rPr>
              <w:t>2</w:t>
            </w:r>
            <w:r w:rsidRPr="008C1777">
              <w:rPr>
                <w:rFonts w:ascii="Arial" w:hAnsi="Arial" w:cs="Times New Roman"/>
                <w:color w:val="000000" w:themeColor="text1"/>
                <w:sz w:val="18"/>
                <w:szCs w:val="18"/>
              </w:rPr>
              <w:t>5</w:t>
            </w:r>
          </w:p>
          <w:p w14:paraId="18F72997"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(3.1%)</w:t>
            </w:r>
          </w:p>
        </w:tc>
        <w:tc>
          <w:tcPr>
            <w:tcW w:w="874" w:type="dxa"/>
            <w:tcBorders>
              <w:top w:val="single" w:sz="4" w:space="0" w:color="7F7F7F" w:themeColor="text1" w:themeTint="80"/>
              <w:bottom w:val="single" w:sz="4" w:space="0" w:color="7F7F7F" w:themeColor="text1" w:themeTint="80"/>
            </w:tcBorders>
            <w:vAlign w:val="center"/>
          </w:tcPr>
          <w:p w14:paraId="5D0354D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18"/>
              </w:rPr>
              <w:t>1</w:t>
            </w:r>
            <w:r w:rsidRPr="008C1777">
              <w:rPr>
                <w:rFonts w:ascii="Arial" w:hAnsi="Arial" w:cs="Times New Roman"/>
                <w:color w:val="000000" w:themeColor="text1"/>
                <w:sz w:val="18"/>
                <w:szCs w:val="18"/>
              </w:rPr>
              <w:t>13 (14.1%)</w:t>
            </w:r>
          </w:p>
        </w:tc>
        <w:tc>
          <w:tcPr>
            <w:tcW w:w="874" w:type="dxa"/>
            <w:tcBorders>
              <w:top w:val="single" w:sz="4" w:space="0" w:color="7F7F7F" w:themeColor="text1" w:themeTint="80"/>
              <w:bottom w:val="single" w:sz="4" w:space="0" w:color="7F7F7F" w:themeColor="text1" w:themeTint="80"/>
            </w:tcBorders>
            <w:vAlign w:val="center"/>
          </w:tcPr>
          <w:p w14:paraId="63DA3416"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165 (20.7%)</w:t>
            </w:r>
          </w:p>
        </w:tc>
        <w:tc>
          <w:tcPr>
            <w:tcW w:w="874" w:type="dxa"/>
            <w:tcBorders>
              <w:top w:val="single" w:sz="4" w:space="0" w:color="7F7F7F" w:themeColor="text1" w:themeTint="80"/>
              <w:bottom w:val="single" w:sz="4" w:space="0" w:color="7F7F7F" w:themeColor="text1" w:themeTint="80"/>
            </w:tcBorders>
            <w:vAlign w:val="center"/>
          </w:tcPr>
          <w:p w14:paraId="450D1F7C"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18"/>
              </w:rPr>
              <w:t>1</w:t>
            </w:r>
            <w:r w:rsidRPr="008C1777">
              <w:rPr>
                <w:rFonts w:ascii="Arial" w:hAnsi="Arial" w:cs="Times New Roman"/>
                <w:color w:val="000000" w:themeColor="text1"/>
                <w:sz w:val="18"/>
                <w:szCs w:val="18"/>
              </w:rPr>
              <w:t>15 (14.4%)</w:t>
            </w:r>
          </w:p>
        </w:tc>
        <w:tc>
          <w:tcPr>
            <w:tcW w:w="875" w:type="dxa"/>
            <w:tcBorders>
              <w:top w:val="single" w:sz="4" w:space="0" w:color="7F7F7F" w:themeColor="text1" w:themeTint="80"/>
              <w:bottom w:val="single" w:sz="4" w:space="0" w:color="7F7F7F" w:themeColor="text1" w:themeTint="80"/>
            </w:tcBorders>
            <w:vAlign w:val="center"/>
          </w:tcPr>
          <w:p w14:paraId="237DBCA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hint="eastAsia"/>
                <w:color w:val="000000" w:themeColor="text1"/>
                <w:sz w:val="18"/>
                <w:szCs w:val="18"/>
              </w:rPr>
              <w:t>1</w:t>
            </w:r>
            <w:r w:rsidRPr="008C1777">
              <w:rPr>
                <w:rFonts w:ascii="Arial" w:hAnsi="Arial" w:cs="Times New Roman"/>
                <w:color w:val="000000" w:themeColor="text1"/>
                <w:sz w:val="18"/>
                <w:szCs w:val="18"/>
              </w:rPr>
              <w:t xml:space="preserve">31 </w:t>
            </w:r>
          </w:p>
          <w:p w14:paraId="29BC108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(16.4%)</w:t>
            </w:r>
          </w:p>
        </w:tc>
        <w:tc>
          <w:tcPr>
            <w:tcW w:w="284" w:type="dxa"/>
            <w:tcBorders>
              <w:top w:val="single" w:sz="4" w:space="0" w:color="7F7F7F" w:themeColor="text1" w:themeTint="80"/>
              <w:bottom w:val="single" w:sz="4" w:space="0" w:color="7F7F7F" w:themeColor="text1" w:themeTint="80"/>
            </w:tcBorders>
          </w:tcPr>
          <w:p w14:paraId="2ED25F5C"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1063" w:type="dxa"/>
            <w:tcBorders>
              <w:top w:val="single" w:sz="4" w:space="0" w:color="7F7F7F" w:themeColor="text1" w:themeTint="80"/>
              <w:bottom w:val="single" w:sz="4" w:space="0" w:color="7F7F7F" w:themeColor="text1" w:themeTint="80"/>
            </w:tcBorders>
          </w:tcPr>
          <w:p w14:paraId="57A12A3B"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59.46</w:t>
            </w:r>
          </w:p>
          <w:p w14:paraId="5CDE0328"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±10.79</w:t>
            </w:r>
          </w:p>
        </w:tc>
        <w:tc>
          <w:tcPr>
            <w:tcW w:w="1063" w:type="dxa"/>
            <w:tcBorders>
              <w:top w:val="single" w:sz="4" w:space="0" w:color="7F7F7F" w:themeColor="text1" w:themeTint="80"/>
              <w:bottom w:val="single" w:sz="4" w:space="0" w:color="7F7F7F" w:themeColor="text1" w:themeTint="80"/>
            </w:tcBorders>
          </w:tcPr>
          <w:p w14:paraId="4C2BFAA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24.60</w:t>
            </w:r>
          </w:p>
          <w:p w14:paraId="4E3CEDA8"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±3.04</w:t>
            </w:r>
          </w:p>
        </w:tc>
        <w:tc>
          <w:tcPr>
            <w:tcW w:w="283" w:type="dxa"/>
            <w:tcBorders>
              <w:top w:val="single" w:sz="4" w:space="0" w:color="7F7F7F" w:themeColor="text1" w:themeTint="80"/>
              <w:bottom w:val="single" w:sz="4" w:space="0" w:color="7F7F7F" w:themeColor="text1" w:themeTint="80"/>
            </w:tcBorders>
          </w:tcPr>
          <w:p w14:paraId="127616F5"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945" w:type="dxa"/>
            <w:tcBorders>
              <w:top w:val="single" w:sz="4" w:space="0" w:color="7F7F7F" w:themeColor="text1" w:themeTint="80"/>
              <w:bottom w:val="single" w:sz="4" w:space="0" w:color="7F7F7F" w:themeColor="text1" w:themeTint="80"/>
            </w:tcBorders>
          </w:tcPr>
          <w:p w14:paraId="575B6F12"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 xml:space="preserve">3 </w:t>
            </w:r>
          </w:p>
          <w:p w14:paraId="69C0FCF9"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(0, 5)</w:t>
            </w:r>
          </w:p>
        </w:tc>
        <w:tc>
          <w:tcPr>
            <w:tcW w:w="771" w:type="dxa"/>
            <w:tcBorders>
              <w:top w:val="single" w:sz="4" w:space="0" w:color="7F7F7F" w:themeColor="text1" w:themeTint="80"/>
              <w:bottom w:val="single" w:sz="4" w:space="0" w:color="7F7F7F" w:themeColor="text1" w:themeTint="80"/>
            </w:tcBorders>
          </w:tcPr>
          <w:p w14:paraId="2BB5CAD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 xml:space="preserve">3 </w:t>
            </w:r>
          </w:p>
          <w:p w14:paraId="7832EFD8"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(1, 4)</w:t>
            </w:r>
          </w:p>
        </w:tc>
        <w:tc>
          <w:tcPr>
            <w:tcW w:w="1119" w:type="dxa"/>
            <w:gridSpan w:val="2"/>
            <w:tcBorders>
              <w:top w:val="single" w:sz="4" w:space="0" w:color="7F7F7F" w:themeColor="text1" w:themeTint="80"/>
              <w:bottom w:val="single" w:sz="4" w:space="0" w:color="7F7F7F" w:themeColor="text1" w:themeTint="80"/>
            </w:tcBorders>
          </w:tcPr>
          <w:p w14:paraId="55282096"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 xml:space="preserve">-1 </w:t>
            </w:r>
          </w:p>
          <w:p w14:paraId="7F7702B7"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(-2, 0)</w:t>
            </w:r>
          </w:p>
        </w:tc>
      </w:tr>
      <w:tr w:rsidR="006809BE" w:rsidRPr="008C1777" w14:paraId="25CB00C1" w14:textId="77777777" w:rsidTr="00187EB1">
        <w:tc>
          <w:tcPr>
            <w:tcW w:w="1271" w:type="dxa"/>
            <w:tcBorders>
              <w:top w:val="single" w:sz="4" w:space="0" w:color="7F7F7F" w:themeColor="text1" w:themeTint="80"/>
              <w:bottom w:val="single" w:sz="4" w:space="0" w:color="7F7F7F" w:themeColor="text1" w:themeTint="80"/>
            </w:tcBorders>
            <w:vAlign w:val="center"/>
          </w:tcPr>
          <w:p w14:paraId="65D78FC4" w14:textId="77777777" w:rsidR="006809BE" w:rsidRPr="008C1777" w:rsidRDefault="006809BE" w:rsidP="00187EB1">
            <w:pPr>
              <w:autoSpaceDE w:val="0"/>
              <w:autoSpaceDN w:val="0"/>
              <w:adjustRightInd w:val="0"/>
              <w:jc w:val="center"/>
              <w:rPr>
                <w:rFonts w:ascii="Arial" w:eastAsia="DengXian" w:hAnsi="Arial" w:cs="Times New Roman"/>
                <w:b/>
                <w:bCs/>
                <w:color w:val="000000" w:themeColor="text1"/>
                <w:sz w:val="18"/>
                <w:szCs w:val="18"/>
              </w:rPr>
            </w:pPr>
            <m:oMathPara>
              <m:oMath>
                <m:sSub>
                  <m:sSubPr>
                    <m:ctrlPr>
                      <w:rPr>
                        <w:rFonts w:ascii="Cambria Math" w:hAnsi="Cambria Math" w:cs="Times New Roman"/>
                        <w:i/>
                        <w:color w:val="000000" w:themeColor="text1"/>
                        <w:sz w:val="18"/>
                        <w:szCs w:val="18"/>
                      </w:rPr>
                    </m:ctrlPr>
                  </m:sSubPr>
                  <m:e>
                    <m:r>
                      <m:rPr>
                        <m:scr m:val="script"/>
                        <m:sty m:val="bi"/>
                      </m:rPr>
                      <w:rPr>
                        <w:rFonts w:ascii="Cambria Math" w:hAnsi="Cambria Math" w:cs="Times New Roman"/>
                        <w:color w:val="000000" w:themeColor="text1"/>
                        <w:sz w:val="18"/>
                        <w:szCs w:val="18"/>
                      </w:rPr>
                      <m:t>D</m:t>
                    </m:r>
                  </m:e>
                  <m:sub>
                    <m:r>
                      <w:rPr>
                        <w:rFonts w:ascii="Cambria Math" w:hAnsi="Cambria Math" w:cs="Times New Roman"/>
                        <w:color w:val="000000" w:themeColor="text1"/>
                        <w:sz w:val="18"/>
                        <w:szCs w:val="18"/>
                      </w:rPr>
                      <m:t>s,v</m:t>
                    </m:r>
                  </m:sub>
                </m:sSub>
              </m:oMath>
            </m:oMathPara>
          </w:p>
          <w:p w14:paraId="19B34FEF" w14:textId="77777777" w:rsidR="006809BE" w:rsidRPr="008C1777" w:rsidRDefault="006809BE" w:rsidP="00187EB1">
            <w:pPr>
              <w:autoSpaceDE w:val="0"/>
              <w:autoSpaceDN w:val="0"/>
              <w:adjustRightInd w:val="0"/>
              <w:jc w:val="center"/>
              <w:rPr>
                <w:rFonts w:ascii="Arial" w:hAnsi="Arial" w:cs="Times New Roman"/>
                <w:bCs/>
                <w:color w:val="000000" w:themeColor="text1"/>
                <w:sz w:val="18"/>
                <w:szCs w:val="20"/>
              </w:rPr>
            </w:pPr>
            <w:r w:rsidRPr="008C1777">
              <w:rPr>
                <w:rFonts w:ascii="Arial" w:hAnsi="Arial" w:cs="Times New Roman"/>
                <w:bCs/>
                <w:color w:val="000000" w:themeColor="text1"/>
                <w:sz w:val="15"/>
                <w:szCs w:val="15"/>
              </w:rPr>
              <w:t>2021/1-2022/8</w:t>
            </w:r>
          </w:p>
        </w:tc>
        <w:tc>
          <w:tcPr>
            <w:tcW w:w="997" w:type="dxa"/>
            <w:tcBorders>
              <w:top w:val="single" w:sz="4" w:space="0" w:color="7F7F7F" w:themeColor="text1" w:themeTint="80"/>
              <w:bottom w:val="single" w:sz="4" w:space="0" w:color="7F7F7F" w:themeColor="text1" w:themeTint="80"/>
            </w:tcBorders>
            <w:vAlign w:val="center"/>
          </w:tcPr>
          <w:p w14:paraId="0F0E55B9"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m:oMathPara>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H</m:t>
                    </m:r>
                  </m:e>
                  <m:sub>
                    <m:r>
                      <w:rPr>
                        <w:rFonts w:ascii="Cambria Math" w:hAnsi="Cambria Math" w:cs="Times New Roman"/>
                        <w:color w:val="000000" w:themeColor="text1"/>
                        <w:sz w:val="18"/>
                        <w:szCs w:val="18"/>
                      </w:rPr>
                      <m:t>1</m:t>
                    </m:r>
                  </m:sub>
                </m:sSub>
              </m:oMath>
            </m:oMathPara>
          </w:p>
        </w:tc>
        <w:tc>
          <w:tcPr>
            <w:tcW w:w="882" w:type="dxa"/>
            <w:tcBorders>
              <w:top w:val="single" w:sz="4" w:space="0" w:color="7F7F7F" w:themeColor="text1" w:themeTint="80"/>
              <w:bottom w:val="single" w:sz="4" w:space="0" w:color="7F7F7F" w:themeColor="text1" w:themeTint="80"/>
            </w:tcBorders>
            <w:vAlign w:val="center"/>
          </w:tcPr>
          <w:p w14:paraId="33FB622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198</w:t>
            </w:r>
          </w:p>
        </w:tc>
        <w:tc>
          <w:tcPr>
            <w:tcW w:w="252" w:type="dxa"/>
            <w:tcBorders>
              <w:top w:val="single" w:sz="4" w:space="0" w:color="7F7F7F" w:themeColor="text1" w:themeTint="80"/>
              <w:bottom w:val="single" w:sz="4" w:space="0" w:color="7F7F7F" w:themeColor="text1" w:themeTint="80"/>
            </w:tcBorders>
          </w:tcPr>
          <w:p w14:paraId="4DF0C0F1"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874" w:type="dxa"/>
            <w:tcBorders>
              <w:top w:val="single" w:sz="4" w:space="0" w:color="7F7F7F" w:themeColor="text1" w:themeTint="80"/>
              <w:bottom w:val="single" w:sz="4" w:space="0" w:color="7F7F7F" w:themeColor="text1" w:themeTint="80"/>
            </w:tcBorders>
            <w:vAlign w:val="center"/>
          </w:tcPr>
          <w:p w14:paraId="2826AA6E"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32</w:t>
            </w:r>
          </w:p>
          <w:p w14:paraId="6E64FF5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(16.2%)</w:t>
            </w:r>
          </w:p>
        </w:tc>
        <w:tc>
          <w:tcPr>
            <w:tcW w:w="874" w:type="dxa"/>
            <w:tcBorders>
              <w:top w:val="single" w:sz="4" w:space="0" w:color="7F7F7F" w:themeColor="text1" w:themeTint="80"/>
              <w:bottom w:val="single" w:sz="4" w:space="0" w:color="7F7F7F" w:themeColor="text1" w:themeTint="80"/>
            </w:tcBorders>
            <w:vAlign w:val="center"/>
          </w:tcPr>
          <w:p w14:paraId="33A5CF4E"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hint="eastAsia"/>
                <w:color w:val="000000" w:themeColor="text1"/>
                <w:sz w:val="18"/>
                <w:szCs w:val="18"/>
              </w:rPr>
              <w:t>4</w:t>
            </w:r>
          </w:p>
          <w:p w14:paraId="7B0EBD79"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(2.0%)</w:t>
            </w:r>
          </w:p>
        </w:tc>
        <w:tc>
          <w:tcPr>
            <w:tcW w:w="874" w:type="dxa"/>
            <w:tcBorders>
              <w:top w:val="single" w:sz="4" w:space="0" w:color="7F7F7F" w:themeColor="text1" w:themeTint="80"/>
              <w:bottom w:val="single" w:sz="4" w:space="0" w:color="7F7F7F" w:themeColor="text1" w:themeTint="80"/>
            </w:tcBorders>
            <w:vAlign w:val="center"/>
          </w:tcPr>
          <w:p w14:paraId="7F87B880"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hint="eastAsia"/>
                <w:color w:val="000000" w:themeColor="text1"/>
                <w:sz w:val="18"/>
                <w:szCs w:val="18"/>
              </w:rPr>
              <w:t>3</w:t>
            </w:r>
            <w:r w:rsidRPr="008C1777">
              <w:rPr>
                <w:rFonts w:ascii="Arial" w:hAnsi="Arial" w:cs="Times New Roman"/>
                <w:color w:val="000000" w:themeColor="text1"/>
                <w:sz w:val="18"/>
                <w:szCs w:val="18"/>
              </w:rPr>
              <w:t>1</w:t>
            </w:r>
          </w:p>
          <w:p w14:paraId="14BDF5EC"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(15.7%)</w:t>
            </w:r>
          </w:p>
        </w:tc>
        <w:tc>
          <w:tcPr>
            <w:tcW w:w="874" w:type="dxa"/>
            <w:tcBorders>
              <w:top w:val="single" w:sz="4" w:space="0" w:color="7F7F7F" w:themeColor="text1" w:themeTint="80"/>
              <w:bottom w:val="single" w:sz="4" w:space="0" w:color="7F7F7F" w:themeColor="text1" w:themeTint="80"/>
            </w:tcBorders>
            <w:vAlign w:val="center"/>
          </w:tcPr>
          <w:p w14:paraId="5690161B"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63</w:t>
            </w:r>
          </w:p>
          <w:p w14:paraId="70ACEC90"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(31.8%)</w:t>
            </w:r>
          </w:p>
        </w:tc>
        <w:tc>
          <w:tcPr>
            <w:tcW w:w="874" w:type="dxa"/>
            <w:tcBorders>
              <w:top w:val="single" w:sz="4" w:space="0" w:color="7F7F7F" w:themeColor="text1" w:themeTint="80"/>
              <w:bottom w:val="single" w:sz="4" w:space="0" w:color="7F7F7F" w:themeColor="text1" w:themeTint="80"/>
            </w:tcBorders>
            <w:vAlign w:val="center"/>
          </w:tcPr>
          <w:p w14:paraId="34FC3996"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28</w:t>
            </w:r>
          </w:p>
          <w:p w14:paraId="4B3A1146"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(14.1%)</w:t>
            </w:r>
          </w:p>
        </w:tc>
        <w:tc>
          <w:tcPr>
            <w:tcW w:w="875" w:type="dxa"/>
            <w:tcBorders>
              <w:top w:val="single" w:sz="4" w:space="0" w:color="7F7F7F" w:themeColor="text1" w:themeTint="80"/>
              <w:bottom w:val="single" w:sz="4" w:space="0" w:color="7F7F7F" w:themeColor="text1" w:themeTint="80"/>
            </w:tcBorders>
            <w:vAlign w:val="center"/>
          </w:tcPr>
          <w:p w14:paraId="0DB585D8"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40</w:t>
            </w:r>
          </w:p>
          <w:p w14:paraId="07DC7A07"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(20.2%)</w:t>
            </w:r>
          </w:p>
        </w:tc>
        <w:tc>
          <w:tcPr>
            <w:tcW w:w="284" w:type="dxa"/>
            <w:tcBorders>
              <w:top w:val="single" w:sz="4" w:space="0" w:color="7F7F7F" w:themeColor="text1" w:themeTint="80"/>
              <w:bottom w:val="single" w:sz="4" w:space="0" w:color="7F7F7F" w:themeColor="text1" w:themeTint="80"/>
            </w:tcBorders>
          </w:tcPr>
          <w:p w14:paraId="304207C1"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1063" w:type="dxa"/>
            <w:tcBorders>
              <w:top w:val="single" w:sz="4" w:space="0" w:color="7F7F7F" w:themeColor="text1" w:themeTint="80"/>
              <w:bottom w:val="single" w:sz="4" w:space="0" w:color="7F7F7F" w:themeColor="text1" w:themeTint="80"/>
            </w:tcBorders>
          </w:tcPr>
          <w:p w14:paraId="70304D3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61.85</w:t>
            </w:r>
          </w:p>
          <w:p w14:paraId="080EB8C8"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±11.23</w:t>
            </w:r>
          </w:p>
        </w:tc>
        <w:tc>
          <w:tcPr>
            <w:tcW w:w="1063" w:type="dxa"/>
            <w:tcBorders>
              <w:top w:val="single" w:sz="4" w:space="0" w:color="7F7F7F" w:themeColor="text1" w:themeTint="80"/>
              <w:bottom w:val="single" w:sz="4" w:space="0" w:color="7F7F7F" w:themeColor="text1" w:themeTint="80"/>
            </w:tcBorders>
          </w:tcPr>
          <w:p w14:paraId="37D391EB"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24.35</w:t>
            </w:r>
          </w:p>
          <w:p w14:paraId="4A91C63A"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±2.92</w:t>
            </w:r>
          </w:p>
        </w:tc>
        <w:tc>
          <w:tcPr>
            <w:tcW w:w="283" w:type="dxa"/>
            <w:tcBorders>
              <w:top w:val="single" w:sz="4" w:space="0" w:color="7F7F7F" w:themeColor="text1" w:themeTint="80"/>
              <w:bottom w:val="single" w:sz="4" w:space="0" w:color="7F7F7F" w:themeColor="text1" w:themeTint="80"/>
            </w:tcBorders>
          </w:tcPr>
          <w:p w14:paraId="556E8173"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945" w:type="dxa"/>
            <w:tcBorders>
              <w:top w:val="single" w:sz="4" w:space="0" w:color="7F7F7F" w:themeColor="text1" w:themeTint="80"/>
              <w:bottom w:val="single" w:sz="4" w:space="0" w:color="7F7F7F" w:themeColor="text1" w:themeTint="80"/>
            </w:tcBorders>
          </w:tcPr>
          <w:p w14:paraId="0B69059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 xml:space="preserve">3 </w:t>
            </w:r>
          </w:p>
          <w:p w14:paraId="5707A85A"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(0.9, 4)</w:t>
            </w:r>
          </w:p>
        </w:tc>
        <w:tc>
          <w:tcPr>
            <w:tcW w:w="771" w:type="dxa"/>
            <w:tcBorders>
              <w:top w:val="single" w:sz="4" w:space="0" w:color="7F7F7F" w:themeColor="text1" w:themeTint="80"/>
              <w:bottom w:val="single" w:sz="4" w:space="0" w:color="7F7F7F" w:themeColor="text1" w:themeTint="80"/>
            </w:tcBorders>
          </w:tcPr>
          <w:p w14:paraId="5BD2574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 xml:space="preserve">3 </w:t>
            </w:r>
          </w:p>
          <w:p w14:paraId="2F6AABF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(1, 4)</w:t>
            </w:r>
          </w:p>
        </w:tc>
        <w:tc>
          <w:tcPr>
            <w:tcW w:w="1119" w:type="dxa"/>
            <w:gridSpan w:val="2"/>
            <w:tcBorders>
              <w:top w:val="single" w:sz="4" w:space="0" w:color="7F7F7F" w:themeColor="text1" w:themeTint="80"/>
              <w:bottom w:val="single" w:sz="4" w:space="0" w:color="7F7F7F" w:themeColor="text1" w:themeTint="80"/>
            </w:tcBorders>
          </w:tcPr>
          <w:p w14:paraId="2A54CC0C"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-2</w:t>
            </w:r>
          </w:p>
          <w:p w14:paraId="1224B89C"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 xml:space="preserve"> (-2, -1)</w:t>
            </w:r>
          </w:p>
        </w:tc>
      </w:tr>
      <w:tr w:rsidR="006809BE" w:rsidRPr="008C1777" w14:paraId="22F4A7AC" w14:textId="77777777" w:rsidTr="00187EB1">
        <w:tc>
          <w:tcPr>
            <w:tcW w:w="1271" w:type="dxa"/>
            <w:vMerge w:val="restart"/>
            <w:tcBorders>
              <w:top w:val="single" w:sz="4" w:space="0" w:color="7F7F7F" w:themeColor="text1" w:themeTint="80"/>
            </w:tcBorders>
            <w:vAlign w:val="center"/>
          </w:tcPr>
          <w:p w14:paraId="77E8BBE9" w14:textId="77777777" w:rsidR="006809BE" w:rsidRPr="008C1777" w:rsidRDefault="006809BE" w:rsidP="00187EB1">
            <w:pPr>
              <w:autoSpaceDE w:val="0"/>
              <w:autoSpaceDN w:val="0"/>
              <w:adjustRightInd w:val="0"/>
              <w:jc w:val="center"/>
              <w:rPr>
                <w:rFonts w:ascii="Arial" w:hAnsi="Arial" w:cs="Times New Roman"/>
                <w:b/>
                <w:bCs/>
                <w:color w:val="000000" w:themeColor="text1"/>
                <w:sz w:val="18"/>
                <w:szCs w:val="18"/>
              </w:rPr>
            </w:pPr>
            <m:oMathPara>
              <m:oMath>
                <m:sSub>
                  <m:sSubPr>
                    <m:ctrlPr>
                      <w:rPr>
                        <w:rFonts w:ascii="Cambria Math" w:hAnsi="Cambria Math" w:cs="Times New Roman"/>
                        <w:i/>
                        <w:color w:val="000000" w:themeColor="text1"/>
                        <w:sz w:val="18"/>
                        <w:szCs w:val="18"/>
                      </w:rPr>
                    </m:ctrlPr>
                  </m:sSubPr>
                  <m:e>
                    <m:r>
                      <m:rPr>
                        <m:scr m:val="script"/>
                        <m:sty m:val="bi"/>
                      </m:rPr>
                      <w:rPr>
                        <w:rFonts w:ascii="Cambria Math" w:hAnsi="Cambria Math" w:cs="Times New Roman"/>
                        <w:color w:val="000000" w:themeColor="text1"/>
                        <w:sz w:val="18"/>
                        <w:szCs w:val="18"/>
                      </w:rPr>
                      <m:t>D</m:t>
                    </m:r>
                  </m:e>
                  <m:sub>
                    <m:r>
                      <w:rPr>
                        <w:rFonts w:ascii="Cambria Math" w:hAnsi="Cambria Math" w:cs="Times New Roman"/>
                        <w:color w:val="000000" w:themeColor="text1"/>
                        <w:sz w:val="18"/>
                        <w:szCs w:val="18"/>
                      </w:rPr>
                      <m:t>m</m:t>
                    </m:r>
                  </m:sub>
                </m:sSub>
              </m:oMath>
            </m:oMathPara>
          </w:p>
          <w:p w14:paraId="367DC4A5" w14:textId="77777777" w:rsidR="006809BE" w:rsidRPr="008C1777" w:rsidRDefault="006809BE" w:rsidP="00187EB1">
            <w:pPr>
              <w:autoSpaceDE w:val="0"/>
              <w:autoSpaceDN w:val="0"/>
              <w:adjustRightInd w:val="0"/>
              <w:jc w:val="center"/>
              <w:rPr>
                <w:rFonts w:ascii="Arial" w:hAnsi="Arial" w:cs="Times New Roman"/>
                <w:bCs/>
                <w:color w:val="000000" w:themeColor="text1"/>
                <w:sz w:val="18"/>
                <w:szCs w:val="20"/>
              </w:rPr>
            </w:pPr>
            <w:r w:rsidRPr="008C1777">
              <w:rPr>
                <w:rFonts w:ascii="Arial" w:hAnsi="Arial" w:cs="Times New Roman"/>
                <w:bCs/>
                <w:color w:val="000000" w:themeColor="text1"/>
                <w:sz w:val="15"/>
                <w:szCs w:val="15"/>
              </w:rPr>
              <w:t>2021/9-2022/9</w:t>
            </w:r>
          </w:p>
        </w:tc>
        <w:tc>
          <w:tcPr>
            <w:tcW w:w="997" w:type="dxa"/>
            <w:tcBorders>
              <w:top w:val="single" w:sz="4" w:space="0" w:color="7F7F7F" w:themeColor="text1" w:themeTint="80"/>
              <w:bottom w:val="single" w:sz="4" w:space="0" w:color="7F7F7F" w:themeColor="text1" w:themeTint="80"/>
            </w:tcBorders>
            <w:vAlign w:val="center"/>
          </w:tcPr>
          <w:p w14:paraId="11EDB01B"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m:oMathPara>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H</m:t>
                    </m:r>
                  </m:e>
                  <m:sub>
                    <m:r>
                      <w:rPr>
                        <w:rFonts w:ascii="Cambria Math" w:hAnsi="Cambria Math" w:cs="Times New Roman"/>
                        <w:color w:val="000000" w:themeColor="text1"/>
                        <w:sz w:val="18"/>
                        <w:szCs w:val="18"/>
                      </w:rPr>
                      <m:t>2</m:t>
                    </m:r>
                  </m:sub>
                </m:sSub>
              </m:oMath>
            </m:oMathPara>
          </w:p>
        </w:tc>
        <w:tc>
          <w:tcPr>
            <w:tcW w:w="882" w:type="dxa"/>
            <w:tcBorders>
              <w:top w:val="single" w:sz="4" w:space="0" w:color="7F7F7F" w:themeColor="text1" w:themeTint="80"/>
              <w:bottom w:val="single" w:sz="4" w:space="0" w:color="7F7F7F" w:themeColor="text1" w:themeTint="80"/>
            </w:tcBorders>
            <w:vAlign w:val="center"/>
          </w:tcPr>
          <w:p w14:paraId="6689BE31"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139</w:t>
            </w:r>
          </w:p>
        </w:tc>
        <w:tc>
          <w:tcPr>
            <w:tcW w:w="252" w:type="dxa"/>
            <w:tcBorders>
              <w:top w:val="single" w:sz="4" w:space="0" w:color="7F7F7F" w:themeColor="text1" w:themeTint="80"/>
            </w:tcBorders>
          </w:tcPr>
          <w:p w14:paraId="4D525B7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874" w:type="dxa"/>
            <w:tcBorders>
              <w:top w:val="single" w:sz="4" w:space="0" w:color="7F7F7F" w:themeColor="text1" w:themeTint="80"/>
              <w:bottom w:val="single" w:sz="4" w:space="0" w:color="7F7F7F" w:themeColor="text1" w:themeTint="80"/>
            </w:tcBorders>
          </w:tcPr>
          <w:p w14:paraId="6B8B626E"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7</w:t>
            </w:r>
          </w:p>
          <w:p w14:paraId="5D4C0860"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(5.0%)</w:t>
            </w:r>
          </w:p>
        </w:tc>
        <w:tc>
          <w:tcPr>
            <w:tcW w:w="874" w:type="dxa"/>
            <w:tcBorders>
              <w:top w:val="single" w:sz="4" w:space="0" w:color="7F7F7F" w:themeColor="text1" w:themeTint="80"/>
              <w:bottom w:val="single" w:sz="4" w:space="0" w:color="7F7F7F" w:themeColor="text1" w:themeTint="80"/>
            </w:tcBorders>
          </w:tcPr>
          <w:p w14:paraId="48EA32C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0</w:t>
            </w:r>
          </w:p>
          <w:p w14:paraId="5BABB9D6"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(0.0%)</w:t>
            </w:r>
          </w:p>
        </w:tc>
        <w:tc>
          <w:tcPr>
            <w:tcW w:w="874" w:type="dxa"/>
            <w:tcBorders>
              <w:top w:val="single" w:sz="4" w:space="0" w:color="7F7F7F" w:themeColor="text1" w:themeTint="80"/>
              <w:bottom w:val="single" w:sz="4" w:space="0" w:color="7F7F7F" w:themeColor="text1" w:themeTint="80"/>
            </w:tcBorders>
          </w:tcPr>
          <w:p w14:paraId="66053F00"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3</w:t>
            </w:r>
          </w:p>
          <w:p w14:paraId="724ED14B"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(2.2%)</w:t>
            </w:r>
          </w:p>
        </w:tc>
        <w:tc>
          <w:tcPr>
            <w:tcW w:w="874" w:type="dxa"/>
            <w:tcBorders>
              <w:top w:val="single" w:sz="4" w:space="0" w:color="7F7F7F" w:themeColor="text1" w:themeTint="80"/>
              <w:bottom w:val="single" w:sz="4" w:space="0" w:color="7F7F7F" w:themeColor="text1" w:themeTint="80"/>
            </w:tcBorders>
          </w:tcPr>
          <w:p w14:paraId="54C01278"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62</w:t>
            </w:r>
          </w:p>
          <w:p w14:paraId="679178E8"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(44.6%)</w:t>
            </w:r>
          </w:p>
        </w:tc>
        <w:tc>
          <w:tcPr>
            <w:tcW w:w="874" w:type="dxa"/>
            <w:tcBorders>
              <w:top w:val="single" w:sz="4" w:space="0" w:color="7F7F7F" w:themeColor="text1" w:themeTint="80"/>
              <w:bottom w:val="single" w:sz="4" w:space="0" w:color="7F7F7F" w:themeColor="text1" w:themeTint="80"/>
            </w:tcBorders>
          </w:tcPr>
          <w:p w14:paraId="52D84B06"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1</w:t>
            </w:r>
          </w:p>
          <w:p w14:paraId="4EC310DA"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(0.7%)</w:t>
            </w:r>
          </w:p>
        </w:tc>
        <w:tc>
          <w:tcPr>
            <w:tcW w:w="875" w:type="dxa"/>
            <w:tcBorders>
              <w:top w:val="single" w:sz="4" w:space="0" w:color="7F7F7F" w:themeColor="text1" w:themeTint="80"/>
              <w:bottom w:val="single" w:sz="4" w:space="0" w:color="7F7F7F" w:themeColor="text1" w:themeTint="80"/>
            </w:tcBorders>
          </w:tcPr>
          <w:p w14:paraId="2C6A55B6"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66</w:t>
            </w:r>
          </w:p>
          <w:p w14:paraId="0666EAC8"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(47.5%)</w:t>
            </w:r>
          </w:p>
        </w:tc>
        <w:tc>
          <w:tcPr>
            <w:tcW w:w="284" w:type="dxa"/>
            <w:tcBorders>
              <w:top w:val="single" w:sz="4" w:space="0" w:color="7F7F7F" w:themeColor="text1" w:themeTint="80"/>
            </w:tcBorders>
          </w:tcPr>
          <w:p w14:paraId="3549AEF5"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1063" w:type="dxa"/>
            <w:tcBorders>
              <w:top w:val="single" w:sz="4" w:space="0" w:color="7F7F7F" w:themeColor="text1" w:themeTint="80"/>
              <w:bottom w:val="single" w:sz="4" w:space="0" w:color="7F7F7F" w:themeColor="text1" w:themeTint="80"/>
            </w:tcBorders>
          </w:tcPr>
          <w:p w14:paraId="66C9BE99"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6</w:t>
            </w:r>
            <w:r w:rsidRPr="008C1777">
              <w:rPr>
                <w:rFonts w:ascii="Arial" w:hAnsi="Arial" w:cs="Times New Roman"/>
                <w:color w:val="000000" w:themeColor="text1"/>
                <w:sz w:val="18"/>
                <w:szCs w:val="20"/>
              </w:rPr>
              <w:t>5.50</w:t>
            </w:r>
          </w:p>
          <w:p w14:paraId="64A1EC5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±10.09</w:t>
            </w:r>
          </w:p>
        </w:tc>
        <w:tc>
          <w:tcPr>
            <w:tcW w:w="1063" w:type="dxa"/>
            <w:tcBorders>
              <w:top w:val="single" w:sz="4" w:space="0" w:color="7F7F7F" w:themeColor="text1" w:themeTint="80"/>
              <w:bottom w:val="single" w:sz="4" w:space="0" w:color="7F7F7F" w:themeColor="text1" w:themeTint="80"/>
            </w:tcBorders>
          </w:tcPr>
          <w:p w14:paraId="32F5A47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2</w:t>
            </w:r>
            <w:r w:rsidRPr="008C1777">
              <w:rPr>
                <w:rFonts w:ascii="Arial" w:hAnsi="Arial" w:cs="Times New Roman"/>
                <w:color w:val="000000" w:themeColor="text1"/>
                <w:sz w:val="18"/>
                <w:szCs w:val="20"/>
              </w:rPr>
              <w:t>4.88</w:t>
            </w:r>
          </w:p>
          <w:p w14:paraId="14B4678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w:t>
            </w:r>
            <w:r w:rsidRPr="008C1777">
              <w:rPr>
                <w:rFonts w:ascii="Arial" w:hAnsi="Arial" w:cs="Times New Roman" w:hint="eastAsia"/>
                <w:color w:val="000000" w:themeColor="text1"/>
                <w:sz w:val="18"/>
                <w:szCs w:val="20"/>
              </w:rPr>
              <w:t>3</w:t>
            </w:r>
            <w:r w:rsidRPr="008C1777">
              <w:rPr>
                <w:rFonts w:ascii="Arial" w:hAnsi="Arial" w:cs="Times New Roman"/>
                <w:color w:val="000000" w:themeColor="text1"/>
                <w:sz w:val="18"/>
                <w:szCs w:val="20"/>
              </w:rPr>
              <w:t>.44</w:t>
            </w:r>
          </w:p>
        </w:tc>
        <w:tc>
          <w:tcPr>
            <w:tcW w:w="283" w:type="dxa"/>
            <w:tcBorders>
              <w:top w:val="single" w:sz="4" w:space="0" w:color="7F7F7F" w:themeColor="text1" w:themeTint="80"/>
            </w:tcBorders>
          </w:tcPr>
          <w:p w14:paraId="67F40273"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945" w:type="dxa"/>
            <w:tcBorders>
              <w:top w:val="single" w:sz="4" w:space="0" w:color="7F7F7F" w:themeColor="text1" w:themeTint="80"/>
              <w:bottom w:val="single" w:sz="4" w:space="0" w:color="7F7F7F" w:themeColor="text1" w:themeTint="80"/>
            </w:tcBorders>
          </w:tcPr>
          <w:p w14:paraId="170EEB45"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4</w:t>
            </w:r>
          </w:p>
          <w:p w14:paraId="3264625A"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w:t>
            </w:r>
            <w:r w:rsidRPr="008C1777">
              <w:rPr>
                <w:rFonts w:ascii="Arial" w:hAnsi="Arial" w:cs="Times New Roman"/>
                <w:color w:val="000000" w:themeColor="text1"/>
                <w:sz w:val="18"/>
                <w:szCs w:val="20"/>
              </w:rPr>
              <w:t>2, 6)</w:t>
            </w:r>
          </w:p>
        </w:tc>
        <w:tc>
          <w:tcPr>
            <w:tcW w:w="771" w:type="dxa"/>
            <w:tcBorders>
              <w:top w:val="single" w:sz="4" w:space="0" w:color="7F7F7F" w:themeColor="text1" w:themeTint="80"/>
              <w:bottom w:val="single" w:sz="4" w:space="0" w:color="7F7F7F" w:themeColor="text1" w:themeTint="80"/>
            </w:tcBorders>
          </w:tcPr>
          <w:p w14:paraId="501DD795"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3</w:t>
            </w:r>
          </w:p>
          <w:p w14:paraId="23E45482"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w:t>
            </w:r>
            <w:r w:rsidRPr="008C1777">
              <w:rPr>
                <w:rFonts w:ascii="Arial" w:hAnsi="Arial" w:cs="Times New Roman"/>
                <w:color w:val="000000" w:themeColor="text1"/>
                <w:sz w:val="18"/>
                <w:szCs w:val="20"/>
              </w:rPr>
              <w:t>0,5.5)</w:t>
            </w:r>
          </w:p>
        </w:tc>
        <w:tc>
          <w:tcPr>
            <w:tcW w:w="1119" w:type="dxa"/>
            <w:gridSpan w:val="2"/>
            <w:tcBorders>
              <w:top w:val="single" w:sz="4" w:space="0" w:color="7F7F7F" w:themeColor="text1" w:themeTint="80"/>
              <w:bottom w:val="single" w:sz="4" w:space="0" w:color="7F7F7F" w:themeColor="text1" w:themeTint="80"/>
            </w:tcBorders>
          </w:tcPr>
          <w:p w14:paraId="098ACFDA"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w:t>
            </w:r>
            <w:r w:rsidRPr="008C1777">
              <w:rPr>
                <w:rFonts w:ascii="Arial" w:hAnsi="Arial" w:cs="Times New Roman"/>
                <w:color w:val="000000" w:themeColor="text1"/>
                <w:sz w:val="18"/>
                <w:szCs w:val="20"/>
              </w:rPr>
              <w:t>1</w:t>
            </w:r>
          </w:p>
          <w:p w14:paraId="2D54A2C2"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w:t>
            </w:r>
            <w:r w:rsidRPr="008C1777">
              <w:rPr>
                <w:rFonts w:ascii="Arial" w:hAnsi="Arial" w:cs="Times New Roman"/>
                <w:color w:val="000000" w:themeColor="text1"/>
                <w:sz w:val="18"/>
                <w:szCs w:val="20"/>
              </w:rPr>
              <w:t>-2, 0.5)</w:t>
            </w:r>
          </w:p>
        </w:tc>
      </w:tr>
      <w:tr w:rsidR="006809BE" w:rsidRPr="008C1777" w14:paraId="14ED37ED" w14:textId="77777777" w:rsidTr="00187EB1">
        <w:tc>
          <w:tcPr>
            <w:tcW w:w="1271" w:type="dxa"/>
            <w:vMerge/>
          </w:tcPr>
          <w:p w14:paraId="1ED137F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997" w:type="dxa"/>
            <w:tcBorders>
              <w:top w:val="single" w:sz="4" w:space="0" w:color="7F7F7F" w:themeColor="text1" w:themeTint="80"/>
              <w:bottom w:val="single" w:sz="4" w:space="0" w:color="7F7F7F" w:themeColor="text1" w:themeTint="80"/>
            </w:tcBorders>
            <w:vAlign w:val="center"/>
          </w:tcPr>
          <w:p w14:paraId="5B5DE230"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m:oMathPara>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H</m:t>
                    </m:r>
                  </m:e>
                  <m:sub>
                    <m:r>
                      <w:rPr>
                        <w:rFonts w:ascii="Cambria Math" w:hAnsi="Cambria Math" w:cs="Times New Roman"/>
                        <w:color w:val="000000" w:themeColor="text1"/>
                        <w:sz w:val="18"/>
                        <w:szCs w:val="18"/>
                      </w:rPr>
                      <m:t>3</m:t>
                    </m:r>
                  </m:sub>
                </m:sSub>
              </m:oMath>
            </m:oMathPara>
          </w:p>
        </w:tc>
        <w:tc>
          <w:tcPr>
            <w:tcW w:w="882" w:type="dxa"/>
            <w:tcBorders>
              <w:top w:val="single" w:sz="4" w:space="0" w:color="7F7F7F" w:themeColor="text1" w:themeTint="80"/>
              <w:bottom w:val="single" w:sz="4" w:space="0" w:color="7F7F7F" w:themeColor="text1" w:themeTint="80"/>
            </w:tcBorders>
            <w:vAlign w:val="center"/>
          </w:tcPr>
          <w:p w14:paraId="3BBB4040"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35</w:t>
            </w:r>
          </w:p>
        </w:tc>
        <w:tc>
          <w:tcPr>
            <w:tcW w:w="252" w:type="dxa"/>
          </w:tcPr>
          <w:p w14:paraId="199CB7E9"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874" w:type="dxa"/>
            <w:tcBorders>
              <w:top w:val="single" w:sz="4" w:space="0" w:color="7F7F7F" w:themeColor="text1" w:themeTint="80"/>
              <w:bottom w:val="single" w:sz="4" w:space="0" w:color="7F7F7F" w:themeColor="text1" w:themeTint="80"/>
            </w:tcBorders>
          </w:tcPr>
          <w:p w14:paraId="2C482543"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25</w:t>
            </w:r>
          </w:p>
          <w:p w14:paraId="66CA36FB"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(71.4%)</w:t>
            </w:r>
          </w:p>
        </w:tc>
        <w:tc>
          <w:tcPr>
            <w:tcW w:w="874" w:type="dxa"/>
            <w:tcBorders>
              <w:top w:val="single" w:sz="4" w:space="0" w:color="7F7F7F" w:themeColor="text1" w:themeTint="80"/>
              <w:bottom w:val="single" w:sz="4" w:space="0" w:color="7F7F7F" w:themeColor="text1" w:themeTint="80"/>
            </w:tcBorders>
          </w:tcPr>
          <w:p w14:paraId="76AC2B80"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hint="eastAsia"/>
                <w:color w:val="000000" w:themeColor="text1"/>
                <w:sz w:val="18"/>
                <w:szCs w:val="18"/>
              </w:rPr>
              <w:t>0</w:t>
            </w:r>
          </w:p>
          <w:p w14:paraId="460DB20E"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(0.0%)</w:t>
            </w:r>
          </w:p>
        </w:tc>
        <w:tc>
          <w:tcPr>
            <w:tcW w:w="874" w:type="dxa"/>
            <w:tcBorders>
              <w:top w:val="single" w:sz="4" w:space="0" w:color="7F7F7F" w:themeColor="text1" w:themeTint="80"/>
              <w:bottom w:val="single" w:sz="4" w:space="0" w:color="7F7F7F" w:themeColor="text1" w:themeTint="80"/>
            </w:tcBorders>
          </w:tcPr>
          <w:p w14:paraId="167493F0"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hint="eastAsia"/>
                <w:color w:val="000000" w:themeColor="text1"/>
                <w:sz w:val="18"/>
                <w:szCs w:val="18"/>
              </w:rPr>
              <w:t>0</w:t>
            </w:r>
          </w:p>
          <w:p w14:paraId="115C114B"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(0.0%)</w:t>
            </w:r>
          </w:p>
        </w:tc>
        <w:tc>
          <w:tcPr>
            <w:tcW w:w="874" w:type="dxa"/>
            <w:tcBorders>
              <w:top w:val="single" w:sz="4" w:space="0" w:color="7F7F7F" w:themeColor="text1" w:themeTint="80"/>
              <w:bottom w:val="single" w:sz="4" w:space="0" w:color="7F7F7F" w:themeColor="text1" w:themeTint="80"/>
            </w:tcBorders>
          </w:tcPr>
          <w:p w14:paraId="1410191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0</w:t>
            </w:r>
          </w:p>
          <w:p w14:paraId="489EDBE6"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(0.0%)</w:t>
            </w:r>
          </w:p>
        </w:tc>
        <w:tc>
          <w:tcPr>
            <w:tcW w:w="874" w:type="dxa"/>
            <w:tcBorders>
              <w:top w:val="single" w:sz="4" w:space="0" w:color="7F7F7F" w:themeColor="text1" w:themeTint="80"/>
              <w:bottom w:val="single" w:sz="4" w:space="0" w:color="7F7F7F" w:themeColor="text1" w:themeTint="80"/>
            </w:tcBorders>
          </w:tcPr>
          <w:p w14:paraId="1166D2E9"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7</w:t>
            </w:r>
          </w:p>
          <w:p w14:paraId="30B5EBA5"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(20.0%)</w:t>
            </w:r>
          </w:p>
        </w:tc>
        <w:tc>
          <w:tcPr>
            <w:tcW w:w="875" w:type="dxa"/>
            <w:tcBorders>
              <w:top w:val="single" w:sz="4" w:space="0" w:color="7F7F7F" w:themeColor="text1" w:themeTint="80"/>
              <w:bottom w:val="single" w:sz="4" w:space="0" w:color="7F7F7F" w:themeColor="text1" w:themeTint="80"/>
            </w:tcBorders>
          </w:tcPr>
          <w:p w14:paraId="4E1DD8DB"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3</w:t>
            </w:r>
          </w:p>
          <w:p w14:paraId="6A152113"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(8.6%)</w:t>
            </w:r>
          </w:p>
        </w:tc>
        <w:tc>
          <w:tcPr>
            <w:tcW w:w="284" w:type="dxa"/>
          </w:tcPr>
          <w:p w14:paraId="47A2B5BC"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1063" w:type="dxa"/>
            <w:tcBorders>
              <w:top w:val="single" w:sz="4" w:space="0" w:color="7F7F7F" w:themeColor="text1" w:themeTint="80"/>
              <w:bottom w:val="single" w:sz="4" w:space="0" w:color="7F7F7F" w:themeColor="text1" w:themeTint="80"/>
            </w:tcBorders>
          </w:tcPr>
          <w:p w14:paraId="4822D359"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6</w:t>
            </w:r>
            <w:r w:rsidRPr="008C1777">
              <w:rPr>
                <w:rFonts w:ascii="Arial" w:hAnsi="Arial" w:cs="Times New Roman"/>
                <w:color w:val="000000" w:themeColor="text1"/>
                <w:sz w:val="18"/>
                <w:szCs w:val="20"/>
              </w:rPr>
              <w:t>2.92</w:t>
            </w:r>
          </w:p>
          <w:p w14:paraId="7B12E64E"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±12.01</w:t>
            </w:r>
          </w:p>
        </w:tc>
        <w:tc>
          <w:tcPr>
            <w:tcW w:w="1063" w:type="dxa"/>
            <w:tcBorders>
              <w:top w:val="single" w:sz="4" w:space="0" w:color="7F7F7F" w:themeColor="text1" w:themeTint="80"/>
              <w:bottom w:val="single" w:sz="4" w:space="0" w:color="7F7F7F" w:themeColor="text1" w:themeTint="80"/>
            </w:tcBorders>
          </w:tcPr>
          <w:p w14:paraId="1F1A2A89"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24.25</w:t>
            </w:r>
          </w:p>
          <w:p w14:paraId="49DE8856"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±2.96</w:t>
            </w:r>
          </w:p>
        </w:tc>
        <w:tc>
          <w:tcPr>
            <w:tcW w:w="283" w:type="dxa"/>
          </w:tcPr>
          <w:p w14:paraId="7921186A"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945" w:type="dxa"/>
            <w:tcBorders>
              <w:top w:val="single" w:sz="4" w:space="0" w:color="7F7F7F" w:themeColor="text1" w:themeTint="80"/>
              <w:bottom w:val="single" w:sz="4" w:space="0" w:color="7F7F7F" w:themeColor="text1" w:themeTint="80"/>
            </w:tcBorders>
          </w:tcPr>
          <w:p w14:paraId="05B29E29"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5</w:t>
            </w:r>
          </w:p>
          <w:p w14:paraId="306A43EB"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w:t>
            </w:r>
            <w:r w:rsidRPr="008C1777">
              <w:rPr>
                <w:rFonts w:ascii="Arial" w:hAnsi="Arial" w:cs="Times New Roman"/>
                <w:color w:val="000000" w:themeColor="text1"/>
                <w:sz w:val="18"/>
                <w:szCs w:val="20"/>
              </w:rPr>
              <w:t>3, 6)</w:t>
            </w:r>
          </w:p>
        </w:tc>
        <w:tc>
          <w:tcPr>
            <w:tcW w:w="771" w:type="dxa"/>
            <w:tcBorders>
              <w:top w:val="single" w:sz="4" w:space="0" w:color="7F7F7F" w:themeColor="text1" w:themeTint="80"/>
              <w:bottom w:val="single" w:sz="4" w:space="0" w:color="7F7F7F" w:themeColor="text1" w:themeTint="80"/>
            </w:tcBorders>
          </w:tcPr>
          <w:p w14:paraId="77BC4A9C"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5</w:t>
            </w:r>
          </w:p>
          <w:p w14:paraId="0D874460"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w:t>
            </w:r>
            <w:r w:rsidRPr="008C1777">
              <w:rPr>
                <w:rFonts w:ascii="Arial" w:hAnsi="Arial" w:cs="Times New Roman"/>
                <w:color w:val="000000" w:themeColor="text1"/>
                <w:sz w:val="18"/>
                <w:szCs w:val="20"/>
              </w:rPr>
              <w:t>2.3,6)</w:t>
            </w:r>
          </w:p>
        </w:tc>
        <w:tc>
          <w:tcPr>
            <w:tcW w:w="1119" w:type="dxa"/>
            <w:gridSpan w:val="2"/>
            <w:tcBorders>
              <w:top w:val="single" w:sz="4" w:space="0" w:color="7F7F7F" w:themeColor="text1" w:themeTint="80"/>
              <w:bottom w:val="single" w:sz="4" w:space="0" w:color="7F7F7F" w:themeColor="text1" w:themeTint="80"/>
            </w:tcBorders>
          </w:tcPr>
          <w:p w14:paraId="1956DA8A"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3</w:t>
            </w:r>
          </w:p>
          <w:p w14:paraId="340A946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w:t>
            </w:r>
            <w:r w:rsidRPr="008C1777">
              <w:rPr>
                <w:rFonts w:ascii="Arial" w:hAnsi="Arial" w:cs="Times New Roman"/>
                <w:color w:val="000000" w:themeColor="text1"/>
                <w:sz w:val="18"/>
                <w:szCs w:val="20"/>
              </w:rPr>
              <w:t>0, 5)</w:t>
            </w:r>
          </w:p>
        </w:tc>
      </w:tr>
      <w:tr w:rsidR="006809BE" w:rsidRPr="008C1777" w14:paraId="5E7911BB" w14:textId="77777777" w:rsidTr="00187EB1">
        <w:tc>
          <w:tcPr>
            <w:tcW w:w="1271" w:type="dxa"/>
            <w:vMerge/>
          </w:tcPr>
          <w:p w14:paraId="6B872B27"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997" w:type="dxa"/>
            <w:tcBorders>
              <w:top w:val="single" w:sz="4" w:space="0" w:color="7F7F7F" w:themeColor="text1" w:themeTint="80"/>
              <w:bottom w:val="single" w:sz="4" w:space="0" w:color="7F7F7F" w:themeColor="text1" w:themeTint="80"/>
            </w:tcBorders>
            <w:vAlign w:val="center"/>
          </w:tcPr>
          <w:p w14:paraId="3B8F6FE1"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m:oMathPara>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H</m:t>
                    </m:r>
                  </m:e>
                  <m:sub>
                    <m:r>
                      <w:rPr>
                        <w:rFonts w:ascii="Cambria Math" w:hAnsi="Cambria Math" w:cs="Times New Roman"/>
                        <w:color w:val="000000" w:themeColor="text1"/>
                        <w:sz w:val="18"/>
                        <w:szCs w:val="18"/>
                      </w:rPr>
                      <m:t>4</m:t>
                    </m:r>
                  </m:sub>
                </m:sSub>
              </m:oMath>
            </m:oMathPara>
          </w:p>
        </w:tc>
        <w:tc>
          <w:tcPr>
            <w:tcW w:w="882" w:type="dxa"/>
            <w:tcBorders>
              <w:top w:val="single" w:sz="4" w:space="0" w:color="7F7F7F" w:themeColor="text1" w:themeTint="80"/>
              <w:bottom w:val="single" w:sz="4" w:space="0" w:color="7F7F7F" w:themeColor="text1" w:themeTint="80"/>
            </w:tcBorders>
            <w:vAlign w:val="center"/>
          </w:tcPr>
          <w:p w14:paraId="08C3D632"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38</w:t>
            </w:r>
          </w:p>
        </w:tc>
        <w:tc>
          <w:tcPr>
            <w:tcW w:w="252" w:type="dxa"/>
          </w:tcPr>
          <w:p w14:paraId="5BFCEC4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874" w:type="dxa"/>
            <w:tcBorders>
              <w:top w:val="single" w:sz="4" w:space="0" w:color="7F7F7F" w:themeColor="text1" w:themeTint="80"/>
              <w:bottom w:val="single" w:sz="4" w:space="0" w:color="7F7F7F" w:themeColor="text1" w:themeTint="80"/>
            </w:tcBorders>
          </w:tcPr>
          <w:p w14:paraId="1100DE13"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6</w:t>
            </w:r>
          </w:p>
          <w:p w14:paraId="69542B8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(15.8%)</w:t>
            </w:r>
          </w:p>
        </w:tc>
        <w:tc>
          <w:tcPr>
            <w:tcW w:w="874" w:type="dxa"/>
            <w:tcBorders>
              <w:top w:val="single" w:sz="4" w:space="0" w:color="7F7F7F" w:themeColor="text1" w:themeTint="80"/>
              <w:bottom w:val="single" w:sz="4" w:space="0" w:color="7F7F7F" w:themeColor="text1" w:themeTint="80"/>
            </w:tcBorders>
          </w:tcPr>
          <w:p w14:paraId="5D17F0A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hint="eastAsia"/>
                <w:color w:val="000000" w:themeColor="text1"/>
                <w:sz w:val="18"/>
                <w:szCs w:val="18"/>
              </w:rPr>
              <w:t>0</w:t>
            </w:r>
          </w:p>
          <w:p w14:paraId="7A7913FB"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(0.0%)</w:t>
            </w:r>
          </w:p>
        </w:tc>
        <w:tc>
          <w:tcPr>
            <w:tcW w:w="874" w:type="dxa"/>
            <w:tcBorders>
              <w:top w:val="single" w:sz="4" w:space="0" w:color="7F7F7F" w:themeColor="text1" w:themeTint="80"/>
              <w:bottom w:val="single" w:sz="4" w:space="0" w:color="7F7F7F" w:themeColor="text1" w:themeTint="80"/>
            </w:tcBorders>
          </w:tcPr>
          <w:p w14:paraId="12007D0C"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hint="eastAsia"/>
                <w:color w:val="000000" w:themeColor="text1"/>
                <w:sz w:val="18"/>
                <w:szCs w:val="18"/>
              </w:rPr>
              <w:t>8</w:t>
            </w:r>
          </w:p>
          <w:p w14:paraId="37C9E863"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(21.1%)</w:t>
            </w:r>
          </w:p>
        </w:tc>
        <w:tc>
          <w:tcPr>
            <w:tcW w:w="874" w:type="dxa"/>
            <w:tcBorders>
              <w:top w:val="single" w:sz="4" w:space="0" w:color="7F7F7F" w:themeColor="text1" w:themeTint="80"/>
              <w:bottom w:val="single" w:sz="4" w:space="0" w:color="7F7F7F" w:themeColor="text1" w:themeTint="80"/>
            </w:tcBorders>
          </w:tcPr>
          <w:p w14:paraId="57E4EC30"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2</w:t>
            </w:r>
          </w:p>
          <w:p w14:paraId="0445DF8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(5.3%)</w:t>
            </w:r>
          </w:p>
        </w:tc>
        <w:tc>
          <w:tcPr>
            <w:tcW w:w="874" w:type="dxa"/>
            <w:tcBorders>
              <w:top w:val="single" w:sz="4" w:space="0" w:color="7F7F7F" w:themeColor="text1" w:themeTint="80"/>
              <w:bottom w:val="single" w:sz="4" w:space="0" w:color="7F7F7F" w:themeColor="text1" w:themeTint="80"/>
            </w:tcBorders>
          </w:tcPr>
          <w:p w14:paraId="079E1691"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6</w:t>
            </w:r>
          </w:p>
          <w:p w14:paraId="56D47332"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(15.8%)</w:t>
            </w:r>
          </w:p>
        </w:tc>
        <w:tc>
          <w:tcPr>
            <w:tcW w:w="875" w:type="dxa"/>
            <w:tcBorders>
              <w:top w:val="single" w:sz="4" w:space="0" w:color="7F7F7F" w:themeColor="text1" w:themeTint="80"/>
              <w:bottom w:val="single" w:sz="4" w:space="0" w:color="7F7F7F" w:themeColor="text1" w:themeTint="80"/>
            </w:tcBorders>
          </w:tcPr>
          <w:p w14:paraId="2F5419A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16</w:t>
            </w:r>
          </w:p>
          <w:p w14:paraId="486A2438"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(42.1%)</w:t>
            </w:r>
          </w:p>
        </w:tc>
        <w:tc>
          <w:tcPr>
            <w:tcW w:w="284" w:type="dxa"/>
          </w:tcPr>
          <w:p w14:paraId="2AFC436C"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1063" w:type="dxa"/>
            <w:tcBorders>
              <w:top w:val="single" w:sz="4" w:space="0" w:color="7F7F7F" w:themeColor="text1" w:themeTint="80"/>
              <w:bottom w:val="single" w:sz="4" w:space="0" w:color="7F7F7F" w:themeColor="text1" w:themeTint="80"/>
            </w:tcBorders>
          </w:tcPr>
          <w:p w14:paraId="2AB3603A"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6</w:t>
            </w:r>
            <w:r w:rsidRPr="008C1777">
              <w:rPr>
                <w:rFonts w:ascii="Arial" w:hAnsi="Arial" w:cs="Times New Roman"/>
                <w:color w:val="000000" w:themeColor="text1"/>
                <w:sz w:val="18"/>
                <w:szCs w:val="20"/>
              </w:rPr>
              <w:t>8.00</w:t>
            </w:r>
          </w:p>
          <w:p w14:paraId="3E7F4A51"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±6.44</w:t>
            </w:r>
          </w:p>
        </w:tc>
        <w:tc>
          <w:tcPr>
            <w:tcW w:w="1063" w:type="dxa"/>
            <w:tcBorders>
              <w:top w:val="single" w:sz="4" w:space="0" w:color="7F7F7F" w:themeColor="text1" w:themeTint="80"/>
              <w:bottom w:val="single" w:sz="4" w:space="0" w:color="7F7F7F" w:themeColor="text1" w:themeTint="80"/>
            </w:tcBorders>
          </w:tcPr>
          <w:p w14:paraId="3452D693"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2</w:t>
            </w:r>
            <w:r w:rsidRPr="008C1777">
              <w:rPr>
                <w:rFonts w:ascii="Arial" w:hAnsi="Arial" w:cs="Times New Roman"/>
                <w:color w:val="000000" w:themeColor="text1"/>
                <w:sz w:val="18"/>
                <w:szCs w:val="20"/>
              </w:rPr>
              <w:t>4.78</w:t>
            </w:r>
          </w:p>
          <w:p w14:paraId="68FE9460"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±3.38</w:t>
            </w:r>
          </w:p>
        </w:tc>
        <w:tc>
          <w:tcPr>
            <w:tcW w:w="283" w:type="dxa"/>
          </w:tcPr>
          <w:p w14:paraId="098F11F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945" w:type="dxa"/>
            <w:tcBorders>
              <w:top w:val="single" w:sz="4" w:space="0" w:color="7F7F7F" w:themeColor="text1" w:themeTint="80"/>
              <w:bottom w:val="single" w:sz="4" w:space="0" w:color="7F7F7F" w:themeColor="text1" w:themeTint="80"/>
            </w:tcBorders>
          </w:tcPr>
          <w:p w14:paraId="50B06068"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4</w:t>
            </w:r>
          </w:p>
          <w:p w14:paraId="196F5A6A"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w:t>
            </w:r>
            <w:r w:rsidRPr="008C1777">
              <w:rPr>
                <w:rFonts w:ascii="Arial" w:hAnsi="Arial" w:cs="Times New Roman"/>
                <w:color w:val="000000" w:themeColor="text1"/>
                <w:sz w:val="18"/>
                <w:szCs w:val="20"/>
              </w:rPr>
              <w:t>2,6)</w:t>
            </w:r>
          </w:p>
        </w:tc>
        <w:tc>
          <w:tcPr>
            <w:tcW w:w="771" w:type="dxa"/>
            <w:tcBorders>
              <w:top w:val="single" w:sz="4" w:space="0" w:color="7F7F7F" w:themeColor="text1" w:themeTint="80"/>
              <w:bottom w:val="single" w:sz="4" w:space="0" w:color="7F7F7F" w:themeColor="text1" w:themeTint="80"/>
            </w:tcBorders>
          </w:tcPr>
          <w:p w14:paraId="5FEC45C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3</w:t>
            </w:r>
          </w:p>
          <w:p w14:paraId="063F03F9"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w:t>
            </w:r>
            <w:r w:rsidRPr="008C1777">
              <w:rPr>
                <w:rFonts w:ascii="Arial" w:hAnsi="Arial" w:cs="Times New Roman"/>
                <w:color w:val="000000" w:themeColor="text1"/>
                <w:sz w:val="18"/>
                <w:szCs w:val="20"/>
              </w:rPr>
              <w:t>0,5.5)</w:t>
            </w:r>
          </w:p>
        </w:tc>
        <w:tc>
          <w:tcPr>
            <w:tcW w:w="1119" w:type="dxa"/>
            <w:gridSpan w:val="2"/>
            <w:tcBorders>
              <w:top w:val="single" w:sz="4" w:space="0" w:color="7F7F7F" w:themeColor="text1" w:themeTint="80"/>
              <w:bottom w:val="single" w:sz="4" w:space="0" w:color="7F7F7F" w:themeColor="text1" w:themeTint="80"/>
            </w:tcBorders>
          </w:tcPr>
          <w:p w14:paraId="3A881EE8"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w:t>
            </w:r>
            <w:r w:rsidRPr="008C1777">
              <w:rPr>
                <w:rFonts w:ascii="Arial" w:hAnsi="Arial" w:cs="Times New Roman"/>
                <w:color w:val="000000" w:themeColor="text1"/>
                <w:sz w:val="18"/>
                <w:szCs w:val="20"/>
              </w:rPr>
              <w:t>1</w:t>
            </w:r>
          </w:p>
          <w:p w14:paraId="13166DA5"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w:t>
            </w:r>
            <w:r w:rsidRPr="008C1777">
              <w:rPr>
                <w:rFonts w:ascii="Arial" w:hAnsi="Arial" w:cs="Times New Roman"/>
                <w:color w:val="000000" w:themeColor="text1"/>
                <w:sz w:val="18"/>
                <w:szCs w:val="20"/>
              </w:rPr>
              <w:t>-2,0.5)</w:t>
            </w:r>
          </w:p>
        </w:tc>
      </w:tr>
      <w:tr w:rsidR="006809BE" w:rsidRPr="008C1777" w14:paraId="0DCB369F" w14:textId="77777777" w:rsidTr="00187EB1">
        <w:tc>
          <w:tcPr>
            <w:tcW w:w="1271" w:type="dxa"/>
            <w:vMerge/>
            <w:tcBorders>
              <w:bottom w:val="single" w:sz="4" w:space="0" w:color="7F7F7F" w:themeColor="text1" w:themeTint="80"/>
            </w:tcBorders>
          </w:tcPr>
          <w:p w14:paraId="65AA1503"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997" w:type="dxa"/>
            <w:tcBorders>
              <w:top w:val="single" w:sz="4" w:space="0" w:color="7F7F7F" w:themeColor="text1" w:themeTint="80"/>
              <w:bottom w:val="single" w:sz="4" w:space="0" w:color="7F7F7F" w:themeColor="text1" w:themeTint="80"/>
            </w:tcBorders>
            <w:vAlign w:val="center"/>
          </w:tcPr>
          <w:p w14:paraId="48F50B60"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Total</w:t>
            </w:r>
          </w:p>
        </w:tc>
        <w:tc>
          <w:tcPr>
            <w:tcW w:w="882" w:type="dxa"/>
            <w:tcBorders>
              <w:top w:val="single" w:sz="4" w:space="0" w:color="7F7F7F" w:themeColor="text1" w:themeTint="80"/>
              <w:bottom w:val="single" w:sz="4" w:space="0" w:color="7F7F7F" w:themeColor="text1" w:themeTint="80"/>
            </w:tcBorders>
            <w:vAlign w:val="center"/>
          </w:tcPr>
          <w:p w14:paraId="7BC2424E"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212</w:t>
            </w:r>
          </w:p>
        </w:tc>
        <w:tc>
          <w:tcPr>
            <w:tcW w:w="252" w:type="dxa"/>
            <w:tcBorders>
              <w:bottom w:val="single" w:sz="4" w:space="0" w:color="7F7F7F" w:themeColor="text1" w:themeTint="80"/>
            </w:tcBorders>
          </w:tcPr>
          <w:p w14:paraId="6676A1C5"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874" w:type="dxa"/>
            <w:tcBorders>
              <w:top w:val="single" w:sz="4" w:space="0" w:color="7F7F7F" w:themeColor="text1" w:themeTint="80"/>
              <w:bottom w:val="single" w:sz="4" w:space="0" w:color="7F7F7F" w:themeColor="text1" w:themeTint="80"/>
            </w:tcBorders>
          </w:tcPr>
          <w:p w14:paraId="7028F115"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hint="eastAsia"/>
                <w:color w:val="000000" w:themeColor="text1"/>
                <w:sz w:val="18"/>
                <w:szCs w:val="18"/>
              </w:rPr>
              <w:t>3</w:t>
            </w:r>
            <w:r w:rsidRPr="008C1777">
              <w:rPr>
                <w:rFonts w:ascii="Arial" w:hAnsi="Arial" w:cs="Times New Roman"/>
                <w:color w:val="000000" w:themeColor="text1"/>
                <w:sz w:val="18"/>
                <w:szCs w:val="18"/>
              </w:rPr>
              <w:t>8</w:t>
            </w:r>
          </w:p>
          <w:p w14:paraId="6DB5AFC2"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(17.9%)</w:t>
            </w:r>
          </w:p>
        </w:tc>
        <w:tc>
          <w:tcPr>
            <w:tcW w:w="874" w:type="dxa"/>
            <w:tcBorders>
              <w:top w:val="single" w:sz="4" w:space="0" w:color="7F7F7F" w:themeColor="text1" w:themeTint="80"/>
              <w:bottom w:val="single" w:sz="4" w:space="0" w:color="7F7F7F" w:themeColor="text1" w:themeTint="80"/>
            </w:tcBorders>
          </w:tcPr>
          <w:p w14:paraId="6E248C80"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hint="eastAsia"/>
                <w:color w:val="000000" w:themeColor="text1"/>
                <w:sz w:val="18"/>
                <w:szCs w:val="18"/>
              </w:rPr>
              <w:t>0</w:t>
            </w:r>
          </w:p>
          <w:p w14:paraId="0B2F016A"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(0.0%)</w:t>
            </w:r>
          </w:p>
        </w:tc>
        <w:tc>
          <w:tcPr>
            <w:tcW w:w="874" w:type="dxa"/>
            <w:tcBorders>
              <w:top w:val="single" w:sz="4" w:space="0" w:color="7F7F7F" w:themeColor="text1" w:themeTint="80"/>
              <w:bottom w:val="single" w:sz="4" w:space="0" w:color="7F7F7F" w:themeColor="text1" w:themeTint="80"/>
            </w:tcBorders>
          </w:tcPr>
          <w:p w14:paraId="2555FD2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hint="eastAsia"/>
                <w:color w:val="000000" w:themeColor="text1"/>
                <w:sz w:val="18"/>
                <w:szCs w:val="18"/>
              </w:rPr>
              <w:t>1</w:t>
            </w:r>
            <w:r w:rsidRPr="008C1777">
              <w:rPr>
                <w:rFonts w:ascii="Arial" w:hAnsi="Arial" w:cs="Times New Roman"/>
                <w:color w:val="000000" w:themeColor="text1"/>
                <w:sz w:val="18"/>
                <w:szCs w:val="18"/>
              </w:rPr>
              <w:t>1</w:t>
            </w:r>
          </w:p>
          <w:p w14:paraId="6EDE6DA1"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(5.2%)</w:t>
            </w:r>
          </w:p>
        </w:tc>
        <w:tc>
          <w:tcPr>
            <w:tcW w:w="874" w:type="dxa"/>
            <w:tcBorders>
              <w:top w:val="single" w:sz="4" w:space="0" w:color="7F7F7F" w:themeColor="text1" w:themeTint="80"/>
              <w:bottom w:val="single" w:sz="4" w:space="0" w:color="7F7F7F" w:themeColor="text1" w:themeTint="80"/>
            </w:tcBorders>
          </w:tcPr>
          <w:p w14:paraId="6620A1D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64</w:t>
            </w:r>
          </w:p>
          <w:p w14:paraId="0CEE762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(30.2%)</w:t>
            </w:r>
          </w:p>
        </w:tc>
        <w:tc>
          <w:tcPr>
            <w:tcW w:w="874" w:type="dxa"/>
            <w:tcBorders>
              <w:top w:val="single" w:sz="4" w:space="0" w:color="7F7F7F" w:themeColor="text1" w:themeTint="80"/>
              <w:bottom w:val="single" w:sz="4" w:space="0" w:color="7F7F7F" w:themeColor="text1" w:themeTint="80"/>
            </w:tcBorders>
          </w:tcPr>
          <w:p w14:paraId="33385C7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14</w:t>
            </w:r>
          </w:p>
          <w:p w14:paraId="1440ED79"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(6.6%)</w:t>
            </w:r>
          </w:p>
        </w:tc>
        <w:tc>
          <w:tcPr>
            <w:tcW w:w="875" w:type="dxa"/>
            <w:tcBorders>
              <w:top w:val="single" w:sz="4" w:space="0" w:color="7F7F7F" w:themeColor="text1" w:themeTint="80"/>
              <w:bottom w:val="single" w:sz="4" w:space="0" w:color="7F7F7F" w:themeColor="text1" w:themeTint="80"/>
            </w:tcBorders>
          </w:tcPr>
          <w:p w14:paraId="19E2E811"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85</w:t>
            </w:r>
          </w:p>
          <w:p w14:paraId="30ED94F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(40.1%)</w:t>
            </w:r>
          </w:p>
        </w:tc>
        <w:tc>
          <w:tcPr>
            <w:tcW w:w="284" w:type="dxa"/>
            <w:tcBorders>
              <w:bottom w:val="single" w:sz="4" w:space="0" w:color="7F7F7F" w:themeColor="text1" w:themeTint="80"/>
            </w:tcBorders>
          </w:tcPr>
          <w:p w14:paraId="25798C52"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1063" w:type="dxa"/>
            <w:tcBorders>
              <w:top w:val="single" w:sz="4" w:space="0" w:color="7F7F7F" w:themeColor="text1" w:themeTint="80"/>
              <w:bottom w:val="single" w:sz="4" w:space="0" w:color="7F7F7F" w:themeColor="text1" w:themeTint="80"/>
            </w:tcBorders>
          </w:tcPr>
          <w:p w14:paraId="4308FA88"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65.48</w:t>
            </w:r>
          </w:p>
          <w:p w14:paraId="4A801DF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±10.05</w:t>
            </w:r>
          </w:p>
        </w:tc>
        <w:tc>
          <w:tcPr>
            <w:tcW w:w="1063" w:type="dxa"/>
            <w:tcBorders>
              <w:top w:val="single" w:sz="4" w:space="0" w:color="7F7F7F" w:themeColor="text1" w:themeTint="80"/>
              <w:bottom w:val="single" w:sz="4" w:space="0" w:color="7F7F7F" w:themeColor="text1" w:themeTint="80"/>
            </w:tcBorders>
          </w:tcPr>
          <w:p w14:paraId="3009FEB8"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24.75</w:t>
            </w:r>
          </w:p>
          <w:p w14:paraId="0A7DB3F6"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±3.35</w:t>
            </w:r>
          </w:p>
        </w:tc>
        <w:tc>
          <w:tcPr>
            <w:tcW w:w="283" w:type="dxa"/>
            <w:tcBorders>
              <w:bottom w:val="single" w:sz="4" w:space="0" w:color="7F7F7F" w:themeColor="text1" w:themeTint="80"/>
            </w:tcBorders>
          </w:tcPr>
          <w:p w14:paraId="136D930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945" w:type="dxa"/>
            <w:tcBorders>
              <w:top w:val="single" w:sz="4" w:space="0" w:color="7F7F7F" w:themeColor="text1" w:themeTint="80"/>
              <w:bottom w:val="single" w:sz="4" w:space="0" w:color="7F7F7F" w:themeColor="text1" w:themeTint="80"/>
            </w:tcBorders>
          </w:tcPr>
          <w:p w14:paraId="6DAF136A"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 xml:space="preserve">4 </w:t>
            </w:r>
          </w:p>
          <w:p w14:paraId="7088C476"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(2, 6)</w:t>
            </w:r>
          </w:p>
        </w:tc>
        <w:tc>
          <w:tcPr>
            <w:tcW w:w="771" w:type="dxa"/>
            <w:tcBorders>
              <w:top w:val="single" w:sz="4" w:space="0" w:color="7F7F7F" w:themeColor="text1" w:themeTint="80"/>
              <w:bottom w:val="single" w:sz="4" w:space="0" w:color="7F7F7F" w:themeColor="text1" w:themeTint="80"/>
            </w:tcBorders>
          </w:tcPr>
          <w:p w14:paraId="49E5E5EB"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 xml:space="preserve">3 </w:t>
            </w:r>
          </w:p>
          <w:p w14:paraId="13B23660"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(0, 6)</w:t>
            </w:r>
          </w:p>
        </w:tc>
        <w:tc>
          <w:tcPr>
            <w:tcW w:w="1119" w:type="dxa"/>
            <w:gridSpan w:val="2"/>
            <w:tcBorders>
              <w:top w:val="single" w:sz="4" w:space="0" w:color="7F7F7F" w:themeColor="text1" w:themeTint="80"/>
              <w:bottom w:val="single" w:sz="4" w:space="0" w:color="7F7F7F" w:themeColor="text1" w:themeTint="80"/>
            </w:tcBorders>
          </w:tcPr>
          <w:p w14:paraId="36DCB7B9"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 xml:space="preserve">-1 </w:t>
            </w:r>
          </w:p>
          <w:p w14:paraId="4C810C8C"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(-2, 2)</w:t>
            </w:r>
          </w:p>
        </w:tc>
      </w:tr>
      <w:tr w:rsidR="006809BE" w:rsidRPr="008C1777" w14:paraId="513D1346" w14:textId="77777777" w:rsidTr="00187EB1">
        <w:tc>
          <w:tcPr>
            <w:tcW w:w="1271" w:type="dxa"/>
            <w:vMerge w:val="restart"/>
            <w:tcBorders>
              <w:top w:val="single" w:sz="4" w:space="0" w:color="7F7F7F" w:themeColor="text1" w:themeTint="80"/>
              <w:bottom w:val="single" w:sz="4" w:space="0" w:color="7F7F7F" w:themeColor="text1" w:themeTint="80"/>
            </w:tcBorders>
            <w:vAlign w:val="center"/>
          </w:tcPr>
          <w:p w14:paraId="47FB2A7B" w14:textId="77777777" w:rsidR="006809BE" w:rsidRPr="008C1777" w:rsidRDefault="006809BE" w:rsidP="00187EB1">
            <w:pPr>
              <w:autoSpaceDE w:val="0"/>
              <w:autoSpaceDN w:val="0"/>
              <w:adjustRightInd w:val="0"/>
              <w:jc w:val="center"/>
              <w:rPr>
                <w:rFonts w:ascii="Arial" w:eastAsia="DengXian" w:hAnsi="Arial" w:cs="Times New Roman"/>
                <w:b/>
                <w:bCs/>
                <w:color w:val="000000" w:themeColor="text1"/>
                <w:sz w:val="18"/>
                <w:szCs w:val="18"/>
              </w:rPr>
            </w:pPr>
            <m:oMathPara>
              <m:oMath>
                <m:sSub>
                  <m:sSubPr>
                    <m:ctrlPr>
                      <w:rPr>
                        <w:rFonts w:ascii="Cambria Math" w:hAnsi="Cambria Math" w:cs="Times New Roman"/>
                        <w:i/>
                        <w:color w:val="000000" w:themeColor="text1"/>
                        <w:sz w:val="18"/>
                        <w:szCs w:val="18"/>
                      </w:rPr>
                    </m:ctrlPr>
                  </m:sSubPr>
                  <m:e>
                    <m:r>
                      <m:rPr>
                        <m:scr m:val="script"/>
                        <m:sty m:val="bi"/>
                      </m:rPr>
                      <w:rPr>
                        <w:rFonts w:ascii="Cambria Math" w:hAnsi="Cambria Math" w:cs="Times New Roman"/>
                        <w:color w:val="000000" w:themeColor="text1"/>
                        <w:sz w:val="18"/>
                        <w:szCs w:val="18"/>
                      </w:rPr>
                      <m:t>D</m:t>
                    </m:r>
                  </m:e>
                  <m:sub>
                    <m:r>
                      <w:rPr>
                        <w:rFonts w:ascii="Cambria Math" w:hAnsi="Cambria Math" w:cs="Times New Roman"/>
                        <w:color w:val="000000" w:themeColor="text1"/>
                        <w:sz w:val="18"/>
                        <w:szCs w:val="18"/>
                      </w:rPr>
                      <m:t>m,v</m:t>
                    </m:r>
                  </m:sub>
                </m:sSub>
              </m:oMath>
            </m:oMathPara>
          </w:p>
          <w:p w14:paraId="09999DC8" w14:textId="77777777" w:rsidR="006809BE" w:rsidRPr="008C1777" w:rsidRDefault="006809BE" w:rsidP="00187EB1">
            <w:pPr>
              <w:autoSpaceDE w:val="0"/>
              <w:autoSpaceDN w:val="0"/>
              <w:adjustRightInd w:val="0"/>
              <w:jc w:val="center"/>
              <w:rPr>
                <w:rFonts w:ascii="Arial" w:hAnsi="Arial" w:cs="Times New Roman"/>
                <w:bCs/>
                <w:color w:val="000000" w:themeColor="text1"/>
                <w:sz w:val="18"/>
                <w:szCs w:val="20"/>
              </w:rPr>
            </w:pPr>
            <w:r w:rsidRPr="008C1777">
              <w:rPr>
                <w:rFonts w:ascii="Arial" w:hAnsi="Arial" w:cs="Times New Roman"/>
                <w:bCs/>
                <w:color w:val="000000" w:themeColor="text1"/>
                <w:sz w:val="15"/>
                <w:szCs w:val="15"/>
              </w:rPr>
              <w:t>2021/1-2022/9</w:t>
            </w:r>
          </w:p>
        </w:tc>
        <w:tc>
          <w:tcPr>
            <w:tcW w:w="997" w:type="dxa"/>
            <w:tcBorders>
              <w:top w:val="single" w:sz="4" w:space="0" w:color="7F7F7F" w:themeColor="text1" w:themeTint="80"/>
              <w:bottom w:val="single" w:sz="4" w:space="0" w:color="7F7F7F" w:themeColor="text1" w:themeTint="80"/>
            </w:tcBorders>
            <w:vAlign w:val="center"/>
          </w:tcPr>
          <w:p w14:paraId="6546C71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m:oMathPara>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H</m:t>
                    </m:r>
                  </m:e>
                  <m:sub>
                    <m:r>
                      <w:rPr>
                        <w:rFonts w:ascii="Cambria Math" w:hAnsi="Cambria Math" w:cs="Times New Roman"/>
                        <w:color w:val="000000" w:themeColor="text1"/>
                        <w:sz w:val="18"/>
                        <w:szCs w:val="18"/>
                      </w:rPr>
                      <m:t>1</m:t>
                    </m:r>
                  </m:sub>
                </m:sSub>
              </m:oMath>
            </m:oMathPara>
          </w:p>
        </w:tc>
        <w:tc>
          <w:tcPr>
            <w:tcW w:w="882" w:type="dxa"/>
            <w:tcBorders>
              <w:top w:val="single" w:sz="4" w:space="0" w:color="7F7F7F" w:themeColor="text1" w:themeTint="80"/>
              <w:bottom w:val="single" w:sz="4" w:space="0" w:color="7F7F7F" w:themeColor="text1" w:themeTint="80"/>
            </w:tcBorders>
            <w:vAlign w:val="center"/>
          </w:tcPr>
          <w:p w14:paraId="67518BFC"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18"/>
              </w:rPr>
              <w:t>4</w:t>
            </w:r>
            <w:r w:rsidRPr="008C1777">
              <w:rPr>
                <w:rFonts w:ascii="Arial" w:hAnsi="Arial" w:cs="Times New Roman"/>
                <w:color w:val="000000" w:themeColor="text1"/>
                <w:sz w:val="18"/>
                <w:szCs w:val="18"/>
              </w:rPr>
              <w:t>7</w:t>
            </w:r>
          </w:p>
        </w:tc>
        <w:tc>
          <w:tcPr>
            <w:tcW w:w="252" w:type="dxa"/>
            <w:tcBorders>
              <w:top w:val="single" w:sz="4" w:space="0" w:color="7F7F7F" w:themeColor="text1" w:themeTint="80"/>
            </w:tcBorders>
          </w:tcPr>
          <w:p w14:paraId="3E74245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874" w:type="dxa"/>
            <w:tcBorders>
              <w:top w:val="single" w:sz="4" w:space="0" w:color="7F7F7F" w:themeColor="text1" w:themeTint="80"/>
              <w:bottom w:val="single" w:sz="4" w:space="0" w:color="7F7F7F" w:themeColor="text1" w:themeTint="80"/>
            </w:tcBorders>
            <w:vAlign w:val="center"/>
          </w:tcPr>
          <w:p w14:paraId="08A285E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7</w:t>
            </w:r>
          </w:p>
          <w:p w14:paraId="5DF8C603"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(14.9%)</w:t>
            </w:r>
          </w:p>
        </w:tc>
        <w:tc>
          <w:tcPr>
            <w:tcW w:w="874" w:type="dxa"/>
            <w:tcBorders>
              <w:top w:val="single" w:sz="4" w:space="0" w:color="7F7F7F" w:themeColor="text1" w:themeTint="80"/>
              <w:bottom w:val="single" w:sz="4" w:space="0" w:color="7F7F7F" w:themeColor="text1" w:themeTint="80"/>
            </w:tcBorders>
            <w:vAlign w:val="center"/>
          </w:tcPr>
          <w:p w14:paraId="2BD15707"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2</w:t>
            </w:r>
          </w:p>
          <w:p w14:paraId="19047DA3"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(4.3%)</w:t>
            </w:r>
          </w:p>
        </w:tc>
        <w:tc>
          <w:tcPr>
            <w:tcW w:w="874" w:type="dxa"/>
            <w:tcBorders>
              <w:top w:val="single" w:sz="4" w:space="0" w:color="7F7F7F" w:themeColor="text1" w:themeTint="80"/>
              <w:bottom w:val="single" w:sz="4" w:space="0" w:color="7F7F7F" w:themeColor="text1" w:themeTint="80"/>
            </w:tcBorders>
            <w:vAlign w:val="center"/>
          </w:tcPr>
          <w:p w14:paraId="5C54A4B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12</w:t>
            </w:r>
          </w:p>
          <w:p w14:paraId="3640CE49"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(25.5%)</w:t>
            </w:r>
          </w:p>
        </w:tc>
        <w:tc>
          <w:tcPr>
            <w:tcW w:w="874" w:type="dxa"/>
            <w:tcBorders>
              <w:top w:val="single" w:sz="4" w:space="0" w:color="7F7F7F" w:themeColor="text1" w:themeTint="80"/>
              <w:bottom w:val="single" w:sz="4" w:space="0" w:color="7F7F7F" w:themeColor="text1" w:themeTint="80"/>
            </w:tcBorders>
            <w:vAlign w:val="center"/>
          </w:tcPr>
          <w:p w14:paraId="6F36A860"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14</w:t>
            </w:r>
          </w:p>
          <w:p w14:paraId="1EE64D42"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(29.8%)</w:t>
            </w:r>
          </w:p>
        </w:tc>
        <w:tc>
          <w:tcPr>
            <w:tcW w:w="874" w:type="dxa"/>
            <w:tcBorders>
              <w:top w:val="single" w:sz="4" w:space="0" w:color="7F7F7F" w:themeColor="text1" w:themeTint="80"/>
              <w:bottom w:val="single" w:sz="4" w:space="0" w:color="7F7F7F" w:themeColor="text1" w:themeTint="80"/>
            </w:tcBorders>
            <w:vAlign w:val="center"/>
          </w:tcPr>
          <w:p w14:paraId="042EA37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4</w:t>
            </w:r>
          </w:p>
          <w:p w14:paraId="0C42A2F8"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(8.5%)</w:t>
            </w:r>
          </w:p>
        </w:tc>
        <w:tc>
          <w:tcPr>
            <w:tcW w:w="875" w:type="dxa"/>
            <w:tcBorders>
              <w:top w:val="single" w:sz="4" w:space="0" w:color="7F7F7F" w:themeColor="text1" w:themeTint="80"/>
              <w:bottom w:val="single" w:sz="4" w:space="0" w:color="7F7F7F" w:themeColor="text1" w:themeTint="80"/>
            </w:tcBorders>
            <w:vAlign w:val="center"/>
          </w:tcPr>
          <w:p w14:paraId="7372AC2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8</w:t>
            </w:r>
          </w:p>
          <w:p w14:paraId="1144415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(17.0%)</w:t>
            </w:r>
          </w:p>
        </w:tc>
        <w:tc>
          <w:tcPr>
            <w:tcW w:w="284" w:type="dxa"/>
            <w:tcBorders>
              <w:top w:val="single" w:sz="4" w:space="0" w:color="7F7F7F" w:themeColor="text1" w:themeTint="80"/>
            </w:tcBorders>
          </w:tcPr>
          <w:p w14:paraId="028C9948"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1063" w:type="dxa"/>
            <w:tcBorders>
              <w:top w:val="single" w:sz="4" w:space="0" w:color="7F7F7F" w:themeColor="text1" w:themeTint="80"/>
              <w:bottom w:val="single" w:sz="4" w:space="0" w:color="7F7F7F" w:themeColor="text1" w:themeTint="80"/>
            </w:tcBorders>
          </w:tcPr>
          <w:p w14:paraId="66E1025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5</w:t>
            </w:r>
            <w:r w:rsidRPr="008C1777">
              <w:rPr>
                <w:rFonts w:ascii="Arial" w:hAnsi="Arial" w:cs="Times New Roman"/>
                <w:color w:val="000000" w:themeColor="text1"/>
                <w:sz w:val="18"/>
                <w:szCs w:val="20"/>
              </w:rPr>
              <w:t>9.40</w:t>
            </w:r>
          </w:p>
          <w:p w14:paraId="6124DE96"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±11.54</w:t>
            </w:r>
          </w:p>
        </w:tc>
        <w:tc>
          <w:tcPr>
            <w:tcW w:w="1063" w:type="dxa"/>
            <w:tcBorders>
              <w:top w:val="single" w:sz="4" w:space="0" w:color="7F7F7F" w:themeColor="text1" w:themeTint="80"/>
              <w:bottom w:val="single" w:sz="4" w:space="0" w:color="7F7F7F" w:themeColor="text1" w:themeTint="80"/>
            </w:tcBorders>
          </w:tcPr>
          <w:p w14:paraId="5E7C1CCC"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2</w:t>
            </w:r>
            <w:r w:rsidRPr="008C1777">
              <w:rPr>
                <w:rFonts w:ascii="Arial" w:hAnsi="Arial" w:cs="Times New Roman"/>
                <w:color w:val="000000" w:themeColor="text1"/>
                <w:sz w:val="18"/>
                <w:szCs w:val="20"/>
              </w:rPr>
              <w:t>4.21</w:t>
            </w:r>
          </w:p>
          <w:p w14:paraId="5A69A50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±2.90</w:t>
            </w:r>
          </w:p>
        </w:tc>
        <w:tc>
          <w:tcPr>
            <w:tcW w:w="283" w:type="dxa"/>
            <w:tcBorders>
              <w:top w:val="single" w:sz="4" w:space="0" w:color="7F7F7F" w:themeColor="text1" w:themeTint="80"/>
            </w:tcBorders>
          </w:tcPr>
          <w:p w14:paraId="21EE2052"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945" w:type="dxa"/>
            <w:tcBorders>
              <w:top w:val="single" w:sz="4" w:space="0" w:color="7F7F7F" w:themeColor="text1" w:themeTint="80"/>
              <w:bottom w:val="single" w:sz="4" w:space="0" w:color="7F7F7F" w:themeColor="text1" w:themeTint="80"/>
            </w:tcBorders>
          </w:tcPr>
          <w:p w14:paraId="475AA488"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3</w:t>
            </w:r>
          </w:p>
          <w:p w14:paraId="7B66DED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w:t>
            </w:r>
            <w:r w:rsidRPr="008C1777">
              <w:rPr>
                <w:rFonts w:ascii="Arial" w:hAnsi="Arial" w:cs="Times New Roman"/>
                <w:color w:val="000000" w:themeColor="text1"/>
                <w:sz w:val="18"/>
                <w:szCs w:val="20"/>
              </w:rPr>
              <w:t>0.5,4)</w:t>
            </w:r>
          </w:p>
        </w:tc>
        <w:tc>
          <w:tcPr>
            <w:tcW w:w="771" w:type="dxa"/>
            <w:tcBorders>
              <w:top w:val="single" w:sz="4" w:space="0" w:color="7F7F7F" w:themeColor="text1" w:themeTint="80"/>
              <w:bottom w:val="single" w:sz="4" w:space="0" w:color="7F7F7F" w:themeColor="text1" w:themeTint="80"/>
            </w:tcBorders>
          </w:tcPr>
          <w:p w14:paraId="347F5AA9"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20"/>
              </w:rPr>
              <w:t>3</w:t>
            </w:r>
          </w:p>
          <w:p w14:paraId="14C5D1C0"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w:t>
            </w:r>
            <w:r w:rsidRPr="008C1777">
              <w:rPr>
                <w:rFonts w:ascii="Arial" w:hAnsi="Arial" w:cs="Times New Roman"/>
                <w:color w:val="000000" w:themeColor="text1"/>
                <w:sz w:val="18"/>
                <w:szCs w:val="20"/>
              </w:rPr>
              <w:t>1.5,4)</w:t>
            </w:r>
          </w:p>
        </w:tc>
        <w:tc>
          <w:tcPr>
            <w:tcW w:w="1119" w:type="dxa"/>
            <w:gridSpan w:val="2"/>
            <w:tcBorders>
              <w:top w:val="single" w:sz="4" w:space="0" w:color="7F7F7F" w:themeColor="text1" w:themeTint="80"/>
              <w:bottom w:val="single" w:sz="4" w:space="0" w:color="7F7F7F" w:themeColor="text1" w:themeTint="80"/>
            </w:tcBorders>
          </w:tcPr>
          <w:p w14:paraId="040C69C0"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w:t>
            </w:r>
            <w:r w:rsidRPr="008C1777">
              <w:rPr>
                <w:rFonts w:ascii="Arial" w:hAnsi="Arial" w:cs="Times New Roman"/>
                <w:color w:val="000000" w:themeColor="text1"/>
                <w:sz w:val="18"/>
                <w:szCs w:val="20"/>
              </w:rPr>
              <w:t>2</w:t>
            </w:r>
          </w:p>
          <w:p w14:paraId="6B41AAA9"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w:t>
            </w:r>
            <w:r w:rsidRPr="008C1777">
              <w:rPr>
                <w:rFonts w:ascii="Arial" w:hAnsi="Arial" w:cs="Times New Roman"/>
                <w:color w:val="000000" w:themeColor="text1"/>
                <w:sz w:val="18"/>
                <w:szCs w:val="20"/>
              </w:rPr>
              <w:t>-2, -1)</w:t>
            </w:r>
          </w:p>
        </w:tc>
      </w:tr>
      <w:tr w:rsidR="006809BE" w:rsidRPr="008C1777" w14:paraId="774E7241" w14:textId="77777777" w:rsidTr="00187EB1">
        <w:trPr>
          <w:trHeight w:val="760"/>
        </w:trPr>
        <w:tc>
          <w:tcPr>
            <w:tcW w:w="1271" w:type="dxa"/>
            <w:vMerge/>
            <w:tcBorders>
              <w:bottom w:val="single" w:sz="4" w:space="0" w:color="7F7F7F" w:themeColor="text1" w:themeTint="80"/>
            </w:tcBorders>
            <w:vAlign w:val="center"/>
          </w:tcPr>
          <w:p w14:paraId="2F19444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997" w:type="dxa"/>
            <w:tcBorders>
              <w:top w:val="single" w:sz="4" w:space="0" w:color="7F7F7F" w:themeColor="text1" w:themeTint="80"/>
              <w:bottom w:val="single" w:sz="4" w:space="0" w:color="7F7F7F" w:themeColor="text1" w:themeTint="80"/>
            </w:tcBorders>
            <w:vAlign w:val="center"/>
          </w:tcPr>
          <w:p w14:paraId="775CA46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m:oMathPara>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H</m:t>
                    </m:r>
                  </m:e>
                  <m:sub>
                    <m:r>
                      <w:rPr>
                        <w:rFonts w:ascii="Cambria Math" w:hAnsi="Cambria Math" w:cs="Times New Roman"/>
                        <w:color w:val="000000" w:themeColor="text1"/>
                        <w:sz w:val="18"/>
                        <w:szCs w:val="18"/>
                      </w:rPr>
                      <m:t>2</m:t>
                    </m:r>
                  </m:sub>
                </m:sSub>
              </m:oMath>
            </m:oMathPara>
          </w:p>
        </w:tc>
        <w:tc>
          <w:tcPr>
            <w:tcW w:w="882" w:type="dxa"/>
            <w:tcBorders>
              <w:top w:val="single" w:sz="4" w:space="0" w:color="7F7F7F" w:themeColor="text1" w:themeTint="80"/>
              <w:bottom w:val="single" w:sz="4" w:space="0" w:color="7F7F7F" w:themeColor="text1" w:themeTint="80"/>
            </w:tcBorders>
            <w:vAlign w:val="center"/>
          </w:tcPr>
          <w:p w14:paraId="381B794E"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23</w:t>
            </w:r>
          </w:p>
        </w:tc>
        <w:tc>
          <w:tcPr>
            <w:tcW w:w="252" w:type="dxa"/>
          </w:tcPr>
          <w:p w14:paraId="11096B3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874" w:type="dxa"/>
            <w:tcBorders>
              <w:top w:val="single" w:sz="4" w:space="0" w:color="7F7F7F" w:themeColor="text1" w:themeTint="80"/>
              <w:bottom w:val="single" w:sz="4" w:space="0" w:color="7F7F7F" w:themeColor="text1" w:themeTint="80"/>
            </w:tcBorders>
            <w:vAlign w:val="center"/>
          </w:tcPr>
          <w:p w14:paraId="3164156C"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3</w:t>
            </w:r>
          </w:p>
          <w:p w14:paraId="6796994A"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(13.0%)</w:t>
            </w:r>
          </w:p>
        </w:tc>
        <w:tc>
          <w:tcPr>
            <w:tcW w:w="874" w:type="dxa"/>
            <w:tcBorders>
              <w:top w:val="single" w:sz="4" w:space="0" w:color="7F7F7F" w:themeColor="text1" w:themeTint="80"/>
              <w:bottom w:val="single" w:sz="4" w:space="0" w:color="7F7F7F" w:themeColor="text1" w:themeTint="80"/>
            </w:tcBorders>
            <w:vAlign w:val="center"/>
          </w:tcPr>
          <w:p w14:paraId="1783898C"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0</w:t>
            </w:r>
          </w:p>
          <w:p w14:paraId="2C407549"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(0.0%)</w:t>
            </w:r>
          </w:p>
        </w:tc>
        <w:tc>
          <w:tcPr>
            <w:tcW w:w="874" w:type="dxa"/>
            <w:tcBorders>
              <w:top w:val="single" w:sz="4" w:space="0" w:color="7F7F7F" w:themeColor="text1" w:themeTint="80"/>
              <w:bottom w:val="single" w:sz="4" w:space="0" w:color="7F7F7F" w:themeColor="text1" w:themeTint="80"/>
            </w:tcBorders>
            <w:vAlign w:val="center"/>
          </w:tcPr>
          <w:p w14:paraId="3FE0388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1</w:t>
            </w:r>
          </w:p>
          <w:p w14:paraId="17E65A8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(4.3%)</w:t>
            </w:r>
          </w:p>
        </w:tc>
        <w:tc>
          <w:tcPr>
            <w:tcW w:w="874" w:type="dxa"/>
            <w:tcBorders>
              <w:top w:val="single" w:sz="4" w:space="0" w:color="7F7F7F" w:themeColor="text1" w:themeTint="80"/>
              <w:bottom w:val="single" w:sz="4" w:space="0" w:color="7F7F7F" w:themeColor="text1" w:themeTint="80"/>
            </w:tcBorders>
            <w:vAlign w:val="center"/>
          </w:tcPr>
          <w:p w14:paraId="7B2CD18C"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11</w:t>
            </w:r>
          </w:p>
          <w:p w14:paraId="016FF182"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(47.8%)</w:t>
            </w:r>
          </w:p>
        </w:tc>
        <w:tc>
          <w:tcPr>
            <w:tcW w:w="874" w:type="dxa"/>
            <w:tcBorders>
              <w:top w:val="single" w:sz="4" w:space="0" w:color="7F7F7F" w:themeColor="text1" w:themeTint="80"/>
              <w:bottom w:val="single" w:sz="4" w:space="0" w:color="7F7F7F" w:themeColor="text1" w:themeTint="80"/>
            </w:tcBorders>
            <w:vAlign w:val="center"/>
          </w:tcPr>
          <w:p w14:paraId="3E90AF4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0</w:t>
            </w:r>
          </w:p>
          <w:p w14:paraId="4FA08F88"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(0.0%)</w:t>
            </w:r>
          </w:p>
        </w:tc>
        <w:tc>
          <w:tcPr>
            <w:tcW w:w="875" w:type="dxa"/>
            <w:tcBorders>
              <w:top w:val="single" w:sz="4" w:space="0" w:color="7F7F7F" w:themeColor="text1" w:themeTint="80"/>
              <w:bottom w:val="single" w:sz="4" w:space="0" w:color="7F7F7F" w:themeColor="text1" w:themeTint="80"/>
            </w:tcBorders>
            <w:vAlign w:val="center"/>
          </w:tcPr>
          <w:p w14:paraId="5DAF32D0"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8</w:t>
            </w:r>
          </w:p>
          <w:p w14:paraId="253D50AC"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(34.8%)</w:t>
            </w:r>
          </w:p>
        </w:tc>
        <w:tc>
          <w:tcPr>
            <w:tcW w:w="284" w:type="dxa"/>
          </w:tcPr>
          <w:p w14:paraId="3C4C9AAB"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1063" w:type="dxa"/>
            <w:tcBorders>
              <w:top w:val="single" w:sz="4" w:space="0" w:color="7F7F7F" w:themeColor="text1" w:themeTint="80"/>
              <w:bottom w:val="single" w:sz="4" w:space="0" w:color="7F7F7F" w:themeColor="text1" w:themeTint="80"/>
            </w:tcBorders>
          </w:tcPr>
          <w:p w14:paraId="61D67733"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6</w:t>
            </w:r>
            <w:r w:rsidRPr="008C1777">
              <w:rPr>
                <w:rFonts w:ascii="Arial" w:hAnsi="Arial" w:cs="Times New Roman"/>
                <w:color w:val="000000" w:themeColor="text1"/>
                <w:sz w:val="18"/>
                <w:szCs w:val="20"/>
              </w:rPr>
              <w:t>1.74</w:t>
            </w:r>
          </w:p>
          <w:p w14:paraId="7BA7BAA3"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±11.47</w:t>
            </w:r>
          </w:p>
        </w:tc>
        <w:tc>
          <w:tcPr>
            <w:tcW w:w="1063" w:type="dxa"/>
            <w:tcBorders>
              <w:top w:val="single" w:sz="4" w:space="0" w:color="7F7F7F" w:themeColor="text1" w:themeTint="80"/>
              <w:bottom w:val="single" w:sz="4" w:space="0" w:color="7F7F7F" w:themeColor="text1" w:themeTint="80"/>
            </w:tcBorders>
          </w:tcPr>
          <w:p w14:paraId="6CAFFA9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2</w:t>
            </w:r>
            <w:r w:rsidRPr="008C1777">
              <w:rPr>
                <w:rFonts w:ascii="Arial" w:hAnsi="Arial" w:cs="Times New Roman"/>
                <w:color w:val="000000" w:themeColor="text1"/>
                <w:sz w:val="18"/>
                <w:szCs w:val="20"/>
              </w:rPr>
              <w:t>4.55</w:t>
            </w:r>
          </w:p>
          <w:p w14:paraId="362E85E5"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±2.31</w:t>
            </w:r>
          </w:p>
        </w:tc>
        <w:tc>
          <w:tcPr>
            <w:tcW w:w="283" w:type="dxa"/>
          </w:tcPr>
          <w:p w14:paraId="31D37DD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945" w:type="dxa"/>
            <w:tcBorders>
              <w:top w:val="single" w:sz="4" w:space="0" w:color="7F7F7F" w:themeColor="text1" w:themeTint="80"/>
              <w:bottom w:val="single" w:sz="4" w:space="0" w:color="7F7F7F" w:themeColor="text1" w:themeTint="80"/>
            </w:tcBorders>
          </w:tcPr>
          <w:p w14:paraId="198F0D7A"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3</w:t>
            </w:r>
          </w:p>
          <w:p w14:paraId="2004C489"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w:t>
            </w:r>
            <w:r w:rsidRPr="008C1777">
              <w:rPr>
                <w:rFonts w:ascii="Arial" w:hAnsi="Arial" w:cs="Times New Roman"/>
                <w:color w:val="000000" w:themeColor="text1"/>
                <w:sz w:val="18"/>
                <w:szCs w:val="20"/>
              </w:rPr>
              <w:t>2, 4)</w:t>
            </w:r>
          </w:p>
        </w:tc>
        <w:tc>
          <w:tcPr>
            <w:tcW w:w="898" w:type="dxa"/>
            <w:gridSpan w:val="2"/>
            <w:tcBorders>
              <w:top w:val="single" w:sz="4" w:space="0" w:color="7F7F7F" w:themeColor="text1" w:themeTint="80"/>
              <w:bottom w:val="single" w:sz="4" w:space="0" w:color="7F7F7F" w:themeColor="text1" w:themeTint="80"/>
            </w:tcBorders>
          </w:tcPr>
          <w:p w14:paraId="71F46C9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0</w:t>
            </w:r>
          </w:p>
          <w:p w14:paraId="48F7FA16"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w:t>
            </w:r>
            <w:r w:rsidRPr="008C1777">
              <w:rPr>
                <w:rFonts w:ascii="Arial" w:hAnsi="Arial" w:cs="Times New Roman"/>
                <w:color w:val="000000" w:themeColor="text1"/>
                <w:sz w:val="18"/>
                <w:szCs w:val="20"/>
              </w:rPr>
              <w:t>-1,2.5)</w:t>
            </w:r>
          </w:p>
        </w:tc>
        <w:tc>
          <w:tcPr>
            <w:tcW w:w="992" w:type="dxa"/>
            <w:tcBorders>
              <w:top w:val="single" w:sz="4" w:space="0" w:color="7F7F7F" w:themeColor="text1" w:themeTint="80"/>
              <w:bottom w:val="single" w:sz="4" w:space="0" w:color="7F7F7F" w:themeColor="text1" w:themeTint="80"/>
            </w:tcBorders>
          </w:tcPr>
          <w:p w14:paraId="6C41EE3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w:t>
            </w:r>
            <w:r w:rsidRPr="008C1777">
              <w:rPr>
                <w:rFonts w:ascii="Arial" w:hAnsi="Arial" w:cs="Times New Roman"/>
                <w:color w:val="000000" w:themeColor="text1"/>
                <w:sz w:val="18"/>
                <w:szCs w:val="20"/>
              </w:rPr>
              <w:t>1</w:t>
            </w:r>
          </w:p>
          <w:p w14:paraId="385D889B"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w:t>
            </w:r>
            <w:r w:rsidRPr="008C1777">
              <w:rPr>
                <w:rFonts w:ascii="Arial" w:hAnsi="Arial" w:cs="Times New Roman"/>
                <w:color w:val="000000" w:themeColor="text1"/>
                <w:sz w:val="18"/>
                <w:szCs w:val="20"/>
              </w:rPr>
              <w:t>-2,-0.5)</w:t>
            </w:r>
          </w:p>
        </w:tc>
      </w:tr>
      <w:tr w:rsidR="006809BE" w:rsidRPr="008C1777" w14:paraId="1D6067FA" w14:textId="77777777" w:rsidTr="00187EB1">
        <w:tc>
          <w:tcPr>
            <w:tcW w:w="1271" w:type="dxa"/>
            <w:vMerge/>
            <w:tcBorders>
              <w:bottom w:val="single" w:sz="4" w:space="0" w:color="7F7F7F" w:themeColor="text1" w:themeTint="80"/>
            </w:tcBorders>
          </w:tcPr>
          <w:p w14:paraId="1782208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997" w:type="dxa"/>
            <w:tcBorders>
              <w:top w:val="single" w:sz="4" w:space="0" w:color="7F7F7F" w:themeColor="text1" w:themeTint="80"/>
              <w:bottom w:val="single" w:sz="4" w:space="0" w:color="7F7F7F" w:themeColor="text1" w:themeTint="80"/>
            </w:tcBorders>
            <w:vAlign w:val="center"/>
          </w:tcPr>
          <w:p w14:paraId="76277B4A"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m:oMathPara>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H</m:t>
                    </m:r>
                  </m:e>
                  <m:sub>
                    <m:r>
                      <w:rPr>
                        <w:rFonts w:ascii="Cambria Math" w:hAnsi="Cambria Math" w:cs="Times New Roman"/>
                        <w:color w:val="000000" w:themeColor="text1"/>
                        <w:sz w:val="18"/>
                        <w:szCs w:val="18"/>
                      </w:rPr>
                      <m:t>3</m:t>
                    </m:r>
                  </m:sub>
                </m:sSub>
              </m:oMath>
            </m:oMathPara>
          </w:p>
        </w:tc>
        <w:tc>
          <w:tcPr>
            <w:tcW w:w="882" w:type="dxa"/>
            <w:tcBorders>
              <w:top w:val="single" w:sz="4" w:space="0" w:color="7F7F7F" w:themeColor="text1" w:themeTint="80"/>
              <w:bottom w:val="single" w:sz="4" w:space="0" w:color="7F7F7F" w:themeColor="text1" w:themeTint="80"/>
            </w:tcBorders>
            <w:vAlign w:val="center"/>
          </w:tcPr>
          <w:p w14:paraId="63B1BD51"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18</w:t>
            </w:r>
          </w:p>
        </w:tc>
        <w:tc>
          <w:tcPr>
            <w:tcW w:w="252" w:type="dxa"/>
          </w:tcPr>
          <w:p w14:paraId="34B8BAF2"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874" w:type="dxa"/>
            <w:tcBorders>
              <w:top w:val="single" w:sz="4" w:space="0" w:color="7F7F7F" w:themeColor="text1" w:themeTint="80"/>
              <w:bottom w:val="single" w:sz="4" w:space="0" w:color="7F7F7F" w:themeColor="text1" w:themeTint="80"/>
            </w:tcBorders>
            <w:vAlign w:val="center"/>
          </w:tcPr>
          <w:p w14:paraId="2DE8ACA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13</w:t>
            </w:r>
          </w:p>
          <w:p w14:paraId="52357616"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(72.2%)</w:t>
            </w:r>
          </w:p>
        </w:tc>
        <w:tc>
          <w:tcPr>
            <w:tcW w:w="874" w:type="dxa"/>
            <w:tcBorders>
              <w:top w:val="single" w:sz="4" w:space="0" w:color="7F7F7F" w:themeColor="text1" w:themeTint="80"/>
              <w:bottom w:val="single" w:sz="4" w:space="0" w:color="7F7F7F" w:themeColor="text1" w:themeTint="80"/>
            </w:tcBorders>
            <w:vAlign w:val="center"/>
          </w:tcPr>
          <w:p w14:paraId="680012E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0</w:t>
            </w:r>
          </w:p>
          <w:p w14:paraId="65E19A0E"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(0.0%)</w:t>
            </w:r>
          </w:p>
        </w:tc>
        <w:tc>
          <w:tcPr>
            <w:tcW w:w="874" w:type="dxa"/>
            <w:tcBorders>
              <w:top w:val="single" w:sz="4" w:space="0" w:color="7F7F7F" w:themeColor="text1" w:themeTint="80"/>
              <w:bottom w:val="single" w:sz="4" w:space="0" w:color="7F7F7F" w:themeColor="text1" w:themeTint="80"/>
            </w:tcBorders>
            <w:vAlign w:val="center"/>
          </w:tcPr>
          <w:p w14:paraId="1ADFF423"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0</w:t>
            </w:r>
          </w:p>
          <w:p w14:paraId="1CA5AF85"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(0.0%)</w:t>
            </w:r>
          </w:p>
        </w:tc>
        <w:tc>
          <w:tcPr>
            <w:tcW w:w="874" w:type="dxa"/>
            <w:tcBorders>
              <w:top w:val="single" w:sz="4" w:space="0" w:color="7F7F7F" w:themeColor="text1" w:themeTint="80"/>
              <w:bottom w:val="single" w:sz="4" w:space="0" w:color="7F7F7F" w:themeColor="text1" w:themeTint="80"/>
            </w:tcBorders>
            <w:vAlign w:val="center"/>
          </w:tcPr>
          <w:p w14:paraId="1B4B3BC3"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0</w:t>
            </w:r>
          </w:p>
          <w:p w14:paraId="3040756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(0.0%)</w:t>
            </w:r>
          </w:p>
        </w:tc>
        <w:tc>
          <w:tcPr>
            <w:tcW w:w="874" w:type="dxa"/>
            <w:tcBorders>
              <w:top w:val="single" w:sz="4" w:space="0" w:color="7F7F7F" w:themeColor="text1" w:themeTint="80"/>
              <w:bottom w:val="single" w:sz="4" w:space="0" w:color="7F7F7F" w:themeColor="text1" w:themeTint="80"/>
            </w:tcBorders>
            <w:vAlign w:val="center"/>
          </w:tcPr>
          <w:p w14:paraId="33E45718"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2</w:t>
            </w:r>
          </w:p>
          <w:p w14:paraId="59EDFE6C"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(11.1%)</w:t>
            </w:r>
          </w:p>
        </w:tc>
        <w:tc>
          <w:tcPr>
            <w:tcW w:w="875" w:type="dxa"/>
            <w:tcBorders>
              <w:top w:val="single" w:sz="4" w:space="0" w:color="7F7F7F" w:themeColor="text1" w:themeTint="80"/>
              <w:bottom w:val="single" w:sz="4" w:space="0" w:color="7F7F7F" w:themeColor="text1" w:themeTint="80"/>
            </w:tcBorders>
            <w:vAlign w:val="center"/>
          </w:tcPr>
          <w:p w14:paraId="1A4652B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3</w:t>
            </w:r>
          </w:p>
          <w:p w14:paraId="16E1373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(16.7%)</w:t>
            </w:r>
          </w:p>
        </w:tc>
        <w:tc>
          <w:tcPr>
            <w:tcW w:w="284" w:type="dxa"/>
          </w:tcPr>
          <w:p w14:paraId="5910EE6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1063" w:type="dxa"/>
            <w:tcBorders>
              <w:top w:val="single" w:sz="4" w:space="0" w:color="7F7F7F" w:themeColor="text1" w:themeTint="80"/>
              <w:bottom w:val="single" w:sz="4" w:space="0" w:color="7F7F7F" w:themeColor="text1" w:themeTint="80"/>
            </w:tcBorders>
          </w:tcPr>
          <w:p w14:paraId="7997F8E7"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6</w:t>
            </w:r>
            <w:r w:rsidRPr="008C1777">
              <w:rPr>
                <w:rFonts w:ascii="Arial" w:hAnsi="Arial" w:cs="Times New Roman"/>
                <w:color w:val="000000" w:themeColor="text1"/>
                <w:sz w:val="18"/>
                <w:szCs w:val="20"/>
              </w:rPr>
              <w:t>9.94</w:t>
            </w:r>
          </w:p>
          <w:p w14:paraId="5634BB4A"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±6.54</w:t>
            </w:r>
          </w:p>
        </w:tc>
        <w:tc>
          <w:tcPr>
            <w:tcW w:w="1063" w:type="dxa"/>
            <w:tcBorders>
              <w:top w:val="single" w:sz="4" w:space="0" w:color="7F7F7F" w:themeColor="text1" w:themeTint="80"/>
              <w:bottom w:val="single" w:sz="4" w:space="0" w:color="7F7F7F" w:themeColor="text1" w:themeTint="80"/>
            </w:tcBorders>
          </w:tcPr>
          <w:p w14:paraId="4001EC03"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2</w:t>
            </w:r>
            <w:r w:rsidRPr="008C1777">
              <w:rPr>
                <w:rFonts w:ascii="Arial" w:hAnsi="Arial" w:cs="Times New Roman"/>
                <w:color w:val="000000" w:themeColor="text1"/>
                <w:sz w:val="18"/>
                <w:szCs w:val="20"/>
              </w:rPr>
              <w:t>4.37</w:t>
            </w:r>
          </w:p>
          <w:p w14:paraId="24C7F8AC"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±3.37</w:t>
            </w:r>
          </w:p>
        </w:tc>
        <w:tc>
          <w:tcPr>
            <w:tcW w:w="283" w:type="dxa"/>
          </w:tcPr>
          <w:p w14:paraId="269BA033"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945" w:type="dxa"/>
            <w:tcBorders>
              <w:top w:val="single" w:sz="4" w:space="0" w:color="7F7F7F" w:themeColor="text1" w:themeTint="80"/>
              <w:bottom w:val="single" w:sz="4" w:space="0" w:color="7F7F7F" w:themeColor="text1" w:themeTint="80"/>
            </w:tcBorders>
          </w:tcPr>
          <w:p w14:paraId="3B5D8378"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3</w:t>
            </w:r>
          </w:p>
          <w:p w14:paraId="0D895C40"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w:t>
            </w:r>
            <w:r w:rsidRPr="008C1777">
              <w:rPr>
                <w:rFonts w:ascii="Arial" w:hAnsi="Arial" w:cs="Times New Roman"/>
                <w:color w:val="000000" w:themeColor="text1"/>
                <w:sz w:val="18"/>
                <w:szCs w:val="20"/>
              </w:rPr>
              <w:t>2,4.8)</w:t>
            </w:r>
          </w:p>
        </w:tc>
        <w:tc>
          <w:tcPr>
            <w:tcW w:w="771" w:type="dxa"/>
            <w:tcBorders>
              <w:top w:val="single" w:sz="4" w:space="0" w:color="7F7F7F" w:themeColor="text1" w:themeTint="80"/>
              <w:bottom w:val="single" w:sz="4" w:space="0" w:color="7F7F7F" w:themeColor="text1" w:themeTint="80"/>
            </w:tcBorders>
          </w:tcPr>
          <w:p w14:paraId="69A4CBEE"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3</w:t>
            </w:r>
            <w:r w:rsidRPr="008C1777">
              <w:rPr>
                <w:rFonts w:ascii="Arial" w:hAnsi="Arial" w:cs="Times New Roman"/>
                <w:color w:val="000000" w:themeColor="text1"/>
                <w:sz w:val="18"/>
                <w:szCs w:val="20"/>
              </w:rPr>
              <w:t>.3</w:t>
            </w:r>
          </w:p>
          <w:p w14:paraId="72304AA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w:t>
            </w:r>
            <w:r w:rsidRPr="008C1777">
              <w:rPr>
                <w:rFonts w:ascii="Arial" w:hAnsi="Arial" w:cs="Times New Roman"/>
                <w:color w:val="000000" w:themeColor="text1"/>
                <w:sz w:val="18"/>
                <w:szCs w:val="20"/>
              </w:rPr>
              <w:t>2.3,5)</w:t>
            </w:r>
          </w:p>
        </w:tc>
        <w:tc>
          <w:tcPr>
            <w:tcW w:w="1119" w:type="dxa"/>
            <w:gridSpan w:val="2"/>
            <w:tcBorders>
              <w:top w:val="single" w:sz="4" w:space="0" w:color="7F7F7F" w:themeColor="text1" w:themeTint="80"/>
              <w:bottom w:val="single" w:sz="4" w:space="0" w:color="7F7F7F" w:themeColor="text1" w:themeTint="80"/>
            </w:tcBorders>
          </w:tcPr>
          <w:p w14:paraId="41AC65F9"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1</w:t>
            </w:r>
          </w:p>
          <w:p w14:paraId="0DD0C69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w:t>
            </w:r>
            <w:r w:rsidRPr="008C1777">
              <w:rPr>
                <w:rFonts w:ascii="Arial" w:hAnsi="Arial" w:cs="Times New Roman"/>
                <w:color w:val="000000" w:themeColor="text1"/>
                <w:sz w:val="18"/>
                <w:szCs w:val="20"/>
              </w:rPr>
              <w:t>-1,2)</w:t>
            </w:r>
          </w:p>
        </w:tc>
      </w:tr>
      <w:tr w:rsidR="006809BE" w:rsidRPr="008C1777" w14:paraId="550DF784" w14:textId="77777777" w:rsidTr="00187EB1">
        <w:tc>
          <w:tcPr>
            <w:tcW w:w="1271" w:type="dxa"/>
            <w:vMerge/>
            <w:tcBorders>
              <w:bottom w:val="single" w:sz="4" w:space="0" w:color="7F7F7F" w:themeColor="text1" w:themeTint="80"/>
            </w:tcBorders>
          </w:tcPr>
          <w:p w14:paraId="1681ADBA"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997" w:type="dxa"/>
            <w:tcBorders>
              <w:top w:val="single" w:sz="4" w:space="0" w:color="7F7F7F" w:themeColor="text1" w:themeTint="80"/>
              <w:bottom w:val="single" w:sz="4" w:space="0" w:color="7F7F7F" w:themeColor="text1" w:themeTint="80"/>
            </w:tcBorders>
            <w:vAlign w:val="center"/>
          </w:tcPr>
          <w:p w14:paraId="07F26C20"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m:oMathPara>
              <m:oMath>
                <m:sSub>
                  <m:sSubPr>
                    <m:ctrlPr>
                      <w:rPr>
                        <w:rFonts w:ascii="Cambria Math" w:hAnsi="Cambria Math" w:cs="Times New Roman"/>
                        <w:i/>
                        <w:color w:val="000000" w:themeColor="text1"/>
                        <w:sz w:val="18"/>
                        <w:szCs w:val="18"/>
                      </w:rPr>
                    </m:ctrlPr>
                  </m:sSubPr>
                  <m:e>
                    <m:r>
                      <w:rPr>
                        <w:rFonts w:ascii="Cambria Math" w:hAnsi="Cambria Math" w:cs="Times New Roman"/>
                        <w:color w:val="000000" w:themeColor="text1"/>
                        <w:sz w:val="18"/>
                        <w:szCs w:val="18"/>
                      </w:rPr>
                      <m:t>H</m:t>
                    </m:r>
                  </m:e>
                  <m:sub>
                    <m:r>
                      <w:rPr>
                        <w:rFonts w:ascii="Cambria Math" w:hAnsi="Cambria Math" w:cs="Times New Roman"/>
                        <w:color w:val="000000" w:themeColor="text1"/>
                        <w:sz w:val="18"/>
                        <w:szCs w:val="18"/>
                      </w:rPr>
                      <m:t>4</m:t>
                    </m:r>
                  </m:sub>
                </m:sSub>
              </m:oMath>
            </m:oMathPara>
          </w:p>
        </w:tc>
        <w:tc>
          <w:tcPr>
            <w:tcW w:w="882" w:type="dxa"/>
            <w:tcBorders>
              <w:top w:val="single" w:sz="4" w:space="0" w:color="7F7F7F" w:themeColor="text1" w:themeTint="80"/>
              <w:bottom w:val="single" w:sz="4" w:space="0" w:color="7F7F7F" w:themeColor="text1" w:themeTint="80"/>
            </w:tcBorders>
            <w:vAlign w:val="center"/>
          </w:tcPr>
          <w:p w14:paraId="7A2AB9E6"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12</w:t>
            </w:r>
          </w:p>
        </w:tc>
        <w:tc>
          <w:tcPr>
            <w:tcW w:w="252" w:type="dxa"/>
          </w:tcPr>
          <w:p w14:paraId="542AA82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874" w:type="dxa"/>
            <w:tcBorders>
              <w:top w:val="single" w:sz="4" w:space="0" w:color="7F7F7F" w:themeColor="text1" w:themeTint="80"/>
              <w:bottom w:val="single" w:sz="4" w:space="0" w:color="7F7F7F" w:themeColor="text1" w:themeTint="80"/>
            </w:tcBorders>
          </w:tcPr>
          <w:p w14:paraId="03830831"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4</w:t>
            </w:r>
          </w:p>
          <w:p w14:paraId="54DDEF9B"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(33.3%)</w:t>
            </w:r>
          </w:p>
        </w:tc>
        <w:tc>
          <w:tcPr>
            <w:tcW w:w="874" w:type="dxa"/>
            <w:tcBorders>
              <w:top w:val="single" w:sz="4" w:space="0" w:color="7F7F7F" w:themeColor="text1" w:themeTint="80"/>
              <w:bottom w:val="single" w:sz="4" w:space="0" w:color="7F7F7F" w:themeColor="text1" w:themeTint="80"/>
            </w:tcBorders>
          </w:tcPr>
          <w:p w14:paraId="613DE2C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hint="eastAsia"/>
                <w:color w:val="000000" w:themeColor="text1"/>
                <w:sz w:val="18"/>
                <w:szCs w:val="18"/>
              </w:rPr>
              <w:t>0</w:t>
            </w:r>
          </w:p>
          <w:p w14:paraId="1E32B5FB"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(0.0%)</w:t>
            </w:r>
          </w:p>
        </w:tc>
        <w:tc>
          <w:tcPr>
            <w:tcW w:w="874" w:type="dxa"/>
            <w:tcBorders>
              <w:top w:val="single" w:sz="4" w:space="0" w:color="7F7F7F" w:themeColor="text1" w:themeTint="80"/>
              <w:bottom w:val="single" w:sz="4" w:space="0" w:color="7F7F7F" w:themeColor="text1" w:themeTint="80"/>
            </w:tcBorders>
          </w:tcPr>
          <w:p w14:paraId="1A7C1A0E"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2</w:t>
            </w:r>
          </w:p>
          <w:p w14:paraId="26004395"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(16.7%)</w:t>
            </w:r>
          </w:p>
        </w:tc>
        <w:tc>
          <w:tcPr>
            <w:tcW w:w="874" w:type="dxa"/>
            <w:tcBorders>
              <w:top w:val="single" w:sz="4" w:space="0" w:color="7F7F7F" w:themeColor="text1" w:themeTint="80"/>
              <w:bottom w:val="single" w:sz="4" w:space="0" w:color="7F7F7F" w:themeColor="text1" w:themeTint="80"/>
            </w:tcBorders>
          </w:tcPr>
          <w:p w14:paraId="732D8351"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3</w:t>
            </w:r>
          </w:p>
          <w:p w14:paraId="3413B29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(25%)</w:t>
            </w:r>
          </w:p>
        </w:tc>
        <w:tc>
          <w:tcPr>
            <w:tcW w:w="874" w:type="dxa"/>
            <w:tcBorders>
              <w:top w:val="single" w:sz="4" w:space="0" w:color="7F7F7F" w:themeColor="text1" w:themeTint="80"/>
              <w:bottom w:val="single" w:sz="4" w:space="0" w:color="7F7F7F" w:themeColor="text1" w:themeTint="80"/>
            </w:tcBorders>
          </w:tcPr>
          <w:p w14:paraId="72B7F1F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2</w:t>
            </w:r>
          </w:p>
          <w:p w14:paraId="15CBAFFC"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(16.7%)</w:t>
            </w:r>
          </w:p>
        </w:tc>
        <w:tc>
          <w:tcPr>
            <w:tcW w:w="875" w:type="dxa"/>
            <w:tcBorders>
              <w:top w:val="single" w:sz="4" w:space="0" w:color="7F7F7F" w:themeColor="text1" w:themeTint="80"/>
              <w:bottom w:val="single" w:sz="4" w:space="0" w:color="7F7F7F" w:themeColor="text1" w:themeTint="80"/>
            </w:tcBorders>
          </w:tcPr>
          <w:p w14:paraId="422B2333"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1</w:t>
            </w:r>
          </w:p>
          <w:p w14:paraId="0BF22E67"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(8.3%)</w:t>
            </w:r>
          </w:p>
        </w:tc>
        <w:tc>
          <w:tcPr>
            <w:tcW w:w="284" w:type="dxa"/>
          </w:tcPr>
          <w:p w14:paraId="64EAD4D8"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1063" w:type="dxa"/>
            <w:tcBorders>
              <w:top w:val="single" w:sz="4" w:space="0" w:color="7F7F7F" w:themeColor="text1" w:themeTint="80"/>
              <w:bottom w:val="single" w:sz="4" w:space="0" w:color="7F7F7F" w:themeColor="text1" w:themeTint="80"/>
            </w:tcBorders>
          </w:tcPr>
          <w:p w14:paraId="1FF461D9"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6</w:t>
            </w:r>
            <w:r w:rsidRPr="008C1777">
              <w:rPr>
                <w:rFonts w:ascii="Arial" w:hAnsi="Arial" w:cs="Times New Roman"/>
                <w:color w:val="000000" w:themeColor="text1"/>
                <w:sz w:val="18"/>
                <w:szCs w:val="20"/>
              </w:rPr>
              <w:t>1.33</w:t>
            </w:r>
          </w:p>
          <w:p w14:paraId="7D5A9393"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±6.54</w:t>
            </w:r>
          </w:p>
        </w:tc>
        <w:tc>
          <w:tcPr>
            <w:tcW w:w="1063" w:type="dxa"/>
            <w:tcBorders>
              <w:top w:val="single" w:sz="4" w:space="0" w:color="7F7F7F" w:themeColor="text1" w:themeTint="80"/>
              <w:bottom w:val="single" w:sz="4" w:space="0" w:color="7F7F7F" w:themeColor="text1" w:themeTint="80"/>
            </w:tcBorders>
          </w:tcPr>
          <w:p w14:paraId="16DC7520"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2</w:t>
            </w:r>
            <w:r w:rsidRPr="008C1777">
              <w:rPr>
                <w:rFonts w:ascii="Arial" w:hAnsi="Arial" w:cs="Times New Roman"/>
                <w:color w:val="000000" w:themeColor="text1"/>
                <w:sz w:val="18"/>
                <w:szCs w:val="20"/>
              </w:rPr>
              <w:t>4.08</w:t>
            </w:r>
          </w:p>
          <w:p w14:paraId="228616E2"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±3.41</w:t>
            </w:r>
          </w:p>
        </w:tc>
        <w:tc>
          <w:tcPr>
            <w:tcW w:w="283" w:type="dxa"/>
          </w:tcPr>
          <w:p w14:paraId="0D288FCE"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945" w:type="dxa"/>
            <w:tcBorders>
              <w:top w:val="single" w:sz="4" w:space="0" w:color="7F7F7F" w:themeColor="text1" w:themeTint="80"/>
              <w:bottom w:val="single" w:sz="4" w:space="0" w:color="7F7F7F" w:themeColor="text1" w:themeTint="80"/>
            </w:tcBorders>
          </w:tcPr>
          <w:p w14:paraId="6821920C"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3</w:t>
            </w:r>
            <w:r w:rsidRPr="008C1777">
              <w:rPr>
                <w:rFonts w:ascii="Arial" w:hAnsi="Arial" w:cs="Times New Roman"/>
                <w:color w:val="000000" w:themeColor="text1"/>
                <w:sz w:val="18"/>
                <w:szCs w:val="20"/>
              </w:rPr>
              <w:t>.5</w:t>
            </w:r>
          </w:p>
          <w:p w14:paraId="6AECC9B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w:t>
            </w:r>
            <w:r w:rsidRPr="008C1777">
              <w:rPr>
                <w:rFonts w:ascii="Arial" w:hAnsi="Arial" w:cs="Times New Roman"/>
                <w:color w:val="000000" w:themeColor="text1"/>
                <w:sz w:val="18"/>
                <w:szCs w:val="20"/>
              </w:rPr>
              <w:t>1,6)</w:t>
            </w:r>
          </w:p>
        </w:tc>
        <w:tc>
          <w:tcPr>
            <w:tcW w:w="771" w:type="dxa"/>
            <w:tcBorders>
              <w:top w:val="single" w:sz="4" w:space="0" w:color="7F7F7F" w:themeColor="text1" w:themeTint="80"/>
              <w:bottom w:val="single" w:sz="4" w:space="0" w:color="7F7F7F" w:themeColor="text1" w:themeTint="80"/>
            </w:tcBorders>
          </w:tcPr>
          <w:p w14:paraId="19049A1A"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4</w:t>
            </w:r>
          </w:p>
          <w:p w14:paraId="609898B5"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w:t>
            </w:r>
            <w:r w:rsidRPr="008C1777">
              <w:rPr>
                <w:rFonts w:ascii="Arial" w:hAnsi="Arial" w:cs="Times New Roman"/>
                <w:color w:val="000000" w:themeColor="text1"/>
                <w:sz w:val="18"/>
                <w:szCs w:val="20"/>
              </w:rPr>
              <w:t>1,6)</w:t>
            </w:r>
          </w:p>
        </w:tc>
        <w:tc>
          <w:tcPr>
            <w:tcW w:w="1119" w:type="dxa"/>
            <w:gridSpan w:val="2"/>
            <w:tcBorders>
              <w:top w:val="single" w:sz="4" w:space="0" w:color="7F7F7F" w:themeColor="text1" w:themeTint="80"/>
              <w:bottom w:val="single" w:sz="4" w:space="0" w:color="7F7F7F" w:themeColor="text1" w:themeTint="80"/>
            </w:tcBorders>
          </w:tcPr>
          <w:p w14:paraId="5927399C"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2</w:t>
            </w:r>
            <w:r w:rsidRPr="008C1777">
              <w:rPr>
                <w:rFonts w:ascii="Arial" w:hAnsi="Arial" w:cs="Times New Roman"/>
                <w:color w:val="000000" w:themeColor="text1"/>
                <w:sz w:val="18"/>
                <w:szCs w:val="20"/>
              </w:rPr>
              <w:t>.5</w:t>
            </w:r>
          </w:p>
          <w:p w14:paraId="50D9F80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hint="eastAsia"/>
                <w:color w:val="000000" w:themeColor="text1"/>
                <w:sz w:val="18"/>
                <w:szCs w:val="20"/>
              </w:rPr>
              <w:t>(</w:t>
            </w:r>
            <w:r w:rsidRPr="008C1777">
              <w:rPr>
                <w:rFonts w:ascii="Arial" w:hAnsi="Arial" w:cs="Times New Roman"/>
                <w:color w:val="000000" w:themeColor="text1"/>
                <w:sz w:val="18"/>
                <w:szCs w:val="20"/>
              </w:rPr>
              <w:t>-0.3,4.3)</w:t>
            </w:r>
          </w:p>
        </w:tc>
      </w:tr>
      <w:tr w:rsidR="006809BE" w:rsidRPr="008C1777" w14:paraId="0D642285" w14:textId="77777777" w:rsidTr="00187EB1">
        <w:trPr>
          <w:trHeight w:val="480"/>
        </w:trPr>
        <w:tc>
          <w:tcPr>
            <w:tcW w:w="1271" w:type="dxa"/>
            <w:vMerge/>
            <w:tcBorders>
              <w:bottom w:val="single" w:sz="4" w:space="0" w:color="7F7F7F" w:themeColor="text1" w:themeTint="80"/>
            </w:tcBorders>
          </w:tcPr>
          <w:p w14:paraId="13DD7945"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997" w:type="dxa"/>
            <w:tcBorders>
              <w:top w:val="single" w:sz="4" w:space="0" w:color="7F7F7F" w:themeColor="text1" w:themeTint="80"/>
              <w:bottom w:val="single" w:sz="4" w:space="0" w:color="7F7F7F" w:themeColor="text1" w:themeTint="80"/>
            </w:tcBorders>
            <w:vAlign w:val="center"/>
          </w:tcPr>
          <w:p w14:paraId="3281F846" w14:textId="77777777" w:rsidR="006809BE" w:rsidRPr="008C1777" w:rsidRDefault="006809BE" w:rsidP="00187EB1">
            <w:pPr>
              <w:autoSpaceDE w:val="0"/>
              <w:autoSpaceDN w:val="0"/>
              <w:adjustRightInd w:val="0"/>
              <w:jc w:val="center"/>
              <w:rPr>
                <w:rFonts w:ascii="Arial" w:eastAsia="DengXian" w:hAnsi="Arial" w:cs="Times New Roman"/>
                <w:color w:val="000000" w:themeColor="text1"/>
                <w:sz w:val="18"/>
                <w:szCs w:val="18"/>
              </w:rPr>
            </w:pPr>
            <w:r w:rsidRPr="008C1777">
              <w:rPr>
                <w:rFonts w:ascii="Arial" w:hAnsi="Arial" w:cs="Times New Roman"/>
                <w:color w:val="000000" w:themeColor="text1"/>
                <w:sz w:val="18"/>
                <w:szCs w:val="18"/>
              </w:rPr>
              <w:t>Total</w:t>
            </w:r>
          </w:p>
        </w:tc>
        <w:tc>
          <w:tcPr>
            <w:tcW w:w="882" w:type="dxa"/>
            <w:tcBorders>
              <w:top w:val="single" w:sz="4" w:space="0" w:color="7F7F7F" w:themeColor="text1" w:themeTint="80"/>
              <w:bottom w:val="single" w:sz="4" w:space="0" w:color="7F7F7F" w:themeColor="text1" w:themeTint="80"/>
            </w:tcBorders>
            <w:vAlign w:val="center"/>
          </w:tcPr>
          <w:p w14:paraId="3F1E75B7"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100</w:t>
            </w:r>
          </w:p>
        </w:tc>
        <w:tc>
          <w:tcPr>
            <w:tcW w:w="252" w:type="dxa"/>
            <w:tcBorders>
              <w:bottom w:val="single" w:sz="4" w:space="0" w:color="7F7F7F" w:themeColor="text1" w:themeTint="80"/>
            </w:tcBorders>
          </w:tcPr>
          <w:p w14:paraId="0E96B09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874" w:type="dxa"/>
            <w:tcBorders>
              <w:top w:val="single" w:sz="4" w:space="0" w:color="7F7F7F" w:themeColor="text1" w:themeTint="80"/>
              <w:bottom w:val="single" w:sz="4" w:space="0" w:color="7F7F7F" w:themeColor="text1" w:themeTint="80"/>
            </w:tcBorders>
          </w:tcPr>
          <w:p w14:paraId="46026DA6"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27</w:t>
            </w:r>
          </w:p>
          <w:p w14:paraId="66354162"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(27.0%)</w:t>
            </w:r>
          </w:p>
        </w:tc>
        <w:tc>
          <w:tcPr>
            <w:tcW w:w="874" w:type="dxa"/>
            <w:tcBorders>
              <w:top w:val="single" w:sz="4" w:space="0" w:color="7F7F7F" w:themeColor="text1" w:themeTint="80"/>
              <w:bottom w:val="single" w:sz="4" w:space="0" w:color="7F7F7F" w:themeColor="text1" w:themeTint="80"/>
            </w:tcBorders>
          </w:tcPr>
          <w:p w14:paraId="241A42C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2</w:t>
            </w:r>
          </w:p>
          <w:p w14:paraId="1E801DD7"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(2.0%)</w:t>
            </w:r>
          </w:p>
        </w:tc>
        <w:tc>
          <w:tcPr>
            <w:tcW w:w="874" w:type="dxa"/>
            <w:tcBorders>
              <w:top w:val="single" w:sz="4" w:space="0" w:color="7F7F7F" w:themeColor="text1" w:themeTint="80"/>
              <w:bottom w:val="single" w:sz="4" w:space="0" w:color="7F7F7F" w:themeColor="text1" w:themeTint="80"/>
            </w:tcBorders>
          </w:tcPr>
          <w:p w14:paraId="34058345"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hint="eastAsia"/>
                <w:color w:val="000000" w:themeColor="text1"/>
                <w:sz w:val="18"/>
                <w:szCs w:val="18"/>
              </w:rPr>
              <w:t>1</w:t>
            </w:r>
            <w:r w:rsidRPr="008C1777">
              <w:rPr>
                <w:rFonts w:ascii="Arial" w:hAnsi="Arial" w:cs="Times New Roman"/>
                <w:color w:val="000000" w:themeColor="text1"/>
                <w:sz w:val="18"/>
                <w:szCs w:val="18"/>
              </w:rPr>
              <w:t>5</w:t>
            </w:r>
          </w:p>
          <w:p w14:paraId="5289B074"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(15.0%)</w:t>
            </w:r>
          </w:p>
        </w:tc>
        <w:tc>
          <w:tcPr>
            <w:tcW w:w="874" w:type="dxa"/>
            <w:tcBorders>
              <w:top w:val="single" w:sz="4" w:space="0" w:color="7F7F7F" w:themeColor="text1" w:themeTint="80"/>
              <w:bottom w:val="single" w:sz="4" w:space="0" w:color="7F7F7F" w:themeColor="text1" w:themeTint="80"/>
            </w:tcBorders>
          </w:tcPr>
          <w:p w14:paraId="07432970"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28</w:t>
            </w:r>
          </w:p>
          <w:p w14:paraId="36995241"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(28.0%)</w:t>
            </w:r>
          </w:p>
        </w:tc>
        <w:tc>
          <w:tcPr>
            <w:tcW w:w="874" w:type="dxa"/>
            <w:tcBorders>
              <w:top w:val="single" w:sz="4" w:space="0" w:color="7F7F7F" w:themeColor="text1" w:themeTint="80"/>
              <w:bottom w:val="single" w:sz="4" w:space="0" w:color="7F7F7F" w:themeColor="text1" w:themeTint="80"/>
            </w:tcBorders>
          </w:tcPr>
          <w:p w14:paraId="32F553AB"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8</w:t>
            </w:r>
          </w:p>
          <w:p w14:paraId="0897889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(8.0%)</w:t>
            </w:r>
          </w:p>
        </w:tc>
        <w:tc>
          <w:tcPr>
            <w:tcW w:w="875" w:type="dxa"/>
            <w:tcBorders>
              <w:top w:val="single" w:sz="4" w:space="0" w:color="7F7F7F" w:themeColor="text1" w:themeTint="80"/>
              <w:bottom w:val="single" w:sz="4" w:space="0" w:color="7F7F7F" w:themeColor="text1" w:themeTint="80"/>
            </w:tcBorders>
          </w:tcPr>
          <w:p w14:paraId="38609912"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20</w:t>
            </w:r>
          </w:p>
          <w:p w14:paraId="6CDD1D8E"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(20.0%)</w:t>
            </w:r>
          </w:p>
        </w:tc>
        <w:tc>
          <w:tcPr>
            <w:tcW w:w="284" w:type="dxa"/>
            <w:tcBorders>
              <w:bottom w:val="single" w:sz="4" w:space="0" w:color="7F7F7F" w:themeColor="text1" w:themeTint="80"/>
            </w:tcBorders>
          </w:tcPr>
          <w:p w14:paraId="79C3BE81"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1063" w:type="dxa"/>
            <w:tcBorders>
              <w:top w:val="single" w:sz="4" w:space="0" w:color="7F7F7F" w:themeColor="text1" w:themeTint="80"/>
              <w:bottom w:val="single" w:sz="4" w:space="0" w:color="7F7F7F" w:themeColor="text1" w:themeTint="80"/>
            </w:tcBorders>
          </w:tcPr>
          <w:p w14:paraId="657046A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62.07</w:t>
            </w:r>
          </w:p>
          <w:p w14:paraId="1F54901A"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±10.86</w:t>
            </w:r>
          </w:p>
        </w:tc>
        <w:tc>
          <w:tcPr>
            <w:tcW w:w="1063" w:type="dxa"/>
            <w:tcBorders>
              <w:top w:val="single" w:sz="4" w:space="0" w:color="7F7F7F" w:themeColor="text1" w:themeTint="80"/>
              <w:bottom w:val="single" w:sz="4" w:space="0" w:color="7F7F7F" w:themeColor="text1" w:themeTint="80"/>
            </w:tcBorders>
          </w:tcPr>
          <w:p w14:paraId="0A28F7D6"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24.30</w:t>
            </w:r>
          </w:p>
          <w:p w14:paraId="60B87DAB"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±2.89</w:t>
            </w:r>
          </w:p>
        </w:tc>
        <w:tc>
          <w:tcPr>
            <w:tcW w:w="283" w:type="dxa"/>
            <w:tcBorders>
              <w:bottom w:val="single" w:sz="4" w:space="0" w:color="7F7F7F" w:themeColor="text1" w:themeTint="80"/>
            </w:tcBorders>
          </w:tcPr>
          <w:p w14:paraId="20B9FA6A"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p>
        </w:tc>
        <w:tc>
          <w:tcPr>
            <w:tcW w:w="945" w:type="dxa"/>
            <w:tcBorders>
              <w:top w:val="single" w:sz="4" w:space="0" w:color="7F7F7F" w:themeColor="text1" w:themeTint="80"/>
              <w:bottom w:val="single" w:sz="4" w:space="0" w:color="7F7F7F" w:themeColor="text1" w:themeTint="80"/>
            </w:tcBorders>
          </w:tcPr>
          <w:p w14:paraId="19C88090"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3</w:t>
            </w:r>
          </w:p>
          <w:p w14:paraId="3BF8D5C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(1.3, 4.9)</w:t>
            </w:r>
          </w:p>
        </w:tc>
        <w:tc>
          <w:tcPr>
            <w:tcW w:w="771" w:type="dxa"/>
            <w:tcBorders>
              <w:top w:val="single" w:sz="4" w:space="0" w:color="7F7F7F" w:themeColor="text1" w:themeTint="80"/>
              <w:bottom w:val="single" w:sz="4" w:space="0" w:color="7F7F7F" w:themeColor="text1" w:themeTint="80"/>
            </w:tcBorders>
          </w:tcPr>
          <w:p w14:paraId="542EE9DF"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 xml:space="preserve">3 </w:t>
            </w:r>
          </w:p>
          <w:p w14:paraId="26CEE608"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(1, 5)</w:t>
            </w:r>
          </w:p>
        </w:tc>
        <w:tc>
          <w:tcPr>
            <w:tcW w:w="1119" w:type="dxa"/>
            <w:gridSpan w:val="2"/>
            <w:tcBorders>
              <w:top w:val="single" w:sz="4" w:space="0" w:color="7F7F7F" w:themeColor="text1" w:themeTint="80"/>
              <w:bottom w:val="single" w:sz="4" w:space="0" w:color="7F7F7F" w:themeColor="text1" w:themeTint="80"/>
            </w:tcBorders>
          </w:tcPr>
          <w:p w14:paraId="6A5B8876"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18"/>
              </w:rPr>
            </w:pPr>
            <w:r w:rsidRPr="008C1777">
              <w:rPr>
                <w:rFonts w:ascii="Arial" w:hAnsi="Arial" w:cs="Times New Roman"/>
                <w:color w:val="000000" w:themeColor="text1"/>
                <w:sz w:val="18"/>
                <w:szCs w:val="18"/>
              </w:rPr>
              <w:t xml:space="preserve">-1 </w:t>
            </w:r>
          </w:p>
          <w:p w14:paraId="548F029D" w14:textId="77777777" w:rsidR="006809BE" w:rsidRPr="008C1777" w:rsidRDefault="006809BE" w:rsidP="00187EB1">
            <w:pPr>
              <w:autoSpaceDE w:val="0"/>
              <w:autoSpaceDN w:val="0"/>
              <w:adjustRightInd w:val="0"/>
              <w:jc w:val="center"/>
              <w:rPr>
                <w:rFonts w:ascii="Arial" w:hAnsi="Arial" w:cs="Times New Roman"/>
                <w:color w:val="000000" w:themeColor="text1"/>
                <w:sz w:val="18"/>
                <w:szCs w:val="20"/>
              </w:rPr>
            </w:pPr>
            <w:r w:rsidRPr="008C1777">
              <w:rPr>
                <w:rFonts w:ascii="Arial" w:hAnsi="Arial" w:cs="Times New Roman"/>
                <w:color w:val="000000" w:themeColor="text1"/>
                <w:sz w:val="18"/>
                <w:szCs w:val="18"/>
              </w:rPr>
              <w:t>(-2, 0.9)</w:t>
            </w:r>
          </w:p>
        </w:tc>
      </w:tr>
    </w:tbl>
    <w:p w14:paraId="558D07DB" w14:textId="77777777" w:rsidR="006809BE" w:rsidRPr="008C1777" w:rsidRDefault="006809BE" w:rsidP="006809BE">
      <w:pPr>
        <w:rPr>
          <w:rFonts w:ascii="Arial" w:hAnsi="Arial"/>
        </w:rPr>
      </w:pPr>
    </w:p>
    <w:p w14:paraId="7222FEB7" w14:textId="77777777" w:rsidR="00681A2D" w:rsidRDefault="00681A2D"/>
    <w:sectPr w:rsidR="00681A2D" w:rsidSect="0032462A">
      <w:pgSz w:w="16838" w:h="11906" w:orient="landscape"/>
      <w:pgMar w:top="1044" w:right="1440" w:bottom="1800" w:left="144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1872537"/>
      <w:docPartObj>
        <w:docPartGallery w:val="Page Numbers (Bottom of Page)"/>
        <w:docPartUnique/>
      </w:docPartObj>
    </w:sdtPr>
    <w:sdtContent>
      <w:p w14:paraId="511437E0" w14:textId="77777777" w:rsidR="00003897" w:rsidRDefault="00000000" w:rsidP="00115EE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B067F1" w14:textId="77777777" w:rsidR="00003897" w:rsidRDefault="00000000" w:rsidP="009B35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50484259"/>
      <w:docPartObj>
        <w:docPartGallery w:val="Page Numbers (Bottom of Page)"/>
        <w:docPartUnique/>
      </w:docPartObj>
    </w:sdtPr>
    <w:sdtContent>
      <w:p w14:paraId="2127EC8B" w14:textId="77777777" w:rsidR="00003897" w:rsidRDefault="00000000" w:rsidP="00115EE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sdtContent>
  </w:sdt>
  <w:p w14:paraId="13AA6757" w14:textId="77777777" w:rsidR="00003897" w:rsidRDefault="00000000" w:rsidP="009B35E9">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9BE"/>
    <w:rsid w:val="006809BE"/>
    <w:rsid w:val="00681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970F1"/>
  <w15:chartTrackingRefBased/>
  <w15:docId w15:val="{2CDA17A6-D07B-44FC-A70C-CF7B3C59A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9BE"/>
    <w:pPr>
      <w:widowControl w:val="0"/>
      <w:spacing w:after="0" w:line="240" w:lineRule="auto"/>
      <w:jc w:val="both"/>
    </w:pPr>
    <w:rPr>
      <w:rFonts w:eastAsiaTheme="minorEastAsia"/>
      <w:sz w:val="21"/>
      <w:lang w:eastAsia="zh-CN"/>
      <w14:ligatures w14:val="none"/>
    </w:rPr>
  </w:style>
  <w:style w:type="paragraph" w:styleId="Heading1">
    <w:name w:val="heading 1"/>
    <w:basedOn w:val="Normal"/>
    <w:next w:val="Normal"/>
    <w:link w:val="Heading1Char"/>
    <w:uiPriority w:val="9"/>
    <w:qFormat/>
    <w:rsid w:val="006809BE"/>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9BE"/>
    <w:rPr>
      <w:rFonts w:eastAsiaTheme="minorEastAsia"/>
      <w:b/>
      <w:bCs/>
      <w:kern w:val="44"/>
      <w:sz w:val="44"/>
      <w:szCs w:val="44"/>
      <w:lang w:eastAsia="zh-CN"/>
      <w14:ligatures w14:val="none"/>
    </w:rPr>
  </w:style>
  <w:style w:type="table" w:styleId="TableGrid">
    <w:name w:val="Table Grid"/>
    <w:basedOn w:val="TableNormal"/>
    <w:uiPriority w:val="39"/>
    <w:rsid w:val="006809BE"/>
    <w:pPr>
      <w:spacing w:after="0" w:line="240" w:lineRule="auto"/>
    </w:pPr>
    <w:rPr>
      <w:rFonts w:eastAsiaTheme="minorEastAsia"/>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809BE"/>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6809BE"/>
    <w:rPr>
      <w:rFonts w:eastAsiaTheme="minorEastAsia"/>
      <w:sz w:val="18"/>
      <w:szCs w:val="18"/>
      <w:lang w:eastAsia="zh-CN"/>
      <w14:ligatures w14:val="none"/>
    </w:rPr>
  </w:style>
  <w:style w:type="character" w:styleId="PageNumber">
    <w:name w:val="page number"/>
    <w:basedOn w:val="DefaultParagraphFont"/>
    <w:uiPriority w:val="99"/>
    <w:semiHidden/>
    <w:unhideWhenUsed/>
    <w:rsid w:val="006809BE"/>
  </w:style>
  <w:style w:type="table" w:styleId="GridTable6Colorful-Accent5">
    <w:name w:val="Grid Table 6 Colorful Accent 5"/>
    <w:basedOn w:val="TableNormal"/>
    <w:uiPriority w:val="51"/>
    <w:rsid w:val="006809BE"/>
    <w:pPr>
      <w:spacing w:after="0" w:line="240" w:lineRule="auto"/>
    </w:pPr>
    <w:rPr>
      <w:rFonts w:eastAsiaTheme="minorEastAsia"/>
      <w:color w:val="2E74B5" w:themeColor="accent5" w:themeShade="BF"/>
      <w:sz w:val="21"/>
      <w:lang w:eastAsia="zh-CN"/>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LineNumber">
    <w:name w:val="line number"/>
    <w:basedOn w:val="DefaultParagraphFont"/>
    <w:uiPriority w:val="99"/>
    <w:semiHidden/>
    <w:unhideWhenUsed/>
    <w:rsid w:val="00680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2072</Words>
  <Characters>11814</Characters>
  <Application>Microsoft Office Word</Application>
  <DocSecurity>0</DocSecurity>
  <Lines>98</Lines>
  <Paragraphs>27</Paragraphs>
  <ScaleCrop>false</ScaleCrop>
  <Company>SpringerNature</Company>
  <LinksUpToDate>false</LinksUpToDate>
  <CharactersWithSpaces>13859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2023-09-18T10:45:00Z</dcterms:created>
  <dcterms:modified xsi:type="dcterms:W3CDTF">2023-09-18T10:45:00Z</dcterms:modified>
</cp:coreProperties>
</file>