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Highlights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 this study, machine learning methods were combined with clinical questions and K-means cluster analysis was used to identify four subgroups of HFpEF patients based on common clinical characteristics, and these subgroups differed significantly in their impact on</w:t>
      </w:r>
      <w:bookmarkStart w:id="0" w:name="_GoBack"/>
      <w:bookmarkEnd w:id="0"/>
      <w:r>
        <w:rPr>
          <w:rFonts w:hint="default" w:ascii="Times New Roman" w:hAnsi="Times New Roman" w:cs="Times New Roman"/>
          <w:sz w:val="24"/>
          <w:szCs w:val="24"/>
        </w:rPr>
        <w:t xml:space="preserve"> disease prognosis, while the findings suggest that advanced age and renal function are not all determinants of prognosis, so the staging and treatment of HFpEF patients should focus on age and renal function.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iODM1ZTA3MDNlYTRlN2JhOTk1NWM2ZTkwNjM2NmEifQ=="/>
  </w:docVars>
  <w:rsids>
    <w:rsidRoot w:val="00000000"/>
    <w:rsid w:val="6BF62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2022-08-28T08:53:07Z</dcterms:created>
  <dc:creator>17603</dc:creator>
  <cp:lastModifiedBy>Xia Xu</cp:lastModifiedBy>
  <dcterms:modified xsi:type="dcterms:W3CDTF">2022-08-28T09:15:47Z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E6C61E4E908041FBB6D7B3C9CA3B7D3C</vt:lpwstr>
  </property>
</Properties>
</file>