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Title page</w:t>
      </w:r>
      <w:r>
        <w:rPr>
          <w:b/>
          <w:bCs/>
          <w:sz w:val="24"/>
          <w:szCs w:val="24"/>
        </w:rPr>
        <w:t>:</w:t>
      </w:r>
    </w:p>
    <w:p>
      <w:pPr>
        <w:widowControl/>
        <w:spacing w:line="360" w:lineRule="auto"/>
        <w:rPr>
          <w:rFonts w:ascii="Times New Roman" w:hAnsi="Times New Roman"/>
          <w:bCs/>
          <w:kern w:val="0"/>
          <w:sz w:val="24"/>
          <w:szCs w:val="24"/>
        </w:rPr>
      </w:pPr>
      <w:r>
        <w:rPr>
          <w:rFonts w:ascii="Times New Roman" w:hAnsi="Times New Roman" w:eastAsia="等线"/>
          <w:b/>
          <w:sz w:val="24"/>
          <w:szCs w:val="24"/>
        </w:rPr>
        <w:t xml:space="preserve">Title: </w:t>
      </w:r>
      <w:bookmarkStart w:id="0" w:name="OLE_LINK1"/>
      <w:r>
        <w:rPr>
          <w:rFonts w:hint="eastAsia" w:ascii="Times New Roman" w:hAnsi="Times New Roman"/>
          <w:bCs/>
          <w:kern w:val="0"/>
          <w:sz w:val="24"/>
          <w:szCs w:val="24"/>
        </w:rPr>
        <w:t>Establishment and evaluation of a nomogram prediction model for the risk of vascular calcification in stage 5 chronic kidney disease patients</w:t>
      </w:r>
      <w:bookmarkEnd w:id="0"/>
    </w:p>
    <w:p>
      <w:pPr>
        <w:widowControl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Authors:</w:t>
      </w:r>
    </w:p>
    <w:p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  <w:vertAlign w:val="superscript"/>
        </w:rPr>
      </w:pPr>
      <w:bookmarkStart w:id="1" w:name="_Hlk141192601"/>
      <w:r>
        <w:rPr>
          <w:rFonts w:ascii="Times New Roman" w:hAnsi="Times New Roman"/>
          <w:kern w:val="0"/>
          <w:sz w:val="24"/>
          <w:szCs w:val="24"/>
        </w:rPr>
        <w:t>Yan Y</w:t>
      </w:r>
      <w:bookmarkStart w:id="4" w:name="_GoBack"/>
      <w:bookmarkEnd w:id="4"/>
      <w:r>
        <w:rPr>
          <w:rFonts w:ascii="Times New Roman" w:hAnsi="Times New Roman"/>
          <w:kern w:val="0"/>
          <w:sz w:val="24"/>
          <w:szCs w:val="24"/>
        </w:rPr>
        <w:t>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W</w:t>
      </w:r>
      <w:r>
        <w:rPr>
          <w:rFonts w:hint="eastAsia" w:ascii="Times New Roman" w:hAnsi="Times New Roman"/>
          <w:kern w:val="0"/>
          <w:sz w:val="24"/>
          <w:szCs w:val="24"/>
        </w:rPr>
        <w:t>en</w:t>
      </w:r>
      <w:r>
        <w:rPr>
          <w:rFonts w:ascii="Times New Roman" w:hAnsi="Times New Roman"/>
          <w:kern w:val="0"/>
          <w:sz w:val="24"/>
          <w:szCs w:val="24"/>
        </w:rPr>
        <w:t>yu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Gong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hint="eastAsia" w:ascii="Times New Roman" w:hAnsi="Times New Roman"/>
          <w:kern w:val="0"/>
          <w:sz w:val="24"/>
          <w:szCs w:val="24"/>
        </w:rPr>
        <w:t>Shishi Li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hint="eastAsia" w:ascii="Times New Roman" w:hAnsi="Times New Roman"/>
          <w:kern w:val="0"/>
          <w:sz w:val="24"/>
          <w:szCs w:val="24"/>
        </w:rPr>
        <w:t>Sining Chen</w:t>
      </w:r>
      <w:r>
        <w:rPr>
          <w:rFonts w:hint="eastAsia"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hint="eastAsia" w:ascii="Times New Roman" w:hAnsi="Times New Roman"/>
          <w:kern w:val="0"/>
          <w:sz w:val="24"/>
          <w:szCs w:val="24"/>
        </w:rPr>
        <w:t>Zhiqian Yang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hint="eastAsia" w:ascii="Times New Roman" w:hAnsi="Times New Roman"/>
          <w:kern w:val="0"/>
          <w:sz w:val="24"/>
          <w:szCs w:val="24"/>
        </w:rPr>
        <w:t>Chaoying Kuang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Yuzhen Zhong</w:t>
      </w:r>
      <w:r>
        <w:rPr>
          <w:rFonts w:ascii="Times New Roman" w:hAnsi="Times New Roman"/>
          <w:kern w:val="0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Fanna Liu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1#</w:t>
      </w:r>
      <w:bookmarkEnd w:id="1"/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eastAsia="等线"/>
          <w:b/>
          <w:bCs/>
          <w:sz w:val="24"/>
          <w:szCs w:val="24"/>
        </w:rPr>
      </w:pPr>
      <w:r>
        <w:rPr>
          <w:rFonts w:ascii="Times New Roman" w:hAnsi="Times New Roman" w:eastAsia="等线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ffiliations</w:t>
      </w:r>
      <w:r>
        <w:rPr>
          <w:rFonts w:ascii="Times New Roman" w:hAnsi="Times New Roman"/>
          <w:sz w:val="24"/>
          <w:szCs w:val="24"/>
        </w:rPr>
        <w:t>:</w:t>
      </w:r>
    </w:p>
    <w:p>
      <w:pPr>
        <w:widowControl/>
        <w:autoSpaceDE w:val="0"/>
        <w:autoSpaceDN w:val="0"/>
        <w:spacing w:line="360" w:lineRule="auto"/>
        <w:rPr>
          <w:rFonts w:ascii="Times New Roman" w:hAnsi="Times New Roman"/>
          <w:kern w:val="0"/>
          <w:sz w:val="24"/>
          <w:szCs w:val="24"/>
        </w:rPr>
      </w:pPr>
      <w:bookmarkStart w:id="2" w:name="_Hlk141192623"/>
      <w:r>
        <w:rPr>
          <w:rFonts w:ascii="Times New Roman" w:hAnsi="Times New Roman"/>
          <w:kern w:val="0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/>
          <w:kern w:val="0"/>
          <w:sz w:val="24"/>
          <w:szCs w:val="24"/>
        </w:rPr>
        <w:t xml:space="preserve">Department of Nephrology, The First Affiliated Hospital </w:t>
      </w:r>
      <w:r>
        <w:rPr>
          <w:rFonts w:hint="eastAsia" w:ascii="Times New Roman" w:hAnsi="Times New Roman"/>
          <w:kern w:val="0"/>
          <w:sz w:val="24"/>
          <w:szCs w:val="24"/>
        </w:rPr>
        <w:t>of</w:t>
      </w:r>
      <w:r>
        <w:rPr>
          <w:rFonts w:ascii="Times New Roman" w:hAnsi="Times New Roman"/>
          <w:kern w:val="0"/>
          <w:sz w:val="24"/>
          <w:szCs w:val="24"/>
        </w:rPr>
        <w:t xml:space="preserve"> Jinan University, Jinan University, Guangzhou, China. </w:t>
      </w:r>
      <w:bookmarkEnd w:id="2"/>
      <w:r>
        <w:rPr>
          <w:rFonts w:ascii="Times New Roman" w:hAnsi="Times New Roman"/>
          <w:kern w:val="0"/>
          <w:sz w:val="24"/>
          <w:szCs w:val="24"/>
        </w:rPr>
        <w:t xml:space="preserve"> </w:t>
      </w:r>
    </w:p>
    <w:p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 xml:space="preserve">* Correspondence </w:t>
      </w:r>
      <w:r>
        <w:rPr>
          <w:rFonts w:hint="eastAsia" w:ascii="Times New Roman" w:hAnsi="Times New Roman"/>
          <w:b/>
          <w:kern w:val="0"/>
          <w:sz w:val="24"/>
          <w:szCs w:val="24"/>
        </w:rPr>
        <w:t>to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: </w:t>
      </w:r>
      <w:r>
        <w:rPr>
          <w:rFonts w:ascii="Times New Roman" w:hAnsi="Times New Roman"/>
          <w:b/>
          <w:kern w:val="0"/>
          <w:sz w:val="24"/>
          <w:szCs w:val="24"/>
        </w:rPr>
        <w:br w:type="textWrapping"/>
      </w:r>
      <w:bookmarkStart w:id="3" w:name="_Hlk141192631"/>
      <w:r>
        <w:rPr>
          <w:rFonts w:ascii="Times New Roman" w:hAnsi="Times New Roman"/>
          <w:kern w:val="0"/>
          <w:sz w:val="24"/>
          <w:szCs w:val="24"/>
        </w:rPr>
        <w:t xml:space="preserve">Fanna Liu, Department of Nephrology, The First Affiliated Hospital of Jinan University, 613 W. Huangpu Avenue, Guangzhou, Guangdong, China. E-mail address: </w:t>
      </w:r>
      <w:r>
        <w:rPr>
          <w:rFonts w:ascii="Times New Roman" w:hAnsi="Times New Roman"/>
          <w:sz w:val="24"/>
          <w:szCs w:val="24"/>
        </w:rPr>
        <w:t>tliufana@jnu.edu.cn</w:t>
      </w:r>
      <w:r>
        <w:t>;</w:t>
      </w:r>
      <w:bookmarkEnd w:id="3"/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</w:p>
    <w:p>
      <w:pP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Primary disease distribution in patients without calcification and in patients with calcification</w:t>
      </w:r>
    </w:p>
    <w:p>
      <w:pPr>
        <w:spacing w:line="360" w:lineRule="auto"/>
        <w:ind w:firstLine="42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Theme="minorHAnsi" w:hAnsiTheme="minorHAnsi" w:eastAsiaTheme="minorEastAsia" w:cstheme="minorBidi"/>
          <w:szCs w:val="24"/>
        </w:rPr>
        <w:drawing>
          <wp:inline distT="0" distB="0" distL="114300" distR="114300">
            <wp:extent cx="4724400" cy="2984500"/>
            <wp:effectExtent l="4445" t="4445" r="8255" b="8255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29231C9B"/>
    <w:rsid w:val="2923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oleObject" Target="file:///D:\CKD-MBD\2&#24314;&#2716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3452380952381"/>
          <c:y val="0.174074074074074"/>
          <c:w val="0.854603174603175"/>
          <c:h val="0.3099074074074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[2建模.xlsx]Sheet2!$B$1</c:f>
              <c:strCache>
                <c:ptCount val="1"/>
                <c:pt idx="0">
                  <c:v>non-calcification group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800" b="1" i="0" u="none" strike="noStrike" kern="1200" cap="none" spc="0" normalizeH="0" baseline="0">
                    <a:solidFill>
                      <a:sysClr val="windowText" lastClr="000000">
                        <a:lumMod val="75000"/>
                        <a:lumOff val="25000"/>
                      </a:sysClr>
                    </a:solidFill>
                    <a:uFill>
                      <a:solidFill>
                        <a:sysClr val="windowText" lastClr="000000">
                          <a:lumMod val="75000"/>
                          <a:lumOff val="25000"/>
                        </a:sysClr>
                      </a:solidFill>
                    </a:uFill>
                    <a:latin typeface="Times New Roman" panose="02020603050405020304" charset="0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[2建模.xlsx]Sheet2!$A$2:$A$5</c:f>
              <c:strCache>
                <c:ptCount val="4"/>
                <c:pt idx="0">
                  <c:v>chronic glomerulonephritis</c:v>
                </c:pt>
                <c:pt idx="1">
                  <c:v>diabetic nephropathy</c:v>
                </c:pt>
                <c:pt idx="2">
                  <c:v>hypertensive nephropathy</c:v>
                </c:pt>
                <c:pt idx="3">
                  <c:v>others</c:v>
                </c:pt>
              </c:strCache>
            </c:strRef>
          </c:cat>
          <c:val>
            <c:numRef>
              <c:f>[2建模.xlsx]Sheet2!$B$2:$B$5</c:f>
              <c:numCache>
                <c:formatCode>General</c:formatCode>
                <c:ptCount val="4"/>
                <c:pt idx="0">
                  <c:v>65</c:v>
                </c:pt>
                <c:pt idx="1">
                  <c:v>18</c:v>
                </c:pt>
                <c:pt idx="2">
                  <c:v>17</c:v>
                </c:pt>
                <c:pt idx="3">
                  <c:v>17</c:v>
                </c:pt>
              </c:numCache>
            </c:numRef>
          </c:val>
        </c:ser>
        <c:ser>
          <c:idx val="1"/>
          <c:order val="1"/>
          <c:tx>
            <c:strRef>
              <c:f>[2建模.xlsx]Sheet2!$C$1</c:f>
              <c:strCache>
                <c:ptCount val="1"/>
                <c:pt idx="0">
                  <c:v>calcification group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800" b="1" i="0" u="none" strike="noStrike" kern="1200" cap="none" spc="0" normalizeH="0" baseline="0">
                    <a:solidFill>
                      <a:sysClr val="windowText" lastClr="000000">
                        <a:lumMod val="75000"/>
                        <a:lumOff val="25000"/>
                      </a:sysClr>
                    </a:solidFill>
                    <a:uFill>
                      <a:solidFill>
                        <a:sysClr val="windowText" lastClr="000000">
                          <a:lumMod val="75000"/>
                          <a:lumOff val="25000"/>
                        </a:sysClr>
                      </a:solidFill>
                    </a:uFill>
                    <a:latin typeface="Times New Roman" panose="02020603050405020304" charset="0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[2建模.xlsx]Sheet2!$A$2:$A$5</c:f>
              <c:strCache>
                <c:ptCount val="4"/>
                <c:pt idx="0">
                  <c:v>chronic glomerulonephritis</c:v>
                </c:pt>
                <c:pt idx="1">
                  <c:v>diabetic nephropathy</c:v>
                </c:pt>
                <c:pt idx="2">
                  <c:v>hypertensive nephropathy</c:v>
                </c:pt>
                <c:pt idx="3">
                  <c:v>others</c:v>
                </c:pt>
              </c:strCache>
            </c:strRef>
          </c:cat>
          <c:val>
            <c:numRef>
              <c:f>[2建模.xlsx]Sheet2!$C$2:$C$5</c:f>
              <c:numCache>
                <c:formatCode>General</c:formatCode>
                <c:ptCount val="4"/>
                <c:pt idx="0">
                  <c:v>125</c:v>
                </c:pt>
                <c:pt idx="1">
                  <c:v>72</c:v>
                </c:pt>
                <c:pt idx="2">
                  <c:v>36</c:v>
                </c:pt>
                <c:pt idx="3">
                  <c:v>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99855998"/>
        <c:axId val="274154778"/>
      </c:barChart>
      <c:catAx>
        <c:axId val="89985599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800" b="1">
                    <a:solidFill>
                      <a:sysClr val="windowText" lastClr="000000"/>
                    </a:solidFill>
                    <a:uFillTx/>
                    <a:latin typeface="Times New Roman" panose="02020603050405020304" charset="0"/>
                    <a:cs typeface="Times New Roman" panose="02020603050405020304" charset="0"/>
                  </a:rPr>
                  <a:t>The </a:t>
                </a:r>
                <a:r>
                  <a:rPr sz="800" b="1">
                    <a:solidFill>
                      <a:sysClr val="windowText" lastClr="000000"/>
                    </a:solidFill>
                    <a:uFillTx/>
                    <a:latin typeface="Times New Roman" panose="02020603050405020304" charset="0"/>
                    <a:cs typeface="Times New Roman" panose="02020603050405020304" charset="0"/>
                  </a:rPr>
                  <a:t>primary cause of CKD</a:t>
                </a:r>
                <a:endParaRPr sz="800" b="1">
                  <a:solidFill>
                    <a:sysClr val="windowText" lastClr="000000"/>
                  </a:solidFill>
                  <a:uFillTx/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>
                <a:lumMod val="15000"/>
                <a:lumOff val="85000"/>
              </a:sys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800" b="1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ysClr val="windowText" lastClr="000000">
                      <a:lumMod val="65000"/>
                      <a:lumOff val="35000"/>
                    </a:sys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274154778"/>
        <c:crosses val="autoZero"/>
        <c:auto val="1"/>
        <c:lblAlgn val="ctr"/>
        <c:lblOffset val="100"/>
        <c:noMultiLvlLbl val="0"/>
      </c:catAx>
      <c:valAx>
        <c:axId val="274154778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800" b="1">
                    <a:solidFill>
                      <a:sysClr val="windowText" lastClr="000000"/>
                    </a:solidFill>
                    <a:uFillTx/>
                    <a:latin typeface="Times New Roman" panose="02020603050405020304" charset="0"/>
                  </a:rPr>
                  <a:t>Numbers</a:t>
                </a:r>
                <a:endParaRPr lang="en-US" altLang="zh-CN" sz="800" b="1">
                  <a:solidFill>
                    <a:sysClr val="windowText" lastClr="000000"/>
                  </a:solidFill>
                  <a:uFillTx/>
                  <a:latin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800" b="1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ysClr val="windowText" lastClr="000000">
                      <a:lumMod val="65000"/>
                      <a:lumOff val="35000"/>
                    </a:sys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  <c:crossAx val="89985599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800" b="1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ysClr val="windowText" lastClr="000000">
                      <a:lumMod val="65000"/>
                      <a:lumOff val="35000"/>
                    </a:sys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800" b="1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ysClr val="windowText" lastClr="000000">
                      <a:lumMod val="65000"/>
                      <a:lumOff val="35000"/>
                    </a:sysClr>
                  </a:solidFill>
                </a:uFill>
                <a:latin typeface="Times New Roman" panose="02020603050405020304" charset="0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800" b="1" i="0" u="none" strike="noStrike" kern="1200" cap="none" spc="0" normalizeH="0" baseline="0">
              <a:solidFill>
                <a:sysClr val="windowText" lastClr="000000"/>
              </a:solidFill>
              <a:uFill>
                <a:solidFill>
                  <a:sysClr val="windowText" lastClr="000000">
                    <a:lumMod val="65000"/>
                    <a:lumOff val="35000"/>
                  </a:sysClr>
                </a:solidFill>
              </a:uFill>
              <a:latin typeface="Times New Roman" panose="02020603050405020304" charset="0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ysClr val="window" lastClr="FFFFFF"/>
    </a:solidFill>
    <a:ln w="9525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000" kern="1200"/>
  </cs:axisTitle>
  <cs:category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1000" kern="1200"/>
  </cs:chartArea>
  <cs:dataLabel>
    <cs:lnRef idx="0"/>
    <cs:fillRef idx="0"/>
    <cs:effectRef idx="0"/>
    <cs:fontRef idx="minor">
      <a:sysClr val="windowText" lastClr="000000">
        <a:lumMod val="75000"/>
        <a:lumOff val="25000"/>
      </a:sysClr>
    </cs:fontRef>
    <cs:defRPr sz="900" kern="1200"/>
  </cs:dataLabel>
  <cs:dataLabelCallout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solidFill>
        <a:sysClr val="window" lastClr="FFFFFF"/>
      </a:solidFill>
      <a:ln>
        <a:solidFill>
          <a:sysClr val="windowText" lastClr="000000">
            <a:lumMod val="25000"/>
            <a:lumOff val="75000"/>
          </a:sys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ysClr val="windowText" lastClr="000000"/>
    </cs:fontRef>
  </cs:dataPoint>
  <cs:dataPoint3D>
    <cs:lnRef idx="0"/>
    <cs:fillRef idx="1">
      <cs:styleClr val="auto"/>
    </cs:fillRef>
    <cs:effectRef idx="0"/>
    <cs:fontRef idx="minor">
      <a:sysClr val="windowText" lastClr="000000"/>
    </cs:fontRef>
  </cs:dataPoint3D>
  <cs:dataPointLine>
    <cs:lnRef idx="0">
      <cs:styleClr val="auto"/>
    </cs:lnRef>
    <cs:fillRef idx="1"/>
    <cs:effectRef idx="0"/>
    <cs:fontRef idx="minor">
      <a:sysClr val="windowText" lastClr="000000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ysClr val="windowText" lastClr="000000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noFill/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dataTable>
  <cs:downBar>
    <cs:lnRef idx="0"/>
    <cs:fillRef idx="0"/>
    <cs:effectRef idx="0"/>
    <cs:fontRef idx="minor">
      <a:sysClr val="windowText" lastClr="000000"/>
    </cs:fontRef>
    <cs:spPr>
      <a:solidFill>
        <a:sysClr val="windowText" lastClr="000000">
          <a:lumMod val="65000"/>
          <a:lumOff val="35000"/>
        </a:sysClr>
      </a:solidFill>
      <a:ln w="9525">
        <a:solidFill>
          <a:sysClr val="windowText" lastClr="000000">
            <a:lumMod val="65000"/>
            <a:lumOff val="35000"/>
          </a:sysClr>
        </a:solidFill>
      </a:ln>
    </cs:spPr>
  </cs:downBar>
  <cs:drop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dropLine>
  <cs:errorBa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errorBar>
  <cs:floor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floor>
  <cs:gridlineMaj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</cs:gridlineMajor>
  <cs:gridlineMin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"/>
            <a:lumOff val="95000"/>
          </a:sysClr>
        </a:solidFill>
        <a:round/>
      </a:ln>
    </cs:spPr>
  </cs:gridlineMinor>
  <cs:hiLo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75000"/>
            <a:lumOff val="25000"/>
          </a:sysClr>
        </a:solidFill>
        <a:round/>
      </a:ln>
    </cs:spPr>
  </cs:hiLoLine>
  <cs:leader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leaderLine>
  <cs:legend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legend>
  <cs:plotArea mods="allowNoFillOverride allowNoLineOverride">
    <cs:lnRef idx="0"/>
    <cs:fillRef idx="0"/>
    <cs:effectRef idx="0"/>
    <cs:fontRef idx="minor">
      <a:sysClr val="windowText" lastClr="000000"/>
    </cs:fontRef>
  </cs:plotArea>
  <cs:plotArea3D mods="allowNoFillOverride allowNoLineOverride">
    <cs:lnRef idx="0"/>
    <cs:fillRef idx="0"/>
    <cs:effectRef idx="0"/>
    <cs:fontRef idx="minor">
      <a:sysClr val="windowText" lastClr="000000"/>
    </cs:fontRef>
  </cs:plotArea3D>
  <cs:series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seriesAxis>
  <cs:series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seriesLine>
  <cs: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ysClr val="windowText" lastClr="000000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trendlineLabel>
  <cs:upBar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>
        <a:solidFill>
          <a:sysClr val="windowText" lastClr="000000">
            <a:lumMod val="15000"/>
            <a:lumOff val="85000"/>
          </a:sysClr>
        </a:solidFill>
      </a:ln>
    </cs:spPr>
  </cs:upBar>
  <cs:value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valueAxis>
  <cs:wall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2023-07-26T15:23:00Z</dcterms:created>
  <dc:creator>WPS_1678442557</dc:creator>
  <cp:lastModifiedBy>WPS_1678442557</cp:lastModifiedBy>
  <dcterms:modified xsi:type="dcterms:W3CDTF">2023-07-26T15:26:38Z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5EB8DBC7C524439E94ECF0353A8B4187_11</vt:lpwstr>
  </property>
</Properties>
</file>