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-1080" w:firstLine="0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0"/>
          <w:szCs w:val="20"/>
          <w:rtl w:val="0"/>
        </w:rPr>
        <w:t xml:space="preserve">Table 3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. Bone scan data in all MSP1 patients per major anatomical locations. </w:t>
      </w:r>
    </w:p>
    <w:tbl>
      <w:tblPr>
        <w:tblStyle w:val="Table1"/>
        <w:tblW w:w="15312.0" w:type="dxa"/>
        <w:jc w:val="left"/>
        <w:tblInd w:w="-1102.0" w:type="dxa"/>
        <w:tblLayout w:type="fixed"/>
        <w:tblLook w:val="0600"/>
      </w:tblPr>
      <w:tblGrid>
        <w:gridCol w:w="552"/>
        <w:gridCol w:w="540"/>
        <w:gridCol w:w="203"/>
        <w:gridCol w:w="542"/>
        <w:gridCol w:w="785"/>
        <w:gridCol w:w="810"/>
        <w:gridCol w:w="810"/>
        <w:gridCol w:w="990"/>
        <w:gridCol w:w="720"/>
        <w:gridCol w:w="720"/>
        <w:gridCol w:w="540"/>
        <w:gridCol w:w="630"/>
        <w:gridCol w:w="720"/>
        <w:gridCol w:w="810"/>
        <w:gridCol w:w="810"/>
        <w:gridCol w:w="810"/>
        <w:gridCol w:w="990"/>
        <w:gridCol w:w="630"/>
        <w:gridCol w:w="720"/>
        <w:gridCol w:w="540"/>
        <w:gridCol w:w="1440"/>
        <w:tblGridChange w:id="0">
          <w:tblGrid>
            <w:gridCol w:w="552"/>
            <w:gridCol w:w="540"/>
            <w:gridCol w:w="203"/>
            <w:gridCol w:w="542"/>
            <w:gridCol w:w="785"/>
            <w:gridCol w:w="810"/>
            <w:gridCol w:w="810"/>
            <w:gridCol w:w="990"/>
            <w:gridCol w:w="720"/>
            <w:gridCol w:w="720"/>
            <w:gridCol w:w="540"/>
            <w:gridCol w:w="630"/>
            <w:gridCol w:w="720"/>
            <w:gridCol w:w="810"/>
            <w:gridCol w:w="810"/>
            <w:gridCol w:w="810"/>
            <w:gridCol w:w="990"/>
            <w:gridCol w:w="630"/>
            <w:gridCol w:w="720"/>
            <w:gridCol w:w="540"/>
            <w:gridCol w:w="1440"/>
          </w:tblGrid>
        </w:tblGridChange>
      </w:tblGrid>
      <w:tr>
        <w:trPr>
          <w:cantSplit w:val="0"/>
          <w:trHeight w:val="416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2">
            <w:pPr>
              <w:rPr>
                <w:rFonts w:ascii="Times New Roman" w:cs="Times New Roman" w:eastAsia="Times New Roman" w:hAnsi="Times New Roman"/>
                <w:color w:val="000000"/>
                <w:sz w:val="13"/>
                <w:szCs w:val="1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3"/>
                <w:szCs w:val="13"/>
                <w:rtl w:val="0"/>
              </w:rPr>
              <w:t xml:space="preserve"> 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3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  <w:rtl w:val="0"/>
              </w:rPr>
              <w:t xml:space="preserve">Bone Scan data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  <w:rtl w:val="0"/>
              </w:rPr>
              <w:t xml:space="preserve">Radiological data (DJD)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  <w:rtl w:val="0"/>
              </w:rPr>
              <w:t xml:space="preserve">Comments</w:t>
            </w:r>
          </w:p>
        </w:tc>
      </w:tr>
      <w:tr>
        <w:trPr>
          <w:cantSplit w:val="0"/>
          <w:trHeight w:val="287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17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  <w:rtl w:val="0"/>
              </w:rPr>
              <w:t xml:space="preserve">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  <w:rtl w:val="0"/>
              </w:rPr>
              <w:t xml:space="preserve">Skull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  <w:rtl w:val="0"/>
              </w:rPr>
              <w:t xml:space="preserve">Lumbar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1B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  <w:rtl w:val="0"/>
              </w:rPr>
              <w:t xml:space="preserve">Thoracic/Ribs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1C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  <w:rtl w:val="0"/>
              </w:rPr>
              <w:t xml:space="preserve">Shoulder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1D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  <w:rtl w:val="0"/>
              </w:rPr>
              <w:t xml:space="preserve">Humerus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  <w:rtl w:val="0"/>
              </w:rPr>
              <w:t xml:space="preserve">Femur/Tibia/Fibula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1F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  <w:rtl w:val="0"/>
              </w:rPr>
              <w:t xml:space="preserve">Pelvis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0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  <w:rtl w:val="0"/>
              </w:rPr>
              <w:t xml:space="preserve">Clavicle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1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  <w:rtl w:val="0"/>
              </w:rPr>
              <w:t xml:space="preserve">Foot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2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  <w:rtl w:val="0"/>
              </w:rPr>
              <w:t xml:space="preserve">Skull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3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  <w:rtl w:val="0"/>
              </w:rPr>
              <w:t xml:space="preserve">Lumbar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4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  <w:rtl w:val="0"/>
              </w:rPr>
              <w:t xml:space="preserve">Thoracic/Ribs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5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  <w:rtl w:val="0"/>
              </w:rPr>
              <w:t xml:space="preserve">Shoulder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6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  <w:rtl w:val="0"/>
              </w:rPr>
              <w:t xml:space="preserve">Humerus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7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  <w:rtl w:val="0"/>
              </w:rPr>
              <w:t xml:space="preserve">Femur/Tibia/Fibula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8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  <w:rtl w:val="0"/>
              </w:rPr>
              <w:t xml:space="preserve">Pelvis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9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  <w:rtl w:val="0"/>
              </w:rPr>
              <w:t xml:space="preserve">Clavicle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A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  <w:rtl w:val="0"/>
              </w:rPr>
              <w:t xml:space="preserve">Foot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8" w:val="single"/>
            </w:tcBorders>
          </w:tcPr>
          <w:p w:rsidR="00000000" w:rsidDel="00000000" w:rsidP="00000000" w:rsidRDefault="00000000" w:rsidRPr="00000000" w14:paraId="0000002B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3"/>
                <w:szCs w:val="1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3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C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D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E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0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1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5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8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9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A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E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0">
            <w:pPr>
              <w:jc w:val="both"/>
              <w:rPr>
                <w:rFonts w:ascii="Times New Roman" w:cs="Times New Roman" w:eastAsia="Times New Roman" w:hAnsi="Times New Roman"/>
                <w:color w:val="000000"/>
                <w:sz w:val="11"/>
                <w:szCs w:val="1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1"/>
                <w:szCs w:val="11"/>
                <w:rtl w:val="0"/>
              </w:rPr>
              <w:t xml:space="preserve">Skull uptake consistent with PDB; other anatomical uptakes is consistent with DJD; Previously treated but still had active disease</w:t>
            </w:r>
          </w:p>
        </w:tc>
      </w:tr>
      <w:tr>
        <w:trPr>
          <w:cantSplit w:val="0"/>
          <w:trHeight w:val="611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41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4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4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45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46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4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4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49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A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B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4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4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4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4F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5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5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5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53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4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5">
            <w:pPr>
              <w:jc w:val="both"/>
              <w:rPr>
                <w:rFonts w:ascii="Times New Roman" w:cs="Times New Roman" w:eastAsia="Times New Roman" w:hAnsi="Times New Roman"/>
                <w:color w:val="000000"/>
                <w:sz w:val="11"/>
                <w:szCs w:val="1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1"/>
                <w:szCs w:val="11"/>
                <w:rtl w:val="0"/>
              </w:rPr>
              <w:t xml:space="preserve">Pelvic and spine uptake consistent with PDB; Shoulder, clavicle, and foot uptake due to DJD</w:t>
            </w:r>
          </w:p>
        </w:tc>
      </w:tr>
      <w:tr>
        <w:trPr>
          <w:cantSplit w:val="0"/>
          <w:trHeight w:val="701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56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5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5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5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5B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5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5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5E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0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4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9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A">
            <w:pPr>
              <w:jc w:val="both"/>
              <w:rPr>
                <w:rFonts w:ascii="Times New Roman" w:cs="Times New Roman" w:eastAsia="Times New Roman" w:hAnsi="Times New Roman"/>
                <w:color w:val="000000"/>
                <w:sz w:val="11"/>
                <w:szCs w:val="1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1"/>
                <w:szCs w:val="11"/>
                <w:rtl w:val="0"/>
              </w:rPr>
              <w:t xml:space="preserve">Pelvic uptake consistent with PDB, DJD noted at intertrochanteric region, right first toe, left midfoot and shoulders</w:t>
            </w:r>
          </w:p>
        </w:tc>
      </w:tr>
      <w:tr>
        <w:trPr>
          <w:cantSplit w:val="0"/>
          <w:trHeight w:val="629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B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C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D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F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7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7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72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73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7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7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7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7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7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7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7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7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7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F">
            <w:pPr>
              <w:jc w:val="both"/>
              <w:rPr>
                <w:rFonts w:ascii="Times New Roman" w:cs="Times New Roman" w:eastAsia="Times New Roman" w:hAnsi="Times New Roman"/>
                <w:color w:val="000000"/>
                <w:sz w:val="11"/>
                <w:szCs w:val="1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1"/>
                <w:szCs w:val="11"/>
                <w:rtl w:val="0"/>
              </w:rPr>
              <w:t xml:space="preserve">All uptakes consistent with PDB</w:t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0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4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94">
            <w:pPr>
              <w:jc w:val="both"/>
              <w:rPr>
                <w:rFonts w:ascii="Times New Roman" w:cs="Times New Roman" w:eastAsia="Times New Roman" w:hAnsi="Times New Roman"/>
                <w:color w:val="000000"/>
                <w:sz w:val="11"/>
                <w:szCs w:val="1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1"/>
                <w:szCs w:val="11"/>
                <w:rtl w:val="0"/>
              </w:rPr>
              <w:t xml:space="preserve">Rib uptake due to uncertain etiology not typical of PDB</w:t>
            </w:r>
          </w:p>
        </w:tc>
      </w:tr>
      <w:tr>
        <w:trPr>
          <w:cantSplit w:val="0"/>
          <w:trHeight w:val="539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5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6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9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A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A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A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A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A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A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A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A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A9">
            <w:pPr>
              <w:jc w:val="both"/>
              <w:rPr>
                <w:rFonts w:ascii="Times New Roman" w:cs="Times New Roman" w:eastAsia="Times New Roman" w:hAnsi="Times New Roman"/>
                <w:color w:val="000000"/>
                <w:sz w:val="11"/>
                <w:szCs w:val="1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1"/>
                <w:szCs w:val="11"/>
                <w:rtl w:val="0"/>
              </w:rPr>
              <w:t xml:space="preserve">L superior parietal calvarium involvement due to Paget’s; PBD diagnosis while at visit</w:t>
            </w:r>
          </w:p>
        </w:tc>
      </w:tr>
      <w:tr>
        <w:trPr>
          <w:cantSplit w:val="0"/>
          <w:trHeight w:val="521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AA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A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A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A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A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B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B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B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B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B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B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B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B8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B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B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B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B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BE">
            <w:pPr>
              <w:jc w:val="both"/>
              <w:rPr>
                <w:rFonts w:ascii="Times New Roman" w:cs="Times New Roman" w:eastAsia="Times New Roman" w:hAnsi="Times New Roman"/>
                <w:color w:val="000000"/>
                <w:sz w:val="11"/>
                <w:szCs w:val="1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1"/>
                <w:szCs w:val="11"/>
                <w:rtl w:val="0"/>
              </w:rPr>
              <w:t xml:space="preserve">Multiple joint uptakes due to DJD</w:t>
            </w:r>
          </w:p>
        </w:tc>
      </w:tr>
      <w:tr>
        <w:trPr>
          <w:cantSplit w:val="0"/>
          <w:trHeight w:val="539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BF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C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C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C3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C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C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C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C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C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C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C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CC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C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C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C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D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D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D3">
            <w:pPr>
              <w:jc w:val="both"/>
              <w:rPr>
                <w:rFonts w:ascii="Times New Roman" w:cs="Times New Roman" w:eastAsia="Times New Roman" w:hAnsi="Times New Roman"/>
                <w:color w:val="000000"/>
                <w:sz w:val="11"/>
                <w:szCs w:val="1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1"/>
                <w:szCs w:val="11"/>
                <w:rtl w:val="0"/>
              </w:rPr>
              <w:t xml:space="preserve">Rib uptake due to DJD; later diagnosed with PDB</w:t>
            </w:r>
          </w:p>
        </w:tc>
      </w:tr>
      <w:tr>
        <w:trPr>
          <w:cantSplit w:val="0"/>
          <w:trHeight w:val="521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D4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  <w:rtl w:val="0"/>
              </w:rPr>
              <w:t xml:space="preserve">9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D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D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D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D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D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D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DC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D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D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E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E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E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E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E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E5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E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E8">
            <w:pPr>
              <w:jc w:val="both"/>
              <w:rPr>
                <w:rFonts w:ascii="Times New Roman" w:cs="Times New Roman" w:eastAsia="Times New Roman" w:hAnsi="Times New Roman"/>
                <w:color w:val="000000"/>
                <w:sz w:val="11"/>
                <w:szCs w:val="1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1"/>
                <w:szCs w:val="11"/>
                <w:rtl w:val="0"/>
              </w:rPr>
              <w:t xml:space="preserve">Uptake in this patient is due to DJD</w:t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E9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E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E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E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E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E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F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F1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F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F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F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F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F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F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F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F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F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FD">
            <w:pPr>
              <w:jc w:val="both"/>
              <w:rPr>
                <w:rFonts w:ascii="Times New Roman" w:cs="Times New Roman" w:eastAsia="Times New Roman" w:hAnsi="Times New Roman"/>
                <w:color w:val="000000"/>
                <w:sz w:val="11"/>
                <w:szCs w:val="1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1"/>
                <w:szCs w:val="11"/>
                <w:rtl w:val="0"/>
              </w:rPr>
              <w:t xml:space="preserve">Increased activity on the right ischium and acetabulum due to Paget’s; PBD diagnosis while at visit</w:t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FE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  <w:rtl w:val="0"/>
              </w:rPr>
              <w:t xml:space="preserve">11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F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0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0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03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0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0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0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07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0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0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0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0C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0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0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0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10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1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112">
            <w:pPr>
              <w:jc w:val="both"/>
              <w:rPr>
                <w:rFonts w:ascii="Times New Roman" w:cs="Times New Roman" w:eastAsia="Times New Roman" w:hAnsi="Times New Roman"/>
                <w:color w:val="000000"/>
                <w:sz w:val="11"/>
                <w:szCs w:val="1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1"/>
                <w:szCs w:val="11"/>
                <w:rtl w:val="0"/>
              </w:rPr>
              <w:t xml:space="preserve">Clavicle  and shoulder uptake due to DJD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13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5"/>
                <w:szCs w:val="15"/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1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1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17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1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1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1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1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1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1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1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2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2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2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2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2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2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2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127">
            <w:pPr>
              <w:jc w:val="both"/>
              <w:rPr>
                <w:rFonts w:ascii="Times New Roman" w:cs="Times New Roman" w:eastAsia="Times New Roman" w:hAnsi="Times New Roman"/>
                <w:color w:val="000000"/>
                <w:sz w:val="11"/>
                <w:szCs w:val="1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1"/>
                <w:szCs w:val="11"/>
                <w:rtl w:val="0"/>
              </w:rPr>
              <w:t xml:space="preserve">Rib uptake with unknown etiology</w:t>
            </w:r>
          </w:p>
        </w:tc>
      </w:tr>
      <w:tr>
        <w:trPr>
          <w:cantSplit w:val="0"/>
          <w:trHeight w:val="287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8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2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3"/>
                <w:szCs w:val="1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3"/>
                <w:szCs w:val="13"/>
                <w:rtl w:val="0"/>
              </w:rPr>
              <w:t xml:space="preserve">% MSP1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2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  <w:rtl w:val="0"/>
              </w:rPr>
              <w:t xml:space="preserve">25%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2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  <w:rtl w:val="0"/>
              </w:rPr>
              <w:t xml:space="preserve">17%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2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  <w:rtl w:val="0"/>
              </w:rPr>
              <w:t xml:space="preserve">50%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2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  <w:rtl w:val="0"/>
              </w:rPr>
              <w:t xml:space="preserve">33%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2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  <w:rtl w:val="0"/>
              </w:rPr>
              <w:t xml:space="preserve">0%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2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  <w:rtl w:val="0"/>
              </w:rPr>
              <w:t xml:space="preserve">8%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3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  <w:rtl w:val="0"/>
              </w:rPr>
              <w:t xml:space="preserve">42%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3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  <w:rtl w:val="0"/>
              </w:rPr>
              <w:t xml:space="preserve">25%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  <w:rtl w:val="0"/>
              </w:rPr>
              <w:t xml:space="preserve">17%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3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  <w:rtl w:val="0"/>
              </w:rPr>
              <w:t xml:space="preserve">0%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3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  <w:rtl w:val="0"/>
              </w:rPr>
              <w:t xml:space="preserve">8%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3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  <w:rtl w:val="0"/>
              </w:rPr>
              <w:t xml:space="preserve">17%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3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  <w:rtl w:val="0"/>
              </w:rPr>
              <w:t xml:space="preserve">42%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3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  <w:rtl w:val="0"/>
              </w:rPr>
              <w:t xml:space="preserve">0%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3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  <w:rtl w:val="0"/>
              </w:rPr>
              <w:t xml:space="preserve">0%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3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  <w:rtl w:val="0"/>
              </w:rPr>
              <w:t xml:space="preserve">8%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  <w:rtl w:val="0"/>
              </w:rPr>
              <w:t xml:space="preserve">25%</w:t>
            </w:r>
          </w:p>
        </w:tc>
        <w:tc>
          <w:tcPr>
            <w:tcBorders>
              <w:top w:color="000000" w:space="0" w:sz="4" w:val="single"/>
              <w:bottom w:color="000000" w:space="0" w:sz="8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3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5"/>
                <w:szCs w:val="15"/>
                <w:rtl w:val="0"/>
              </w:rPr>
              <w:t xml:space="preserve">17%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13C">
            <w:pPr>
              <w:jc w:val="both"/>
              <w:rPr>
                <w:rFonts w:ascii="Times New Roman" w:cs="Times New Roman" w:eastAsia="Times New Roman" w:hAnsi="Times New Roman"/>
                <w:color w:val="000000"/>
                <w:sz w:val="10"/>
                <w:szCs w:val="1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0"/>
                <w:szCs w:val="10"/>
                <w:rtl w:val="0"/>
              </w:rPr>
              <w:t xml:space="preserve">-</w:t>
            </w:r>
          </w:p>
        </w:tc>
      </w:tr>
    </w:tbl>
    <w:p w:rsidR="00000000" w:rsidDel="00000000" w:rsidP="00000000" w:rsidRDefault="00000000" w:rsidRPr="00000000" w14:paraId="0000013D">
      <w:pPr>
        <w:ind w:hanging="1080"/>
        <w:jc w:val="both"/>
        <w:rPr>
          <w:rFonts w:ascii="Times New Roman" w:cs="Times New Roman" w:eastAsia="Times New Roman" w:hAnsi="Times New Roman"/>
          <w:i w:val="1"/>
          <w:color w:val="000000"/>
          <w:sz w:val="13"/>
          <w:szCs w:val="13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13"/>
          <w:szCs w:val="13"/>
          <w:rtl w:val="0"/>
        </w:rPr>
        <w:t xml:space="preserve">DJD: Degenerative joint disease, MSP1: Multisystem proteinopathy-1; [+] observed findings; [-] no observed findings</w:t>
      </w:r>
    </w:p>
    <w:sectPr>
      <w:pgSz w:h="12240" w:w="15840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590D38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Revision">
    <w:name w:val="Revision"/>
    <w:hidden w:val="1"/>
    <w:uiPriority w:val="99"/>
    <w:semiHidden w:val="1"/>
    <w:rsid w:val="00503051"/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5030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503051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50305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503051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503051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BjVVBkPY/RVWHdDmTKBSe7E3bg==">CgMxLjA4AHIhMTcwZ29yUmZLdjhOZGlILXBBbTk0UGV5dzFDZG9pUFUw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2023-06-29T15:36:00Z</dcterms:created>
  <dc:creator>Columbres, Rod Carlo (NIH/CC/OCRTME) [F]</dc:creator>
</cp:coreProperties>
</file>