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FF9F3" w14:textId="77777777" w:rsidR="00741723" w:rsidRDefault="00741723" w:rsidP="00741723">
      <w:pPr>
        <w:rPr>
          <w:rFonts w:asciiTheme="majorBidi" w:hAnsiTheme="majorBidi" w:cstheme="majorBidi"/>
          <w:b/>
          <w:bCs/>
          <w:sz w:val="24"/>
          <w:szCs w:val="24"/>
        </w:rPr>
      </w:pPr>
      <w:bookmarkStart w:id="0" w:name="_Hlk132448229"/>
      <w:r w:rsidRPr="00AB3F1A">
        <w:rPr>
          <w:rFonts w:asciiTheme="majorBidi" w:hAnsiTheme="majorBidi" w:cstheme="majorBidi"/>
          <w:b/>
          <w:bCs/>
          <w:sz w:val="24"/>
          <w:szCs w:val="24"/>
        </w:rPr>
        <w:t xml:space="preserve">Functionalizing </w:t>
      </w:r>
      <w:r>
        <w:rPr>
          <w:rFonts w:asciiTheme="majorBidi" w:hAnsiTheme="majorBidi" w:cstheme="majorBidi"/>
          <w:b/>
          <w:bCs/>
          <w:sz w:val="24"/>
          <w:szCs w:val="24"/>
        </w:rPr>
        <w:t>of Polydimethylsiloxane</w:t>
      </w:r>
      <w:r w:rsidRPr="00AB3F1A">
        <w:rPr>
          <w:rFonts w:asciiTheme="majorBidi" w:hAnsiTheme="majorBidi" w:cstheme="majorBidi"/>
          <w:b/>
          <w:bCs/>
          <w:sz w:val="24"/>
          <w:szCs w:val="24"/>
        </w:rPr>
        <w:t xml:space="preserve"> with Cell Shape Imprinting and Nano Layer Hydroxyapatite-Coating to Accelerate Osteoblast Proliferation and Differentiation</w:t>
      </w:r>
    </w:p>
    <w:bookmarkEnd w:id="0"/>
    <w:p w14:paraId="107A3582" w14:textId="7152F7A1" w:rsidR="005F0E19" w:rsidRDefault="005F0E19" w:rsidP="005F0E19">
      <w:pPr>
        <w:rPr>
          <w:rFonts w:asciiTheme="majorBidi" w:hAnsiTheme="majorBidi" w:cstheme="majorBidi"/>
          <w:b/>
          <w:bCs/>
          <w:sz w:val="24"/>
          <w:szCs w:val="24"/>
        </w:rPr>
      </w:pPr>
      <w:r>
        <w:rPr>
          <w:rFonts w:asciiTheme="majorBidi" w:hAnsiTheme="majorBidi" w:cstheme="majorBidi"/>
          <w:b/>
          <w:bCs/>
          <w:sz w:val="24"/>
          <w:szCs w:val="24"/>
        </w:rPr>
        <w:t xml:space="preserve">Morteza </w:t>
      </w:r>
      <w:proofErr w:type="spellStart"/>
      <w:r>
        <w:rPr>
          <w:rFonts w:asciiTheme="majorBidi" w:hAnsiTheme="majorBidi" w:cstheme="majorBidi"/>
          <w:b/>
          <w:bCs/>
          <w:sz w:val="24"/>
          <w:szCs w:val="24"/>
        </w:rPr>
        <w:t>Mehrjoo</w:t>
      </w:r>
      <w:r>
        <w:rPr>
          <w:rFonts w:asciiTheme="majorBidi" w:hAnsiTheme="majorBidi" w:cstheme="majorBidi"/>
          <w:b/>
          <w:bCs/>
          <w:sz w:val="24"/>
          <w:szCs w:val="24"/>
          <w:vertAlign w:val="superscript"/>
        </w:rPr>
        <w:t>a</w:t>
      </w:r>
      <w:proofErr w:type="spellEnd"/>
      <w:r>
        <w:rPr>
          <w:rFonts w:asciiTheme="majorBidi" w:hAnsiTheme="majorBidi" w:cstheme="majorBidi"/>
          <w:b/>
          <w:bCs/>
          <w:sz w:val="24"/>
          <w:szCs w:val="24"/>
        </w:rPr>
        <w:t xml:space="preserve">, Akbar </w:t>
      </w:r>
      <w:proofErr w:type="spellStart"/>
      <w:r>
        <w:rPr>
          <w:rFonts w:asciiTheme="majorBidi" w:hAnsiTheme="majorBidi" w:cstheme="majorBidi"/>
          <w:b/>
          <w:bCs/>
          <w:sz w:val="24"/>
          <w:szCs w:val="24"/>
        </w:rPr>
        <w:t>Karkhaneh</w:t>
      </w:r>
      <w:r>
        <w:rPr>
          <w:rFonts w:asciiTheme="majorBidi" w:hAnsiTheme="majorBidi" w:cstheme="majorBidi"/>
          <w:b/>
          <w:bCs/>
          <w:sz w:val="24"/>
          <w:szCs w:val="24"/>
          <w:vertAlign w:val="superscript"/>
        </w:rPr>
        <w:t>a</w:t>
      </w:r>
      <w:proofErr w:type="spellEnd"/>
      <w:r w:rsidR="005E62DE">
        <w:rPr>
          <w:rStyle w:val="FootnoteReference"/>
          <w:rFonts w:asciiTheme="majorBidi" w:hAnsiTheme="majorBidi" w:cstheme="majorBidi"/>
          <w:b/>
          <w:bCs/>
          <w:sz w:val="24"/>
          <w:szCs w:val="24"/>
        </w:rPr>
        <w:footnoteReference w:id="1"/>
      </w:r>
      <w:r>
        <w:rPr>
          <w:rFonts w:asciiTheme="majorBidi" w:hAnsiTheme="majorBidi" w:cstheme="majorBidi"/>
          <w:b/>
          <w:bCs/>
          <w:sz w:val="24"/>
          <w:szCs w:val="24"/>
        </w:rPr>
        <w:t xml:space="preserve">, Masoumeh </w:t>
      </w:r>
      <w:proofErr w:type="spellStart"/>
      <w:r>
        <w:rPr>
          <w:rFonts w:asciiTheme="majorBidi" w:hAnsiTheme="majorBidi" w:cstheme="majorBidi"/>
          <w:b/>
          <w:bCs/>
          <w:sz w:val="24"/>
          <w:szCs w:val="24"/>
        </w:rPr>
        <w:t>Haghbin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Nazarpak</w:t>
      </w:r>
      <w:r>
        <w:rPr>
          <w:rFonts w:asciiTheme="majorBidi" w:hAnsiTheme="majorBidi" w:cstheme="majorBidi"/>
          <w:b/>
          <w:bCs/>
          <w:sz w:val="24"/>
          <w:szCs w:val="24"/>
          <w:vertAlign w:val="superscript"/>
        </w:rPr>
        <w:t>b</w:t>
      </w:r>
      <w:proofErr w:type="spellEnd"/>
      <w:r>
        <w:rPr>
          <w:rFonts w:asciiTheme="majorBidi" w:hAnsiTheme="majorBidi" w:cstheme="majorBidi"/>
          <w:b/>
          <w:bCs/>
          <w:sz w:val="24"/>
          <w:szCs w:val="24"/>
          <w:vertAlign w:val="superscript"/>
        </w:rPr>
        <w:t>*</w:t>
      </w:r>
      <w:r>
        <w:rPr>
          <w:rFonts w:asciiTheme="majorBidi" w:hAnsiTheme="majorBidi" w:cstheme="majorBidi"/>
          <w:b/>
          <w:bCs/>
          <w:sz w:val="24"/>
          <w:szCs w:val="24"/>
        </w:rPr>
        <w:t xml:space="preserve">, Mostafa </w:t>
      </w:r>
      <w:proofErr w:type="spellStart"/>
      <w:r>
        <w:rPr>
          <w:rFonts w:asciiTheme="majorBidi" w:hAnsiTheme="majorBidi" w:cstheme="majorBidi"/>
          <w:b/>
          <w:bCs/>
          <w:sz w:val="24"/>
          <w:szCs w:val="24"/>
        </w:rPr>
        <w:t>Alishahi</w:t>
      </w:r>
      <w:r>
        <w:rPr>
          <w:rFonts w:asciiTheme="majorBidi" w:hAnsiTheme="majorBidi" w:cstheme="majorBidi"/>
          <w:b/>
          <w:bCs/>
          <w:sz w:val="24"/>
          <w:szCs w:val="24"/>
          <w:vertAlign w:val="superscript"/>
        </w:rPr>
        <w:t>c</w:t>
      </w:r>
      <w:proofErr w:type="spellEnd"/>
      <w:r>
        <w:rPr>
          <w:rFonts w:asciiTheme="majorBidi" w:hAnsiTheme="majorBidi" w:cstheme="majorBidi"/>
          <w:b/>
          <w:bCs/>
          <w:sz w:val="24"/>
          <w:szCs w:val="24"/>
        </w:rPr>
        <w:t xml:space="preserve"> and Shahin </w:t>
      </w:r>
      <w:proofErr w:type="spellStart"/>
      <w:r>
        <w:rPr>
          <w:rFonts w:asciiTheme="majorBidi" w:hAnsiTheme="majorBidi" w:cstheme="majorBidi"/>
          <w:b/>
          <w:bCs/>
          <w:sz w:val="24"/>
          <w:szCs w:val="24"/>
        </w:rPr>
        <w:t>Bonakdar</w:t>
      </w:r>
      <w:r>
        <w:rPr>
          <w:rFonts w:asciiTheme="majorBidi" w:hAnsiTheme="majorBidi" w:cstheme="majorBidi"/>
          <w:b/>
          <w:bCs/>
          <w:sz w:val="24"/>
          <w:szCs w:val="24"/>
          <w:vertAlign w:val="superscript"/>
        </w:rPr>
        <w:t>d</w:t>
      </w:r>
      <w:proofErr w:type="spellEnd"/>
      <w:r>
        <w:rPr>
          <w:rFonts w:asciiTheme="majorBidi" w:hAnsiTheme="majorBidi" w:cstheme="majorBidi"/>
          <w:b/>
          <w:bCs/>
          <w:sz w:val="24"/>
          <w:szCs w:val="24"/>
        </w:rPr>
        <w:t xml:space="preserve"> </w:t>
      </w:r>
    </w:p>
    <w:p w14:paraId="73E8D9B8" w14:textId="77777777" w:rsidR="005F0E19" w:rsidRDefault="005F0E19" w:rsidP="005F0E19">
      <w:pPr>
        <w:spacing w:line="360" w:lineRule="auto"/>
        <w:rPr>
          <w:rFonts w:asciiTheme="majorBidi" w:hAnsiTheme="majorBidi" w:cstheme="majorBidi"/>
          <w:sz w:val="20"/>
          <w:szCs w:val="20"/>
          <w:shd w:val="clear" w:color="auto" w:fill="FFFFFF"/>
        </w:rPr>
      </w:pPr>
      <w:proofErr w:type="gramStart"/>
      <w:r w:rsidRPr="00610F39">
        <w:rPr>
          <w:rFonts w:asciiTheme="majorBidi" w:hAnsiTheme="majorBidi" w:cstheme="majorBidi"/>
          <w:sz w:val="28"/>
          <w:szCs w:val="28"/>
          <w:shd w:val="clear" w:color="auto" w:fill="FFFFFF"/>
          <w:vertAlign w:val="superscript"/>
        </w:rPr>
        <w:t>a</w:t>
      </w:r>
      <w:r>
        <w:rPr>
          <w:rFonts w:asciiTheme="majorBidi" w:hAnsiTheme="majorBidi" w:cstheme="majorBidi"/>
          <w:sz w:val="28"/>
          <w:szCs w:val="28"/>
          <w:shd w:val="clear" w:color="auto" w:fill="FFFFFF"/>
        </w:rPr>
        <w:t xml:space="preserve">  </w:t>
      </w:r>
      <w:r w:rsidRPr="00E07862">
        <w:rPr>
          <w:rFonts w:asciiTheme="majorBidi" w:hAnsiTheme="majorBidi" w:cstheme="majorBidi"/>
          <w:shd w:val="clear" w:color="auto" w:fill="FFFFFF"/>
        </w:rPr>
        <w:t>Biomedical</w:t>
      </w:r>
      <w:proofErr w:type="gramEnd"/>
      <w:r w:rsidRPr="00E07862">
        <w:rPr>
          <w:rFonts w:asciiTheme="majorBidi" w:hAnsiTheme="majorBidi" w:cstheme="majorBidi"/>
          <w:shd w:val="clear" w:color="auto" w:fill="FFFFFF"/>
        </w:rPr>
        <w:t xml:space="preserve"> Engineering Department, </w:t>
      </w:r>
      <w:bookmarkStart w:id="1" w:name="_Hlk123420935"/>
      <w:proofErr w:type="spellStart"/>
      <w:r w:rsidRPr="00E07862">
        <w:rPr>
          <w:rFonts w:asciiTheme="majorBidi" w:hAnsiTheme="majorBidi" w:cstheme="majorBidi"/>
          <w:shd w:val="clear" w:color="auto" w:fill="FFFFFF"/>
        </w:rPr>
        <w:t>Amirkabir</w:t>
      </w:r>
      <w:proofErr w:type="spellEnd"/>
      <w:r w:rsidRPr="00E07862">
        <w:rPr>
          <w:rFonts w:asciiTheme="majorBidi" w:hAnsiTheme="majorBidi" w:cstheme="majorBidi"/>
          <w:shd w:val="clear" w:color="auto" w:fill="FFFFFF"/>
        </w:rPr>
        <w:t xml:space="preserve"> University of Technology </w:t>
      </w:r>
      <w:bookmarkEnd w:id="1"/>
      <w:r w:rsidRPr="00E07862">
        <w:rPr>
          <w:rFonts w:asciiTheme="majorBidi" w:hAnsiTheme="majorBidi" w:cstheme="majorBidi"/>
          <w:shd w:val="clear" w:color="auto" w:fill="FFFFFF"/>
        </w:rPr>
        <w:t>(Polytechnic Tehran), Tehran 158754413, Iran</w:t>
      </w:r>
    </w:p>
    <w:p w14:paraId="4E83133E" w14:textId="77777777" w:rsidR="005F0E19" w:rsidRPr="00E07862" w:rsidRDefault="005F0E19" w:rsidP="005F0E19">
      <w:pPr>
        <w:rPr>
          <w:rFonts w:asciiTheme="majorBidi" w:hAnsiTheme="majorBidi" w:cstheme="majorBidi"/>
          <w:shd w:val="clear" w:color="auto" w:fill="FFFFFF"/>
        </w:rPr>
      </w:pPr>
      <w:proofErr w:type="gramStart"/>
      <w:r>
        <w:rPr>
          <w:rFonts w:asciiTheme="majorBidi" w:hAnsiTheme="majorBidi" w:cstheme="majorBidi"/>
          <w:sz w:val="28"/>
          <w:szCs w:val="28"/>
          <w:shd w:val="clear" w:color="auto" w:fill="FFFFFF"/>
          <w:vertAlign w:val="superscript"/>
        </w:rPr>
        <w:t xml:space="preserve">b  </w:t>
      </w:r>
      <w:r w:rsidRPr="00E07862">
        <w:rPr>
          <w:rFonts w:asciiTheme="majorBidi" w:hAnsiTheme="majorBidi" w:cstheme="majorBidi"/>
          <w:shd w:val="clear" w:color="auto" w:fill="FFFFFF"/>
        </w:rPr>
        <w:t>New</w:t>
      </w:r>
      <w:proofErr w:type="gramEnd"/>
      <w:r w:rsidRPr="00E07862">
        <w:rPr>
          <w:rFonts w:asciiTheme="majorBidi" w:hAnsiTheme="majorBidi" w:cstheme="majorBidi"/>
          <w:shd w:val="clear" w:color="auto" w:fill="FFFFFF"/>
        </w:rPr>
        <w:t xml:space="preserve"> Technologies Research Center (NTRC), </w:t>
      </w:r>
      <w:proofErr w:type="spellStart"/>
      <w:r w:rsidRPr="00E07862">
        <w:rPr>
          <w:rFonts w:asciiTheme="majorBidi" w:hAnsiTheme="majorBidi" w:cstheme="majorBidi"/>
          <w:shd w:val="clear" w:color="auto" w:fill="FFFFFF"/>
        </w:rPr>
        <w:t>Amirkabir</w:t>
      </w:r>
      <w:proofErr w:type="spellEnd"/>
      <w:r w:rsidRPr="00E07862">
        <w:rPr>
          <w:rFonts w:asciiTheme="majorBidi" w:hAnsiTheme="majorBidi" w:cstheme="majorBidi"/>
          <w:shd w:val="clear" w:color="auto" w:fill="FFFFFF"/>
        </w:rPr>
        <w:t xml:space="preserve"> University of Technology (Polytechnic Tehran), Tehran 158754413, Iran</w:t>
      </w:r>
    </w:p>
    <w:p w14:paraId="0536D155" w14:textId="77777777" w:rsidR="000F4C7C" w:rsidRDefault="005F0E19" w:rsidP="000F4C7C">
      <w:pPr>
        <w:rPr>
          <w:rFonts w:asciiTheme="majorBidi" w:hAnsiTheme="majorBidi" w:cstheme="majorBidi"/>
          <w:shd w:val="clear" w:color="auto" w:fill="FFFFFF"/>
        </w:rPr>
      </w:pPr>
      <w:proofErr w:type="gramStart"/>
      <w:r w:rsidRPr="00E07862">
        <w:rPr>
          <w:rFonts w:asciiTheme="majorBidi" w:hAnsiTheme="majorBidi" w:cstheme="majorBidi"/>
          <w:sz w:val="28"/>
          <w:szCs w:val="28"/>
          <w:shd w:val="clear" w:color="auto" w:fill="FFFFFF"/>
          <w:vertAlign w:val="superscript"/>
        </w:rPr>
        <w:t>c</w:t>
      </w:r>
      <w:r>
        <w:rPr>
          <w:rFonts w:asciiTheme="majorBidi" w:hAnsiTheme="majorBidi" w:cstheme="majorBidi"/>
          <w:sz w:val="28"/>
          <w:szCs w:val="28"/>
          <w:shd w:val="clear" w:color="auto" w:fill="FFFFFF"/>
        </w:rPr>
        <w:t xml:space="preserve"> </w:t>
      </w:r>
      <w:r w:rsidR="000F4C7C">
        <w:rPr>
          <w:rFonts w:asciiTheme="majorBidi" w:hAnsiTheme="majorBidi" w:cstheme="majorBidi"/>
          <w:sz w:val="28"/>
          <w:szCs w:val="28"/>
          <w:shd w:val="clear" w:color="auto" w:fill="FFFFFF"/>
        </w:rPr>
        <w:t xml:space="preserve"> </w:t>
      </w:r>
      <w:r w:rsidR="000F4C7C" w:rsidRPr="00F705C4">
        <w:rPr>
          <w:rFonts w:asciiTheme="majorBidi" w:hAnsiTheme="majorBidi" w:cstheme="majorBidi"/>
          <w:shd w:val="clear" w:color="auto" w:fill="FFFFFF"/>
        </w:rPr>
        <w:t>Department</w:t>
      </w:r>
      <w:proofErr w:type="gramEnd"/>
      <w:r w:rsidR="000F4C7C" w:rsidRPr="00F705C4">
        <w:rPr>
          <w:rFonts w:asciiTheme="majorBidi" w:hAnsiTheme="majorBidi" w:cstheme="majorBidi"/>
          <w:shd w:val="clear" w:color="auto" w:fill="FFFFFF"/>
        </w:rPr>
        <w:t xml:space="preserve"> of Materials and Polymer Engineering, Faculty of Engineering, Hakim </w:t>
      </w:r>
      <w:proofErr w:type="spellStart"/>
      <w:r w:rsidR="000F4C7C" w:rsidRPr="00F705C4">
        <w:rPr>
          <w:rFonts w:asciiTheme="majorBidi" w:hAnsiTheme="majorBidi" w:cstheme="majorBidi"/>
          <w:shd w:val="clear" w:color="auto" w:fill="FFFFFF"/>
        </w:rPr>
        <w:t>Sabzevari</w:t>
      </w:r>
      <w:proofErr w:type="spellEnd"/>
      <w:r w:rsidR="000F4C7C" w:rsidRPr="00F705C4">
        <w:rPr>
          <w:rFonts w:asciiTheme="majorBidi" w:hAnsiTheme="majorBidi" w:cstheme="majorBidi"/>
          <w:shd w:val="clear" w:color="auto" w:fill="FFFFFF"/>
        </w:rPr>
        <w:t xml:space="preserve"> University, 96179-76487, </w:t>
      </w:r>
      <w:proofErr w:type="spellStart"/>
      <w:r w:rsidR="000F4C7C" w:rsidRPr="00F705C4">
        <w:rPr>
          <w:rFonts w:asciiTheme="majorBidi" w:hAnsiTheme="majorBidi" w:cstheme="majorBidi"/>
          <w:shd w:val="clear" w:color="auto" w:fill="FFFFFF"/>
        </w:rPr>
        <w:t>Sabzevar</w:t>
      </w:r>
      <w:proofErr w:type="spellEnd"/>
      <w:r w:rsidR="000F4C7C" w:rsidRPr="00F705C4">
        <w:rPr>
          <w:rFonts w:asciiTheme="majorBidi" w:hAnsiTheme="majorBidi" w:cstheme="majorBidi"/>
          <w:shd w:val="clear" w:color="auto" w:fill="FFFFFF"/>
        </w:rPr>
        <w:t>, Iran</w:t>
      </w:r>
    </w:p>
    <w:p w14:paraId="5C2EBCA1" w14:textId="77777777" w:rsidR="005F0E19" w:rsidRDefault="005F0E19" w:rsidP="005F0E19">
      <w:pPr>
        <w:rPr>
          <w:rFonts w:asciiTheme="majorBidi" w:hAnsiTheme="majorBidi" w:cstheme="majorBidi"/>
          <w:shd w:val="clear" w:color="auto" w:fill="FFFFFF"/>
        </w:rPr>
      </w:pPr>
      <w:proofErr w:type="gramStart"/>
      <w:r w:rsidRPr="00E07862">
        <w:rPr>
          <w:rFonts w:asciiTheme="majorBidi" w:hAnsiTheme="majorBidi" w:cstheme="majorBidi"/>
          <w:sz w:val="28"/>
          <w:szCs w:val="28"/>
          <w:shd w:val="clear" w:color="auto" w:fill="FFFFFF"/>
          <w:vertAlign w:val="superscript"/>
        </w:rPr>
        <w:t>d</w:t>
      </w:r>
      <w:r>
        <w:rPr>
          <w:rFonts w:asciiTheme="majorBidi" w:hAnsiTheme="majorBidi" w:cstheme="majorBidi"/>
          <w:sz w:val="28"/>
          <w:szCs w:val="28"/>
          <w:shd w:val="clear" w:color="auto" w:fill="FFFFFF"/>
        </w:rPr>
        <w:t xml:space="preserve">  </w:t>
      </w:r>
      <w:r w:rsidRPr="00871392">
        <w:rPr>
          <w:rFonts w:asciiTheme="majorBidi" w:hAnsiTheme="majorBidi" w:cstheme="majorBidi"/>
          <w:shd w:val="clear" w:color="auto" w:fill="FFFFFF"/>
        </w:rPr>
        <w:t>National</w:t>
      </w:r>
      <w:proofErr w:type="gramEnd"/>
      <w:r w:rsidRPr="00871392">
        <w:rPr>
          <w:rFonts w:asciiTheme="majorBidi" w:hAnsiTheme="majorBidi" w:cstheme="majorBidi"/>
          <w:shd w:val="clear" w:color="auto" w:fill="FFFFFF"/>
        </w:rPr>
        <w:t xml:space="preserve"> Cell Bank Department, Pasteur Institute of Iran, Tehran, Iran</w:t>
      </w:r>
    </w:p>
    <w:p w14:paraId="0D2E417B" w14:textId="77777777" w:rsidR="00FD2C0F" w:rsidRPr="00FD2C0F" w:rsidRDefault="00FD2C0F" w:rsidP="005C316E">
      <w:pPr>
        <w:jc w:val="both"/>
        <w:rPr>
          <w:rFonts w:asciiTheme="majorBidi" w:hAnsiTheme="majorBidi" w:cstheme="majorBidi"/>
        </w:rPr>
      </w:pPr>
    </w:p>
    <w:p w14:paraId="4292C53B" w14:textId="77777777" w:rsidR="00FD2C0F" w:rsidRPr="00FD2C0F" w:rsidRDefault="00FD2C0F" w:rsidP="005C316E">
      <w:pPr>
        <w:jc w:val="both"/>
        <w:rPr>
          <w:rFonts w:asciiTheme="majorBidi" w:hAnsiTheme="majorBidi" w:cstheme="majorBidi"/>
        </w:rPr>
      </w:pPr>
    </w:p>
    <w:p w14:paraId="13A52F18" w14:textId="2B2C299E" w:rsidR="00FD2C0F" w:rsidRDefault="00FD2C0F" w:rsidP="005C316E">
      <w:pPr>
        <w:jc w:val="both"/>
        <w:rPr>
          <w:rFonts w:asciiTheme="majorBidi" w:hAnsiTheme="majorBidi" w:cstheme="majorBidi"/>
        </w:rPr>
      </w:pPr>
    </w:p>
    <w:p w14:paraId="5845650B" w14:textId="77777777" w:rsidR="005E62DE" w:rsidRDefault="005E62DE" w:rsidP="005C316E">
      <w:pPr>
        <w:jc w:val="both"/>
        <w:rPr>
          <w:rFonts w:asciiTheme="majorBidi" w:hAnsiTheme="majorBidi" w:cstheme="majorBidi"/>
        </w:rPr>
      </w:pPr>
    </w:p>
    <w:p w14:paraId="0C7E7B73" w14:textId="77777777" w:rsidR="00285B7D" w:rsidRPr="00FD2C0F" w:rsidRDefault="00285B7D" w:rsidP="005C316E">
      <w:pPr>
        <w:jc w:val="both"/>
        <w:rPr>
          <w:rFonts w:asciiTheme="majorBidi" w:hAnsiTheme="majorBidi" w:cstheme="majorBidi"/>
        </w:rPr>
      </w:pPr>
    </w:p>
    <w:p w14:paraId="430C6A36" w14:textId="77777777" w:rsidR="00FD2C0F" w:rsidRPr="00FD2C0F" w:rsidRDefault="00FD2C0F" w:rsidP="005C316E">
      <w:pPr>
        <w:jc w:val="both"/>
        <w:rPr>
          <w:rFonts w:asciiTheme="majorBidi" w:hAnsiTheme="majorBidi" w:cstheme="majorBidi"/>
        </w:rPr>
      </w:pPr>
    </w:p>
    <w:p w14:paraId="4E535FD3" w14:textId="77777777" w:rsidR="00FD2C0F" w:rsidRPr="00FD2C0F" w:rsidRDefault="00FD2C0F" w:rsidP="005C316E">
      <w:pPr>
        <w:jc w:val="both"/>
        <w:rPr>
          <w:rFonts w:asciiTheme="majorBidi" w:hAnsiTheme="majorBidi" w:cstheme="majorBidi"/>
        </w:rPr>
      </w:pPr>
    </w:p>
    <w:p w14:paraId="7DF709ED" w14:textId="77777777" w:rsidR="00FD2C0F" w:rsidRPr="00786EFA" w:rsidRDefault="00FD2C0F" w:rsidP="005C316E">
      <w:pPr>
        <w:pStyle w:val="ListParagraph"/>
        <w:numPr>
          <w:ilvl w:val="0"/>
          <w:numId w:val="2"/>
        </w:numPr>
        <w:ind w:left="270" w:hanging="270"/>
        <w:jc w:val="both"/>
        <w:rPr>
          <w:rFonts w:asciiTheme="majorBidi" w:hAnsiTheme="majorBidi" w:cstheme="majorBidi"/>
          <w:b/>
          <w:bCs/>
        </w:rPr>
      </w:pPr>
      <w:r w:rsidRPr="00786EFA">
        <w:rPr>
          <w:rFonts w:asciiTheme="majorBidi" w:hAnsiTheme="majorBidi" w:cstheme="majorBidi"/>
          <w:b/>
          <w:bCs/>
        </w:rPr>
        <w:lastRenderedPageBreak/>
        <w:t>Supplementary Data</w:t>
      </w:r>
    </w:p>
    <w:p w14:paraId="0944C063" w14:textId="77777777" w:rsidR="000F2FFB" w:rsidRPr="00285B7D" w:rsidRDefault="000F2FFB" w:rsidP="000F2FFB">
      <w:pPr>
        <w:ind w:left="360" w:hanging="360"/>
        <w:jc w:val="both"/>
        <w:rPr>
          <w:rFonts w:asciiTheme="majorBidi" w:hAnsiTheme="majorBidi" w:cstheme="majorBidi"/>
          <w:b/>
          <w:bCs/>
          <w:i/>
          <w:iCs/>
          <w:sz w:val="24"/>
          <w:szCs w:val="24"/>
          <w:lang w:bidi="fa-IR"/>
        </w:rPr>
      </w:pPr>
      <w:r w:rsidRPr="00285B7D">
        <w:rPr>
          <w:rFonts w:asciiTheme="majorBidi" w:hAnsiTheme="majorBidi" w:cstheme="majorBidi"/>
          <w:b/>
          <w:bCs/>
          <w:i/>
          <w:iCs/>
          <w:sz w:val="24"/>
          <w:szCs w:val="24"/>
          <w:lang w:bidi="fa-IR"/>
        </w:rPr>
        <w:t>Flowcytometry investigation aimed to Characterize the Human Osteoblast</w:t>
      </w:r>
    </w:p>
    <w:p w14:paraId="2D955009" w14:textId="77777777" w:rsidR="000F2FFB" w:rsidRDefault="000F2FFB" w:rsidP="000F2FFB">
      <w:pPr>
        <w:jc w:val="both"/>
        <w:rPr>
          <w:rFonts w:asciiTheme="majorBidi" w:hAnsiTheme="majorBidi" w:cstheme="majorBidi"/>
          <w:sz w:val="24"/>
          <w:szCs w:val="24"/>
          <w:lang w:bidi="fa-IR"/>
        </w:rPr>
      </w:pPr>
      <w:r w:rsidRPr="001D1579">
        <w:rPr>
          <w:rFonts w:asciiTheme="majorBidi" w:hAnsiTheme="majorBidi" w:cstheme="majorBidi"/>
          <w:sz w:val="24"/>
          <w:szCs w:val="24"/>
          <w:lang w:bidi="fa-IR"/>
        </w:rPr>
        <w:t xml:space="preserve">It </w:t>
      </w:r>
      <w:r>
        <w:rPr>
          <w:rFonts w:asciiTheme="majorBidi" w:hAnsiTheme="majorBidi" w:cstheme="majorBidi"/>
          <w:sz w:val="24"/>
          <w:szCs w:val="24"/>
          <w:lang w:bidi="fa-IR"/>
        </w:rPr>
        <w:t>widely recognizes and identifies</w:t>
      </w:r>
      <w:r w:rsidRPr="001D1579">
        <w:rPr>
          <w:rFonts w:asciiTheme="majorBidi" w:hAnsiTheme="majorBidi" w:cstheme="majorBidi"/>
          <w:sz w:val="24"/>
          <w:szCs w:val="24"/>
          <w:lang w:bidi="fa-IR"/>
        </w:rPr>
        <w:t xml:space="preserve"> cell types, including ADSCs, using clusters of differentiation (CD) markers. The ADSCs in this study were examined using flow cytometry for specific surface markers. In the first passage, ADSCs were collected by trypsinization and washed with PBS, then incubated in </w:t>
      </w:r>
      <w:r>
        <w:rPr>
          <w:rFonts w:asciiTheme="majorBidi" w:hAnsiTheme="majorBidi" w:cstheme="majorBidi"/>
          <w:sz w:val="24"/>
          <w:szCs w:val="24"/>
          <w:lang w:bidi="fa-IR"/>
        </w:rPr>
        <w:t xml:space="preserve">a </w:t>
      </w:r>
      <w:r w:rsidRPr="001D1579">
        <w:rPr>
          <w:rFonts w:asciiTheme="majorBidi" w:hAnsiTheme="majorBidi" w:cstheme="majorBidi"/>
          <w:sz w:val="24"/>
          <w:szCs w:val="24"/>
          <w:lang w:bidi="fa-IR"/>
        </w:rPr>
        <w:t>1% bovine serum albumin non-specific blocking solution for 30 minutes. A fluorescently conjugated mouse anti-human antibody was applied to the ADSCs after centrifugation and removal of the blocking solution, and the surface markers CD34, CD45, CD105 (BD Biosciences, USA), and CD90 (</w:t>
      </w:r>
      <w:proofErr w:type="spellStart"/>
      <w:r w:rsidRPr="001D1579">
        <w:rPr>
          <w:rFonts w:asciiTheme="majorBidi" w:hAnsiTheme="majorBidi" w:cstheme="majorBidi"/>
          <w:sz w:val="24"/>
          <w:szCs w:val="24"/>
          <w:lang w:bidi="fa-IR"/>
        </w:rPr>
        <w:t>BioLegend</w:t>
      </w:r>
      <w:proofErr w:type="spellEnd"/>
      <w:r w:rsidRPr="001D1579">
        <w:rPr>
          <w:rFonts w:asciiTheme="majorBidi" w:hAnsiTheme="majorBidi" w:cstheme="majorBidi"/>
          <w:sz w:val="24"/>
          <w:szCs w:val="24"/>
          <w:lang w:bidi="fa-IR"/>
        </w:rPr>
        <w:t xml:space="preserve">, USA) were measured using a flow cytometer (BD FACS </w:t>
      </w:r>
      <w:proofErr w:type="spellStart"/>
      <w:r w:rsidRPr="001D1579">
        <w:rPr>
          <w:rFonts w:asciiTheme="majorBidi" w:hAnsiTheme="majorBidi" w:cstheme="majorBidi"/>
          <w:sz w:val="24"/>
          <w:szCs w:val="24"/>
          <w:lang w:bidi="fa-IR"/>
        </w:rPr>
        <w:t>Calibur</w:t>
      </w:r>
      <w:proofErr w:type="spellEnd"/>
      <w:r w:rsidRPr="001D1579">
        <w:rPr>
          <w:rFonts w:asciiTheme="majorBidi" w:hAnsiTheme="majorBidi" w:cstheme="majorBidi"/>
          <w:sz w:val="24"/>
          <w:szCs w:val="24"/>
          <w:lang w:bidi="fa-IR"/>
        </w:rPr>
        <w:t xml:space="preserve">, San Jose, CA, USA) and </w:t>
      </w:r>
      <w:proofErr w:type="spellStart"/>
      <w:r w:rsidRPr="001D1579">
        <w:rPr>
          <w:rFonts w:asciiTheme="majorBidi" w:hAnsiTheme="majorBidi" w:cstheme="majorBidi"/>
          <w:sz w:val="24"/>
          <w:szCs w:val="24"/>
          <w:lang w:bidi="fa-IR"/>
        </w:rPr>
        <w:t>FlowJo</w:t>
      </w:r>
      <w:proofErr w:type="spellEnd"/>
      <w:r w:rsidRPr="001D1579">
        <w:rPr>
          <w:rFonts w:asciiTheme="majorBidi" w:hAnsiTheme="majorBidi" w:cstheme="majorBidi"/>
          <w:sz w:val="24"/>
          <w:szCs w:val="24"/>
          <w:lang w:bidi="fa-IR"/>
        </w:rPr>
        <w:t xml:space="preserve"> software. Aside from CD34 and CD45, all remaining markers are MSC-specific surface markers</w:t>
      </w:r>
      <w:r>
        <w:rPr>
          <w:rFonts w:asciiTheme="majorBidi" w:hAnsiTheme="majorBidi" w:cstheme="majorBidi"/>
          <w:sz w:val="24"/>
          <w:szCs w:val="24"/>
          <w:lang w:bidi="fa-IR"/>
        </w:rPr>
        <w:t xml:space="preserve"> and</w:t>
      </w:r>
      <w:r w:rsidRPr="001D1579">
        <w:rPr>
          <w:rFonts w:asciiTheme="majorBidi" w:hAnsiTheme="majorBidi" w:cstheme="majorBidi"/>
          <w:sz w:val="24"/>
          <w:szCs w:val="24"/>
          <w:lang w:bidi="fa-IR"/>
        </w:rPr>
        <w:t xml:space="preserve"> are not expected to be expressed by hematopoietic stem cells</w:t>
      </w:r>
      <w:r>
        <w:rPr>
          <w:rFonts w:asciiTheme="majorBidi" w:hAnsiTheme="majorBidi" w:cstheme="majorBidi"/>
          <w:sz w:val="24"/>
          <w:szCs w:val="24"/>
          <w:lang w:bidi="fa-IR"/>
        </w:rPr>
        <w:t xml:space="preserve">. </w:t>
      </w:r>
      <w:r w:rsidRPr="001D1579">
        <w:rPr>
          <w:rFonts w:asciiTheme="majorBidi" w:hAnsiTheme="majorBidi" w:cstheme="majorBidi"/>
          <w:sz w:val="24"/>
          <w:szCs w:val="24"/>
        </w:rPr>
        <w:t xml:space="preserve">As shown in </w:t>
      </w:r>
      <w:r w:rsidRPr="001D1579">
        <w:rPr>
          <w:rFonts w:asciiTheme="majorBidi" w:hAnsiTheme="majorBidi" w:cstheme="majorBidi"/>
          <w:b/>
          <w:bCs/>
          <w:sz w:val="24"/>
          <w:szCs w:val="24"/>
        </w:rPr>
        <w:t xml:space="preserve">Figure </w:t>
      </w:r>
      <w:r>
        <w:rPr>
          <w:rFonts w:asciiTheme="majorBidi" w:hAnsiTheme="majorBidi" w:cstheme="majorBidi"/>
          <w:b/>
          <w:bCs/>
          <w:sz w:val="24"/>
          <w:szCs w:val="24"/>
        </w:rPr>
        <w:t>1</w:t>
      </w:r>
      <w:r w:rsidRPr="001D1579">
        <w:rPr>
          <w:rFonts w:asciiTheme="majorBidi" w:hAnsiTheme="majorBidi" w:cstheme="majorBidi"/>
          <w:sz w:val="24"/>
          <w:szCs w:val="24"/>
        </w:rPr>
        <w:t>, CD markers characterize</w:t>
      </w:r>
      <w:r>
        <w:rPr>
          <w:rFonts w:asciiTheme="majorBidi" w:hAnsiTheme="majorBidi" w:cstheme="majorBidi"/>
          <w:sz w:val="24"/>
          <w:szCs w:val="24"/>
        </w:rPr>
        <w:t>d</w:t>
      </w:r>
      <w:r w:rsidRPr="001D1579">
        <w:rPr>
          <w:rFonts w:asciiTheme="majorBidi" w:hAnsiTheme="majorBidi" w:cstheme="majorBidi"/>
          <w:sz w:val="24"/>
          <w:szCs w:val="24"/>
        </w:rPr>
        <w:t xml:space="preserve"> </w:t>
      </w:r>
      <w:r>
        <w:rPr>
          <w:rFonts w:asciiTheme="majorBidi" w:hAnsiTheme="majorBidi" w:cstheme="majorBidi"/>
          <w:sz w:val="24"/>
          <w:szCs w:val="24"/>
        </w:rPr>
        <w:t>ADSCs</w:t>
      </w:r>
      <w:r w:rsidRPr="001D1579">
        <w:rPr>
          <w:rFonts w:asciiTheme="majorBidi" w:hAnsiTheme="majorBidi" w:cstheme="majorBidi"/>
          <w:sz w:val="24"/>
          <w:szCs w:val="24"/>
        </w:rPr>
        <w:t xml:space="preserve"> flow cytometrically. Studies with flow cytometry show that the </w:t>
      </w:r>
      <w:r>
        <w:rPr>
          <w:rFonts w:asciiTheme="majorBidi" w:hAnsiTheme="majorBidi" w:cstheme="majorBidi"/>
          <w:sz w:val="24"/>
          <w:szCs w:val="24"/>
        </w:rPr>
        <w:t>AD</w:t>
      </w:r>
      <w:r w:rsidRPr="001D1579">
        <w:rPr>
          <w:rFonts w:asciiTheme="majorBidi" w:hAnsiTheme="majorBidi" w:cstheme="majorBidi"/>
          <w:sz w:val="24"/>
          <w:szCs w:val="24"/>
        </w:rPr>
        <w:t>SC-specific markers (CD105 and CD90) were expressed efficiently in the ADSC passages, but the hematopoietic markers (CD45 and CD34) were weakly expressed.</w:t>
      </w:r>
    </w:p>
    <w:p w14:paraId="542C3A57" w14:textId="77777777" w:rsidR="000F2FFB" w:rsidRDefault="000F2FFB" w:rsidP="000F2FFB">
      <w:pPr>
        <w:keepNext/>
        <w:jc w:val="center"/>
      </w:pPr>
      <w:r>
        <w:rPr>
          <w:rFonts w:asciiTheme="majorBidi" w:hAnsiTheme="majorBidi" w:cstheme="majorBidi"/>
          <w:noProof/>
          <w:sz w:val="24"/>
          <w:szCs w:val="24"/>
        </w:rPr>
        <w:lastRenderedPageBreak/>
        <w:drawing>
          <wp:inline distT="0" distB="0" distL="0" distR="0" wp14:anchorId="40C3D7A1" wp14:editId="34340837">
            <wp:extent cx="5076825" cy="424533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achterization f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80200" cy="4248154"/>
                    </a:xfrm>
                    <a:prstGeom prst="rect">
                      <a:avLst/>
                    </a:prstGeom>
                  </pic:spPr>
                </pic:pic>
              </a:graphicData>
            </a:graphic>
          </wp:inline>
        </w:drawing>
      </w:r>
    </w:p>
    <w:p w14:paraId="3FC709FA" w14:textId="77777777" w:rsidR="000F2FFB" w:rsidRPr="000F2FFB" w:rsidRDefault="000F2FFB" w:rsidP="000F2FFB">
      <w:pPr>
        <w:pStyle w:val="Caption"/>
      </w:pPr>
      <w:r>
        <w:t xml:space="preserve">Figure 1- </w:t>
      </w:r>
      <w:r w:rsidRPr="001D1579">
        <w:t>Newly obtained adipose-derived stem cells (ADSCs) were analyzed by flow cytometry by using negative and positive CD markers (CD34, CD45, CD90, and CD105).</w:t>
      </w:r>
    </w:p>
    <w:p w14:paraId="51D684A6" w14:textId="77777777" w:rsidR="00FD2C0F" w:rsidRDefault="00FD2C0F" w:rsidP="005C316E">
      <w:pPr>
        <w:jc w:val="both"/>
        <w:rPr>
          <w:rFonts w:asciiTheme="majorBidi" w:hAnsiTheme="majorBidi" w:cstheme="majorBidi"/>
          <w:sz w:val="24"/>
          <w:szCs w:val="24"/>
          <w:lang w:bidi="fa-IR"/>
        </w:rPr>
      </w:pPr>
      <w:r>
        <w:rPr>
          <w:rFonts w:asciiTheme="majorBidi" w:hAnsiTheme="majorBidi" w:cstheme="majorBidi"/>
        </w:rPr>
        <w:t>I</w:t>
      </w:r>
      <w:r w:rsidR="005C316E">
        <w:rPr>
          <w:rFonts w:asciiTheme="majorBidi" w:hAnsiTheme="majorBidi" w:cstheme="majorBidi"/>
        </w:rPr>
        <w:t>n</w:t>
      </w:r>
      <w:r>
        <w:rPr>
          <w:rFonts w:asciiTheme="majorBidi" w:hAnsiTheme="majorBidi" w:cstheme="majorBidi"/>
        </w:rPr>
        <w:t xml:space="preserve"> this study, before coating the nano-hydroxyapatite (NHA)</w:t>
      </w:r>
      <w:r w:rsidR="005C316E">
        <w:rPr>
          <w:rFonts w:asciiTheme="majorBidi" w:hAnsiTheme="majorBidi" w:cstheme="majorBidi"/>
        </w:rPr>
        <w:t>,</w:t>
      </w:r>
      <w:r>
        <w:rPr>
          <w:rFonts w:asciiTheme="majorBidi" w:hAnsiTheme="majorBidi" w:cstheme="majorBidi"/>
        </w:rPr>
        <w:t xml:space="preserve"> the substrates (constructed </w:t>
      </w:r>
      <w:r w:rsidR="00E6450A">
        <w:rPr>
          <w:rFonts w:asciiTheme="majorBidi" w:hAnsiTheme="majorBidi" w:cstheme="majorBidi"/>
        </w:rPr>
        <w:t>with various</w:t>
      </w:r>
      <w:r w:rsidR="002C0C89">
        <w:rPr>
          <w:rFonts w:asciiTheme="majorBidi" w:hAnsiTheme="majorBidi" w:cstheme="majorBidi"/>
        </w:rPr>
        <w:t xml:space="preserve"> </w:t>
      </w:r>
      <w:r w:rsidR="002C0C89" w:rsidRPr="002C0C89">
        <w:rPr>
          <w:rFonts w:asciiTheme="majorBidi" w:hAnsiTheme="majorBidi" w:cstheme="majorBidi"/>
        </w:rPr>
        <w:t>curing agent/PDMS</w:t>
      </w:r>
      <w:r w:rsidRPr="007C5479">
        <w:rPr>
          <w:rFonts w:asciiTheme="majorBidi" w:hAnsiTheme="majorBidi" w:cstheme="majorBidi"/>
          <w:sz w:val="24"/>
          <w:szCs w:val="24"/>
          <w:lang w:bidi="fa-IR"/>
        </w:rPr>
        <w:t xml:space="preserve"> ratios (</w:t>
      </w:r>
      <w:r>
        <w:rPr>
          <w:rFonts w:asciiTheme="majorBidi" w:hAnsiTheme="majorBidi" w:cstheme="majorBidi"/>
          <w:sz w:val="24"/>
          <w:szCs w:val="24"/>
          <w:lang w:bidi="fa-IR"/>
        </w:rPr>
        <w:t>1:10, 1:20, and 1:30</w:t>
      </w:r>
      <w:r w:rsidRPr="007C5479">
        <w:rPr>
          <w:rFonts w:asciiTheme="majorBidi" w:hAnsiTheme="majorBidi" w:cstheme="majorBidi"/>
          <w:sz w:val="24"/>
          <w:szCs w:val="24"/>
          <w:lang w:bidi="fa-IR"/>
        </w:rPr>
        <w:t>)</w:t>
      </w:r>
      <w:r>
        <w:rPr>
          <w:rFonts w:asciiTheme="majorBidi" w:hAnsiTheme="majorBidi" w:cstheme="majorBidi"/>
          <w:sz w:val="24"/>
          <w:szCs w:val="24"/>
          <w:lang w:bidi="fa-IR"/>
        </w:rPr>
        <w:t>, were characterized. The Results are as follows;</w:t>
      </w:r>
    </w:p>
    <w:p w14:paraId="644994C1" w14:textId="5EE120ED" w:rsidR="00033F88" w:rsidRPr="00285B7D" w:rsidRDefault="00E6450A" w:rsidP="005C316E">
      <w:pPr>
        <w:jc w:val="both"/>
        <w:rPr>
          <w:rFonts w:asciiTheme="majorBidi" w:hAnsiTheme="majorBidi" w:cstheme="majorBidi"/>
          <w:b/>
          <w:bCs/>
          <w:i/>
          <w:iCs/>
        </w:rPr>
      </w:pPr>
      <w:r w:rsidRPr="00285B7D">
        <w:rPr>
          <w:rFonts w:asciiTheme="majorBidi" w:hAnsiTheme="majorBidi" w:cstheme="majorBidi"/>
          <w:b/>
          <w:bCs/>
          <w:i/>
          <w:iCs/>
        </w:rPr>
        <w:t>Alizarin Red and Crystal Violet staining</w:t>
      </w:r>
    </w:p>
    <w:p w14:paraId="75DCA3CD" w14:textId="66202266" w:rsidR="00E6450A" w:rsidRDefault="00E6450A" w:rsidP="005C316E">
      <w:pPr>
        <w:jc w:val="both"/>
        <w:rPr>
          <w:rFonts w:asciiTheme="majorBidi" w:hAnsiTheme="majorBidi" w:cstheme="majorBidi"/>
        </w:rPr>
      </w:pPr>
      <w:r>
        <w:rPr>
          <w:rFonts w:asciiTheme="majorBidi" w:hAnsiTheme="majorBidi" w:cstheme="majorBidi"/>
        </w:rPr>
        <w:t xml:space="preserve">According to </w:t>
      </w:r>
      <w:r w:rsidRPr="00E6450A">
        <w:rPr>
          <w:rFonts w:asciiTheme="majorBidi" w:hAnsiTheme="majorBidi" w:cstheme="majorBidi"/>
          <w:b/>
          <w:bCs/>
        </w:rPr>
        <w:t xml:space="preserve">Figures </w:t>
      </w:r>
      <w:r w:rsidR="00285B7D">
        <w:rPr>
          <w:rFonts w:asciiTheme="majorBidi" w:hAnsiTheme="majorBidi" w:cstheme="majorBidi"/>
          <w:b/>
          <w:bCs/>
        </w:rPr>
        <w:t>2</w:t>
      </w:r>
      <w:r w:rsidR="004C4F20">
        <w:rPr>
          <w:rFonts w:asciiTheme="majorBidi" w:hAnsiTheme="majorBidi" w:cstheme="majorBidi"/>
          <w:b/>
          <w:bCs/>
        </w:rPr>
        <w:t xml:space="preserve"> </w:t>
      </w:r>
      <w:r w:rsidR="004C4F20" w:rsidRPr="004C4F20">
        <w:rPr>
          <w:rFonts w:asciiTheme="majorBidi" w:hAnsiTheme="majorBidi" w:cstheme="majorBidi"/>
        </w:rPr>
        <w:t>and</w:t>
      </w:r>
      <w:r w:rsidR="004C4F20">
        <w:rPr>
          <w:rFonts w:asciiTheme="majorBidi" w:hAnsiTheme="majorBidi" w:cstheme="majorBidi"/>
          <w:b/>
          <w:bCs/>
        </w:rPr>
        <w:t xml:space="preserve"> </w:t>
      </w:r>
      <w:r w:rsidR="003B49CB">
        <w:rPr>
          <w:rFonts w:asciiTheme="majorBidi" w:hAnsiTheme="majorBidi" w:cstheme="majorBidi"/>
          <w:b/>
          <w:bCs/>
        </w:rPr>
        <w:t>4</w:t>
      </w:r>
      <w:r>
        <w:rPr>
          <w:rFonts w:asciiTheme="majorBidi" w:hAnsiTheme="majorBidi" w:cstheme="majorBidi"/>
          <w:b/>
          <w:bCs/>
        </w:rPr>
        <w:t>,</w:t>
      </w:r>
      <w:r w:rsidR="00AA23E4">
        <w:rPr>
          <w:rFonts w:asciiTheme="majorBidi" w:hAnsiTheme="majorBidi" w:cstheme="majorBidi"/>
          <w:b/>
          <w:bCs/>
        </w:rPr>
        <w:t xml:space="preserve"> </w:t>
      </w:r>
      <w:r w:rsidR="00AA23E4">
        <w:rPr>
          <w:rFonts w:asciiTheme="majorBidi" w:hAnsiTheme="majorBidi" w:cstheme="majorBidi"/>
        </w:rPr>
        <w:t>among plain substrates,</w:t>
      </w:r>
      <w:r>
        <w:rPr>
          <w:rFonts w:asciiTheme="majorBidi" w:hAnsiTheme="majorBidi" w:cstheme="majorBidi"/>
        </w:rPr>
        <w:t xml:space="preserve"> the highest calcium deposition</w:t>
      </w:r>
      <w:r w:rsidR="004C4F20">
        <w:rPr>
          <w:rFonts w:asciiTheme="majorBidi" w:hAnsiTheme="majorBidi" w:cstheme="majorBidi"/>
        </w:rPr>
        <w:t xml:space="preserve"> </w:t>
      </w:r>
      <w:r w:rsidR="003B49CB">
        <w:rPr>
          <w:rFonts w:asciiTheme="majorBidi" w:hAnsiTheme="majorBidi" w:cstheme="majorBidi"/>
        </w:rPr>
        <w:t xml:space="preserve">and </w:t>
      </w:r>
      <w:r w:rsidR="004C4F20">
        <w:rPr>
          <w:rFonts w:asciiTheme="majorBidi" w:hAnsiTheme="majorBidi" w:cstheme="majorBidi"/>
        </w:rPr>
        <w:t>cell proliferation</w:t>
      </w:r>
      <w:r>
        <w:rPr>
          <w:rFonts w:asciiTheme="majorBidi" w:hAnsiTheme="majorBidi" w:cstheme="majorBidi"/>
        </w:rPr>
        <w:t xml:space="preserve"> </w:t>
      </w:r>
      <w:r w:rsidR="00D10CC2">
        <w:rPr>
          <w:rFonts w:asciiTheme="majorBidi" w:hAnsiTheme="majorBidi" w:cstheme="majorBidi"/>
        </w:rPr>
        <w:t xml:space="preserve">can be seen in </w:t>
      </w:r>
      <w:r w:rsidR="00AA23E4">
        <w:rPr>
          <w:rFonts w:asciiTheme="majorBidi" w:hAnsiTheme="majorBidi" w:cstheme="majorBidi"/>
        </w:rPr>
        <w:t xml:space="preserve">the cells’ microenvironment differentiated on </w:t>
      </w:r>
      <w:r w:rsidR="005C316E">
        <w:rPr>
          <w:rFonts w:asciiTheme="majorBidi" w:hAnsiTheme="majorBidi" w:cstheme="majorBidi"/>
        </w:rPr>
        <w:t xml:space="preserve">a </w:t>
      </w:r>
      <w:r w:rsidR="00AA23E4">
        <w:rPr>
          <w:rFonts w:asciiTheme="majorBidi" w:hAnsiTheme="majorBidi" w:cstheme="majorBidi"/>
        </w:rPr>
        <w:t xml:space="preserve">substrate </w:t>
      </w:r>
      <w:r w:rsidR="00AA23E4" w:rsidRPr="00AA23E4">
        <w:rPr>
          <w:rFonts w:asciiTheme="majorBidi" w:hAnsiTheme="majorBidi" w:cstheme="majorBidi"/>
        </w:rPr>
        <w:t xml:space="preserve">with </w:t>
      </w:r>
      <w:r w:rsidR="00AF2A24">
        <w:rPr>
          <w:rFonts w:asciiTheme="majorBidi" w:hAnsiTheme="majorBidi" w:cstheme="majorBidi"/>
        </w:rPr>
        <w:t>the</w:t>
      </w:r>
      <w:r w:rsidR="002C0C89">
        <w:rPr>
          <w:rFonts w:asciiTheme="majorBidi" w:hAnsiTheme="majorBidi" w:cstheme="majorBidi"/>
        </w:rPr>
        <w:t xml:space="preserve"> </w:t>
      </w:r>
      <w:r w:rsidR="002C0C89" w:rsidRPr="002C0C89">
        <w:rPr>
          <w:rFonts w:asciiTheme="majorBidi" w:hAnsiTheme="majorBidi" w:cstheme="majorBidi"/>
        </w:rPr>
        <w:t>curing agent/PDMS</w:t>
      </w:r>
      <w:r w:rsidR="005C316E">
        <w:rPr>
          <w:rFonts w:asciiTheme="majorBidi" w:hAnsiTheme="majorBidi" w:cstheme="majorBidi"/>
        </w:rPr>
        <w:t xml:space="preserve"> </w:t>
      </w:r>
      <w:r w:rsidR="00AA23E4" w:rsidRPr="00AA23E4">
        <w:rPr>
          <w:rFonts w:asciiTheme="majorBidi" w:hAnsiTheme="majorBidi" w:cstheme="majorBidi"/>
        </w:rPr>
        <w:t>ratio of 1:</w:t>
      </w:r>
      <w:r w:rsidR="004E1279">
        <w:rPr>
          <w:rFonts w:asciiTheme="majorBidi" w:hAnsiTheme="majorBidi" w:cstheme="majorBidi"/>
        </w:rPr>
        <w:t>1</w:t>
      </w:r>
      <w:r w:rsidR="00AA23E4" w:rsidRPr="00AA23E4">
        <w:rPr>
          <w:rFonts w:asciiTheme="majorBidi" w:hAnsiTheme="majorBidi" w:cstheme="majorBidi"/>
        </w:rPr>
        <w:t>0</w:t>
      </w:r>
      <w:r w:rsidR="00AA23E4">
        <w:rPr>
          <w:rFonts w:asciiTheme="majorBidi" w:hAnsiTheme="majorBidi" w:cstheme="majorBidi"/>
        </w:rPr>
        <w:t xml:space="preserve">. Following this, </w:t>
      </w:r>
      <w:r w:rsidR="00AF2A24">
        <w:rPr>
          <w:rFonts w:asciiTheme="majorBidi" w:hAnsiTheme="majorBidi" w:cstheme="majorBidi"/>
        </w:rPr>
        <w:t>the</w:t>
      </w:r>
      <w:r w:rsidR="002C0C89">
        <w:rPr>
          <w:rFonts w:asciiTheme="majorBidi" w:hAnsiTheme="majorBidi" w:cstheme="majorBidi"/>
        </w:rPr>
        <w:t xml:space="preserve"> </w:t>
      </w:r>
      <w:r w:rsidR="002C0C89" w:rsidRPr="002C0C89">
        <w:rPr>
          <w:rFonts w:asciiTheme="majorBidi" w:hAnsiTheme="majorBidi" w:cstheme="majorBidi"/>
        </w:rPr>
        <w:t>curing agent/PDMS</w:t>
      </w:r>
      <w:r w:rsidR="005C316E">
        <w:rPr>
          <w:rFonts w:asciiTheme="majorBidi" w:hAnsiTheme="majorBidi" w:cstheme="majorBidi"/>
        </w:rPr>
        <w:t xml:space="preserve"> </w:t>
      </w:r>
      <w:r w:rsidR="00AA23E4">
        <w:rPr>
          <w:rFonts w:asciiTheme="majorBidi" w:hAnsiTheme="majorBidi" w:cstheme="majorBidi"/>
        </w:rPr>
        <w:t xml:space="preserve">ratio </w:t>
      </w:r>
      <w:r w:rsidR="00AA23E4" w:rsidRPr="00AA23E4">
        <w:rPr>
          <w:rFonts w:asciiTheme="majorBidi" w:hAnsiTheme="majorBidi" w:cstheme="majorBidi"/>
        </w:rPr>
        <w:t>of 1:</w:t>
      </w:r>
      <w:r w:rsidR="004E1279">
        <w:rPr>
          <w:rFonts w:asciiTheme="majorBidi" w:hAnsiTheme="majorBidi" w:cstheme="majorBidi"/>
        </w:rPr>
        <w:t>2</w:t>
      </w:r>
      <w:r w:rsidR="00AA23E4" w:rsidRPr="00AA23E4">
        <w:rPr>
          <w:rFonts w:asciiTheme="majorBidi" w:hAnsiTheme="majorBidi" w:cstheme="majorBidi"/>
        </w:rPr>
        <w:t>0</w:t>
      </w:r>
      <w:r w:rsidR="00AA23E4">
        <w:rPr>
          <w:rFonts w:asciiTheme="majorBidi" w:hAnsiTheme="majorBidi" w:cstheme="majorBidi"/>
        </w:rPr>
        <w:t xml:space="preserve"> </w:t>
      </w:r>
      <w:r w:rsidR="004C4F20">
        <w:rPr>
          <w:rFonts w:asciiTheme="majorBidi" w:hAnsiTheme="majorBidi" w:cstheme="majorBidi"/>
        </w:rPr>
        <w:t>had</w:t>
      </w:r>
      <w:r w:rsidR="00AA23E4">
        <w:rPr>
          <w:rFonts w:asciiTheme="majorBidi" w:hAnsiTheme="majorBidi" w:cstheme="majorBidi"/>
        </w:rPr>
        <w:t xml:space="preserve"> </w:t>
      </w:r>
      <w:r w:rsidR="004E1279">
        <w:rPr>
          <w:rFonts w:asciiTheme="majorBidi" w:hAnsiTheme="majorBidi" w:cstheme="majorBidi"/>
        </w:rPr>
        <w:t xml:space="preserve">the second highest </w:t>
      </w:r>
      <w:r w:rsidR="004C4F20">
        <w:rPr>
          <w:rFonts w:asciiTheme="majorBidi" w:hAnsiTheme="majorBidi" w:cstheme="majorBidi"/>
        </w:rPr>
        <w:t xml:space="preserve">calcium deposition and cell proliferation. This quantity in patterned substrates belonged to </w:t>
      </w:r>
      <w:r w:rsidR="005C316E">
        <w:rPr>
          <w:rFonts w:asciiTheme="majorBidi" w:hAnsiTheme="majorBidi" w:cstheme="majorBidi"/>
        </w:rPr>
        <w:t>the</w:t>
      </w:r>
      <w:r w:rsidR="002C0C89">
        <w:rPr>
          <w:rFonts w:asciiTheme="majorBidi" w:hAnsiTheme="majorBidi" w:cstheme="majorBidi"/>
        </w:rPr>
        <w:t xml:space="preserve"> </w:t>
      </w:r>
      <w:r w:rsidR="002C0C89" w:rsidRPr="002C0C89">
        <w:rPr>
          <w:rFonts w:asciiTheme="majorBidi" w:hAnsiTheme="majorBidi" w:cstheme="majorBidi"/>
        </w:rPr>
        <w:t>curing agent/PDMS</w:t>
      </w:r>
      <w:r w:rsidR="005C316E">
        <w:rPr>
          <w:rFonts w:asciiTheme="majorBidi" w:hAnsiTheme="majorBidi" w:cstheme="majorBidi"/>
        </w:rPr>
        <w:t xml:space="preserve"> </w:t>
      </w:r>
      <w:r w:rsidR="004C4F20" w:rsidRPr="00AA23E4">
        <w:rPr>
          <w:rFonts w:asciiTheme="majorBidi" w:hAnsiTheme="majorBidi" w:cstheme="majorBidi"/>
        </w:rPr>
        <w:t>ratio of 1:</w:t>
      </w:r>
      <w:r w:rsidR="004C4F20">
        <w:rPr>
          <w:rFonts w:asciiTheme="majorBidi" w:hAnsiTheme="majorBidi" w:cstheme="majorBidi"/>
        </w:rPr>
        <w:t>2</w:t>
      </w:r>
      <w:r w:rsidR="004C4F20" w:rsidRPr="00AA23E4">
        <w:rPr>
          <w:rFonts w:asciiTheme="majorBidi" w:hAnsiTheme="majorBidi" w:cstheme="majorBidi"/>
        </w:rPr>
        <w:t>0</w:t>
      </w:r>
      <w:r w:rsidR="005C316E">
        <w:rPr>
          <w:rFonts w:asciiTheme="majorBidi" w:hAnsiTheme="majorBidi" w:cstheme="majorBidi"/>
        </w:rPr>
        <w:t>,</w:t>
      </w:r>
      <w:r w:rsidR="004C4F20">
        <w:rPr>
          <w:rFonts w:asciiTheme="majorBidi" w:hAnsiTheme="majorBidi" w:cstheme="majorBidi"/>
        </w:rPr>
        <w:t xml:space="preserve"> which was more than 1:10 and 1:30</w:t>
      </w:r>
      <w:r w:rsidR="00A05A4D">
        <w:rPr>
          <w:rFonts w:asciiTheme="majorBidi" w:hAnsiTheme="majorBidi" w:cstheme="majorBidi"/>
        </w:rPr>
        <w:t xml:space="preserve"> (</w:t>
      </w:r>
      <w:r w:rsidR="00A05A4D" w:rsidRPr="00E6450A">
        <w:rPr>
          <w:rFonts w:asciiTheme="majorBidi" w:hAnsiTheme="majorBidi" w:cstheme="majorBidi"/>
          <w:b/>
          <w:bCs/>
        </w:rPr>
        <w:t xml:space="preserve">Figures </w:t>
      </w:r>
      <w:r w:rsidR="003B49CB">
        <w:rPr>
          <w:rFonts w:asciiTheme="majorBidi" w:hAnsiTheme="majorBidi" w:cstheme="majorBidi"/>
          <w:b/>
          <w:bCs/>
        </w:rPr>
        <w:t>3</w:t>
      </w:r>
      <w:r w:rsidR="00A05A4D">
        <w:rPr>
          <w:rFonts w:asciiTheme="majorBidi" w:hAnsiTheme="majorBidi" w:cstheme="majorBidi"/>
          <w:b/>
          <w:bCs/>
        </w:rPr>
        <w:t xml:space="preserve"> </w:t>
      </w:r>
      <w:r w:rsidR="00A05A4D" w:rsidRPr="004C4F20">
        <w:rPr>
          <w:rFonts w:asciiTheme="majorBidi" w:hAnsiTheme="majorBidi" w:cstheme="majorBidi"/>
        </w:rPr>
        <w:t>and</w:t>
      </w:r>
      <w:r w:rsidR="00A05A4D">
        <w:rPr>
          <w:rFonts w:asciiTheme="majorBidi" w:hAnsiTheme="majorBidi" w:cstheme="majorBidi"/>
          <w:b/>
          <w:bCs/>
        </w:rPr>
        <w:t xml:space="preserve"> </w:t>
      </w:r>
      <w:r w:rsidR="003B49CB">
        <w:rPr>
          <w:rFonts w:asciiTheme="majorBidi" w:hAnsiTheme="majorBidi" w:cstheme="majorBidi"/>
          <w:b/>
          <w:bCs/>
        </w:rPr>
        <w:t>4</w:t>
      </w:r>
      <w:r w:rsidR="00A05A4D">
        <w:rPr>
          <w:rFonts w:asciiTheme="majorBidi" w:hAnsiTheme="majorBidi" w:cstheme="majorBidi"/>
          <w:b/>
          <w:bCs/>
        </w:rPr>
        <w:t>)</w:t>
      </w:r>
      <w:r w:rsidR="004C4F20">
        <w:rPr>
          <w:rFonts w:asciiTheme="majorBidi" w:hAnsiTheme="majorBidi" w:cstheme="majorBidi"/>
        </w:rPr>
        <w:t>.</w:t>
      </w:r>
    </w:p>
    <w:p w14:paraId="2C84DAB2" w14:textId="77777777" w:rsidR="00577407" w:rsidRDefault="00577407" w:rsidP="005C316E">
      <w:pPr>
        <w:keepNext/>
        <w:jc w:val="both"/>
      </w:pPr>
      <w:r>
        <w:rPr>
          <w:rFonts w:asciiTheme="majorBidi" w:hAnsiTheme="majorBidi" w:cstheme="majorBidi"/>
          <w:noProof/>
        </w:rPr>
        <w:lastRenderedPageBreak/>
        <w:drawing>
          <wp:inline distT="0" distB="0" distL="0" distR="0" wp14:anchorId="46708704" wp14:editId="65F86C4F">
            <wp:extent cx="5943600" cy="3146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in 10-20-3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46425"/>
                    </a:xfrm>
                    <a:prstGeom prst="rect">
                      <a:avLst/>
                    </a:prstGeom>
                  </pic:spPr>
                </pic:pic>
              </a:graphicData>
            </a:graphic>
          </wp:inline>
        </w:drawing>
      </w:r>
    </w:p>
    <w:p w14:paraId="7FC6B5CD" w14:textId="3C8B3684" w:rsidR="00577407" w:rsidRDefault="00577407" w:rsidP="005C316E">
      <w:pPr>
        <w:pStyle w:val="Caption"/>
        <w:jc w:val="both"/>
        <w:rPr>
          <w:rFonts w:asciiTheme="majorBidi" w:hAnsiTheme="majorBidi" w:cstheme="majorBidi"/>
        </w:rPr>
      </w:pPr>
      <w:r>
        <w:t xml:space="preserve">Figure </w:t>
      </w:r>
      <w:r w:rsidR="00285B7D">
        <w:t>2</w:t>
      </w:r>
      <w:r>
        <w:t>-</w:t>
      </w:r>
      <w:r w:rsidR="00F11F5A">
        <w:t xml:space="preserve"> </w:t>
      </w:r>
      <w:bookmarkStart w:id="2" w:name="_Hlk112883298"/>
      <w:r w:rsidR="00F11F5A">
        <w:t xml:space="preserve">Alizarin Red and Crystal violet staining of plain substrates with </w:t>
      </w:r>
      <w:r w:rsidR="005C316E">
        <w:t xml:space="preserve">ratios of </w:t>
      </w:r>
      <w:r w:rsidR="002C0C89" w:rsidRPr="002C0C89">
        <w:rPr>
          <w:rFonts w:asciiTheme="majorBidi" w:hAnsiTheme="majorBidi" w:cstheme="majorBidi"/>
        </w:rPr>
        <w:t>curing agent/PDMS</w:t>
      </w:r>
      <w:r w:rsidR="005C316E">
        <w:t>,</w:t>
      </w:r>
      <w:r w:rsidR="00F11F5A">
        <w:t xml:space="preserve"> 1:10(A), 1: 20 (B), 1:30 (C)</w:t>
      </w:r>
      <w:bookmarkEnd w:id="2"/>
    </w:p>
    <w:p w14:paraId="05398332" w14:textId="77777777" w:rsidR="00F11F5A" w:rsidRDefault="00F11F5A" w:rsidP="005C316E">
      <w:pPr>
        <w:keepNext/>
        <w:jc w:val="both"/>
      </w:pPr>
      <w:r>
        <w:rPr>
          <w:rFonts w:asciiTheme="majorBidi" w:hAnsiTheme="majorBidi" w:cstheme="majorBidi"/>
          <w:noProof/>
        </w:rPr>
        <w:drawing>
          <wp:inline distT="0" distB="0" distL="0" distR="0" wp14:anchorId="065FF3F6" wp14:editId="2A1ECF01">
            <wp:extent cx="5943600" cy="31673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terned 10-20-3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167380"/>
                    </a:xfrm>
                    <a:prstGeom prst="rect">
                      <a:avLst/>
                    </a:prstGeom>
                  </pic:spPr>
                </pic:pic>
              </a:graphicData>
            </a:graphic>
          </wp:inline>
        </w:drawing>
      </w:r>
    </w:p>
    <w:p w14:paraId="0A6AC340" w14:textId="7D7283F6" w:rsidR="00F11F5A" w:rsidRDefault="00F11F5A" w:rsidP="005C316E">
      <w:pPr>
        <w:pStyle w:val="Caption"/>
        <w:jc w:val="both"/>
        <w:rPr>
          <w:rFonts w:asciiTheme="majorBidi" w:hAnsiTheme="majorBidi" w:cstheme="majorBidi"/>
        </w:rPr>
      </w:pPr>
      <w:r>
        <w:t xml:space="preserve">Figure </w:t>
      </w:r>
      <w:r w:rsidR="00285B7D">
        <w:t>3</w:t>
      </w:r>
      <w:r>
        <w:t>-</w:t>
      </w:r>
      <w:r w:rsidRPr="00684495">
        <w:t xml:space="preserve">Alizarin Red </w:t>
      </w:r>
      <w:r w:rsidR="004B10D4" w:rsidRPr="00684495">
        <w:t>and Crystal</w:t>
      </w:r>
      <w:r w:rsidRPr="00684495">
        <w:t xml:space="preserve"> violet staining of </w:t>
      </w:r>
      <w:r>
        <w:t xml:space="preserve">patterned </w:t>
      </w:r>
      <w:r w:rsidRPr="00684495">
        <w:t xml:space="preserve">substrates with </w:t>
      </w:r>
      <w:r w:rsidR="005C316E">
        <w:t xml:space="preserve">ratios of </w:t>
      </w:r>
      <w:r w:rsidR="002C0C89" w:rsidRPr="002C0C89">
        <w:rPr>
          <w:rFonts w:asciiTheme="majorBidi" w:hAnsiTheme="majorBidi" w:cstheme="majorBidi"/>
        </w:rPr>
        <w:t>curing agent/PDMS</w:t>
      </w:r>
      <w:r w:rsidR="002C0C89">
        <w:rPr>
          <w:rFonts w:asciiTheme="majorBidi" w:hAnsiTheme="majorBidi" w:cstheme="majorBidi"/>
        </w:rPr>
        <w:t xml:space="preserve"> </w:t>
      </w:r>
      <w:r w:rsidRPr="00684495">
        <w:t>1:10(A), 1: 20 (B), 1:30 (C)</w:t>
      </w:r>
    </w:p>
    <w:p w14:paraId="3CD11690" w14:textId="77777777" w:rsidR="00577407" w:rsidRDefault="00577407" w:rsidP="005C316E">
      <w:pPr>
        <w:jc w:val="both"/>
        <w:rPr>
          <w:rFonts w:asciiTheme="majorBidi" w:hAnsiTheme="majorBidi" w:cstheme="majorBidi"/>
        </w:rPr>
      </w:pPr>
    </w:p>
    <w:p w14:paraId="3C5B6183" w14:textId="77777777" w:rsidR="00AA23E4" w:rsidRDefault="0021149E" w:rsidP="005C316E">
      <w:pPr>
        <w:keepNext/>
        <w:jc w:val="both"/>
      </w:pPr>
      <w:r>
        <w:rPr>
          <w:noProof/>
        </w:rPr>
        <w:lastRenderedPageBreak/>
        <w:drawing>
          <wp:inline distT="0" distB="0" distL="0" distR="0" wp14:anchorId="7AF81A66" wp14:editId="1B19AE5F">
            <wp:extent cx="5943600" cy="23958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D-Aliz- Crystal.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395855"/>
                    </a:xfrm>
                    <a:prstGeom prst="rect">
                      <a:avLst/>
                    </a:prstGeom>
                  </pic:spPr>
                </pic:pic>
              </a:graphicData>
            </a:graphic>
          </wp:inline>
        </w:drawing>
      </w:r>
    </w:p>
    <w:p w14:paraId="18B8B835" w14:textId="2B1246C0" w:rsidR="005C316E" w:rsidRPr="005C316E" w:rsidRDefault="00AA23E4" w:rsidP="005C316E">
      <w:pPr>
        <w:pStyle w:val="Caption"/>
        <w:jc w:val="both"/>
      </w:pPr>
      <w:r>
        <w:t xml:space="preserve">Figure </w:t>
      </w:r>
      <w:r w:rsidR="00285B7D">
        <w:t>4</w:t>
      </w:r>
      <w:r>
        <w:t xml:space="preserve">- Optical density of </w:t>
      </w:r>
      <w:r w:rsidR="00655CA6">
        <w:t>Alizarin red staining (A)- Crystal Violet staining (B)</w:t>
      </w:r>
      <w:r w:rsidR="004E1279">
        <w:t xml:space="preserve">- </w:t>
      </w:r>
      <w:r w:rsidR="004E1279" w:rsidRPr="00A65990">
        <w:t>*p-value of &lt;0.05, **p</w:t>
      </w:r>
      <w:r w:rsidR="004E1279">
        <w:t>-</w:t>
      </w:r>
      <w:r w:rsidR="004E1279" w:rsidRPr="00A65990">
        <w:t>value of &lt;0.01, and ***</w:t>
      </w:r>
      <w:r w:rsidR="004E1279">
        <w:t xml:space="preserve"> p</w:t>
      </w:r>
      <w:r w:rsidR="004E1279" w:rsidRPr="00A65990">
        <w:t>-value of &lt;0.001</w:t>
      </w:r>
      <w:r w:rsidR="004E1279">
        <w:t xml:space="preserve"> between two groups.</w:t>
      </w:r>
    </w:p>
    <w:p w14:paraId="017F8606" w14:textId="77777777" w:rsidR="00577407" w:rsidRPr="003B49CB" w:rsidRDefault="005C316E" w:rsidP="005C316E">
      <w:pPr>
        <w:jc w:val="both"/>
        <w:rPr>
          <w:rFonts w:asciiTheme="majorBidi" w:hAnsiTheme="majorBidi" w:cstheme="majorBidi"/>
          <w:b/>
          <w:bCs/>
          <w:i/>
          <w:iCs/>
        </w:rPr>
      </w:pPr>
      <w:r w:rsidRPr="003B49CB">
        <w:rPr>
          <w:rFonts w:asciiTheme="majorBidi" w:hAnsiTheme="majorBidi" w:cstheme="majorBidi"/>
          <w:b/>
          <w:bCs/>
          <w:i/>
          <w:iCs/>
        </w:rPr>
        <w:t>Cell viability</w:t>
      </w:r>
    </w:p>
    <w:p w14:paraId="14455392" w14:textId="77777777" w:rsidR="005C316E" w:rsidRPr="005C316E" w:rsidRDefault="005C316E" w:rsidP="005C316E">
      <w:pPr>
        <w:jc w:val="both"/>
        <w:rPr>
          <w:rFonts w:asciiTheme="majorBidi" w:hAnsiTheme="majorBidi" w:cstheme="majorBidi"/>
        </w:rPr>
      </w:pPr>
      <w:r>
        <w:rPr>
          <w:rFonts w:asciiTheme="majorBidi" w:hAnsiTheme="majorBidi" w:cstheme="majorBidi"/>
        </w:rPr>
        <w:t xml:space="preserve">After culturing Osteoblasts on substrates with different </w:t>
      </w:r>
      <w:r w:rsidR="002C0C89" w:rsidRPr="002C0C89">
        <w:rPr>
          <w:rFonts w:asciiTheme="majorBidi" w:hAnsiTheme="majorBidi" w:cstheme="majorBidi"/>
        </w:rPr>
        <w:t>curing agent/PDMS</w:t>
      </w:r>
      <w:r w:rsidR="002C0C89">
        <w:rPr>
          <w:rFonts w:asciiTheme="majorBidi" w:hAnsiTheme="majorBidi" w:cstheme="majorBidi"/>
        </w:rPr>
        <w:t xml:space="preserve"> </w:t>
      </w:r>
      <w:r>
        <w:rPr>
          <w:rFonts w:asciiTheme="majorBidi" w:hAnsiTheme="majorBidi" w:cstheme="majorBidi"/>
        </w:rPr>
        <w:t>ratios, no toxic effect was observed.</w:t>
      </w:r>
    </w:p>
    <w:p w14:paraId="42A3D524" w14:textId="77777777" w:rsidR="0021149E" w:rsidRDefault="00F11F5A" w:rsidP="005C316E">
      <w:pPr>
        <w:keepNext/>
        <w:jc w:val="center"/>
      </w:pPr>
      <w:r>
        <w:rPr>
          <w:rFonts w:asciiTheme="majorBidi" w:hAnsiTheme="majorBidi" w:cstheme="majorBidi"/>
          <w:noProof/>
        </w:rPr>
        <w:drawing>
          <wp:inline distT="0" distB="0" distL="0" distR="0" wp14:anchorId="43433AF8" wp14:editId="053A0860">
            <wp:extent cx="4238625" cy="26369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TT.tif"/>
                    <pic:cNvPicPr/>
                  </pic:nvPicPr>
                  <pic:blipFill>
                    <a:blip r:embed="rId12">
                      <a:extLst>
                        <a:ext uri="{28A0092B-C50C-407E-A947-70E740481C1C}">
                          <a14:useLocalDpi xmlns:a14="http://schemas.microsoft.com/office/drawing/2010/main" val="0"/>
                        </a:ext>
                      </a:extLst>
                    </a:blip>
                    <a:stretch>
                      <a:fillRect/>
                    </a:stretch>
                  </pic:blipFill>
                  <pic:spPr>
                    <a:xfrm>
                      <a:off x="0" y="0"/>
                      <a:ext cx="4240164" cy="2637871"/>
                    </a:xfrm>
                    <a:prstGeom prst="rect">
                      <a:avLst/>
                    </a:prstGeom>
                  </pic:spPr>
                </pic:pic>
              </a:graphicData>
            </a:graphic>
          </wp:inline>
        </w:drawing>
      </w:r>
    </w:p>
    <w:p w14:paraId="2234A7E6" w14:textId="2F05D57D" w:rsidR="005C316E" w:rsidRDefault="0021149E" w:rsidP="005C316E">
      <w:pPr>
        <w:pStyle w:val="Caption"/>
        <w:jc w:val="both"/>
      </w:pPr>
      <w:r>
        <w:t xml:space="preserve">Figure </w:t>
      </w:r>
      <w:r w:rsidR="00285B7D">
        <w:t>5</w:t>
      </w:r>
      <w:r>
        <w:t>- Biocompatibility of substrates with various</w:t>
      </w:r>
      <w:r w:rsidR="005C316E" w:rsidRPr="005C316E">
        <w:t xml:space="preserve"> </w:t>
      </w:r>
      <w:r w:rsidR="002C0C89" w:rsidRPr="002C0C89">
        <w:rPr>
          <w:rFonts w:asciiTheme="majorBidi" w:hAnsiTheme="majorBidi" w:cstheme="majorBidi"/>
        </w:rPr>
        <w:t>curing agent/PDMS</w:t>
      </w:r>
      <w:r w:rsidR="002C0C89">
        <w:rPr>
          <w:rFonts w:asciiTheme="majorBidi" w:hAnsiTheme="majorBidi" w:cstheme="majorBidi"/>
        </w:rPr>
        <w:t xml:space="preserve"> </w:t>
      </w:r>
      <w:r w:rsidR="00AF2A24">
        <w:t>ratios</w:t>
      </w:r>
      <w:r>
        <w:t>. There was no significant difference between groups</w:t>
      </w:r>
    </w:p>
    <w:p w14:paraId="5919EE3B" w14:textId="77777777" w:rsidR="005C316E" w:rsidRDefault="005C316E" w:rsidP="005C316E"/>
    <w:p w14:paraId="52D538CE" w14:textId="77777777" w:rsidR="005C316E" w:rsidRPr="005C316E" w:rsidRDefault="005C316E" w:rsidP="005C316E"/>
    <w:p w14:paraId="58F11BD7" w14:textId="77777777" w:rsidR="005C316E" w:rsidRDefault="005C316E" w:rsidP="005C316E">
      <w:pPr>
        <w:jc w:val="both"/>
        <w:rPr>
          <w:rFonts w:asciiTheme="majorBidi" w:hAnsiTheme="majorBidi" w:cstheme="majorBidi"/>
          <w:i/>
          <w:iCs/>
        </w:rPr>
      </w:pPr>
      <w:r w:rsidRPr="005C316E">
        <w:rPr>
          <w:rFonts w:asciiTheme="majorBidi" w:hAnsiTheme="majorBidi" w:cstheme="majorBidi"/>
          <w:i/>
          <w:iCs/>
        </w:rPr>
        <w:lastRenderedPageBreak/>
        <w:t>Real-time PCR</w:t>
      </w:r>
    </w:p>
    <w:p w14:paraId="34C5DB40" w14:textId="77777777" w:rsidR="00817A33" w:rsidRPr="005C316E" w:rsidRDefault="005C316E" w:rsidP="005C316E">
      <w:pPr>
        <w:jc w:val="both"/>
        <w:rPr>
          <w:rFonts w:asciiTheme="majorBidi" w:hAnsiTheme="majorBidi" w:cstheme="majorBidi"/>
          <w:i/>
          <w:iCs/>
        </w:rPr>
      </w:pPr>
      <w:r>
        <w:rPr>
          <w:rFonts w:asciiTheme="majorBidi" w:hAnsiTheme="majorBidi" w:cstheme="majorBidi"/>
        </w:rPr>
        <w:t>The molecular investigations illustrated better maturing</w:t>
      </w:r>
      <w:r w:rsidR="002C0C89">
        <w:rPr>
          <w:rFonts w:asciiTheme="majorBidi" w:hAnsiTheme="majorBidi" w:cstheme="majorBidi"/>
        </w:rPr>
        <w:t>,</w:t>
      </w:r>
      <w:r>
        <w:rPr>
          <w:rFonts w:asciiTheme="majorBidi" w:hAnsiTheme="majorBidi" w:cstheme="majorBidi"/>
        </w:rPr>
        <w:t xml:space="preserve"> and differentiation of adipose stem cells (ADSCs) cultured on substrates with </w:t>
      </w:r>
      <w:r w:rsidR="00AF2A24">
        <w:rPr>
          <w:rFonts w:asciiTheme="majorBidi" w:hAnsiTheme="majorBidi" w:cstheme="majorBidi"/>
        </w:rPr>
        <w:t>the</w:t>
      </w:r>
      <w:r w:rsidR="002C0C89">
        <w:rPr>
          <w:rFonts w:asciiTheme="majorBidi" w:hAnsiTheme="majorBidi" w:cstheme="majorBidi"/>
        </w:rPr>
        <w:t xml:space="preserve"> </w:t>
      </w:r>
      <w:r w:rsidR="002C0C89" w:rsidRPr="002C0C89">
        <w:rPr>
          <w:rFonts w:asciiTheme="majorBidi" w:hAnsiTheme="majorBidi" w:cstheme="majorBidi"/>
        </w:rPr>
        <w:t>curing agent/PDMS</w:t>
      </w:r>
      <w:r w:rsidR="00AF2A24">
        <w:rPr>
          <w:rFonts w:asciiTheme="majorBidi" w:hAnsiTheme="majorBidi" w:cstheme="majorBidi"/>
        </w:rPr>
        <w:t xml:space="preserve"> </w:t>
      </w:r>
      <w:r>
        <w:rPr>
          <w:rFonts w:asciiTheme="majorBidi" w:hAnsiTheme="majorBidi" w:cstheme="majorBidi"/>
        </w:rPr>
        <w:t>ratio of 1:20. Looking in detail, RUNX2, OSC, COL1, and COL2 were expressed by differentiated osteoblasts significantly.</w:t>
      </w:r>
    </w:p>
    <w:p w14:paraId="2578FF6B" w14:textId="77777777" w:rsidR="005C316E" w:rsidRDefault="005C316E" w:rsidP="005C316E">
      <w:pPr>
        <w:keepNext/>
        <w:jc w:val="both"/>
      </w:pPr>
      <w:r>
        <w:rPr>
          <w:rFonts w:asciiTheme="majorBidi" w:hAnsiTheme="majorBidi" w:cstheme="majorBidi"/>
          <w:noProof/>
        </w:rPr>
        <w:drawing>
          <wp:inline distT="0" distB="0" distL="0" distR="0" wp14:anchorId="1E5FFAE8" wp14:editId="63295A50">
            <wp:extent cx="5943600" cy="40360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R.tif"/>
                    <pic:cNvPicPr/>
                  </pic:nvPicPr>
                  <pic:blipFill>
                    <a:blip r:embed="rId13">
                      <a:extLst>
                        <a:ext uri="{28A0092B-C50C-407E-A947-70E740481C1C}">
                          <a14:useLocalDpi xmlns:a14="http://schemas.microsoft.com/office/drawing/2010/main" val="0"/>
                        </a:ext>
                      </a:extLst>
                    </a:blip>
                    <a:stretch>
                      <a:fillRect/>
                    </a:stretch>
                  </pic:blipFill>
                  <pic:spPr>
                    <a:xfrm>
                      <a:off x="0" y="0"/>
                      <a:ext cx="5943600" cy="4036060"/>
                    </a:xfrm>
                    <a:prstGeom prst="rect">
                      <a:avLst/>
                    </a:prstGeom>
                  </pic:spPr>
                </pic:pic>
              </a:graphicData>
            </a:graphic>
          </wp:inline>
        </w:drawing>
      </w:r>
    </w:p>
    <w:p w14:paraId="2DEB6531" w14:textId="464437CF" w:rsidR="00817A33" w:rsidRDefault="005C316E" w:rsidP="005C316E">
      <w:pPr>
        <w:pStyle w:val="Caption"/>
        <w:jc w:val="both"/>
        <w:rPr>
          <w:rFonts w:asciiTheme="majorBidi" w:hAnsiTheme="majorBidi" w:cstheme="majorBidi"/>
        </w:rPr>
      </w:pPr>
      <w:r>
        <w:t xml:space="preserve">Figure </w:t>
      </w:r>
      <w:r w:rsidR="00285B7D">
        <w:t>6</w:t>
      </w:r>
      <w:r>
        <w:t>-Real-time PCR of RUNX2, OSC, COL1, and COL2</w:t>
      </w:r>
      <w:proofErr w:type="gramStart"/>
      <w:r>
        <w:t xml:space="preserve">-  </w:t>
      </w:r>
      <w:r w:rsidRPr="00A65990">
        <w:t>*</w:t>
      </w:r>
      <w:proofErr w:type="gramEnd"/>
      <w:r w:rsidRPr="00A65990">
        <w:t>p-value of &lt;0.05, **p</w:t>
      </w:r>
      <w:r>
        <w:t>-</w:t>
      </w:r>
      <w:r w:rsidRPr="00A65990">
        <w:t>value of &lt;0.01, and ***</w:t>
      </w:r>
      <w:r>
        <w:t xml:space="preserve"> p</w:t>
      </w:r>
      <w:r w:rsidRPr="00A65990">
        <w:t>-value of &lt;0.001</w:t>
      </w:r>
      <w:r>
        <w:t xml:space="preserve"> between two groups.</w:t>
      </w:r>
    </w:p>
    <w:p w14:paraId="3A95E0EB" w14:textId="77777777" w:rsidR="002B21A3" w:rsidRDefault="002B21A3" w:rsidP="005C316E">
      <w:pPr>
        <w:jc w:val="both"/>
        <w:rPr>
          <w:rFonts w:asciiTheme="majorBidi" w:hAnsiTheme="majorBidi" w:cstheme="majorBidi"/>
          <w:lang w:bidi="fa-IR"/>
        </w:rPr>
      </w:pPr>
    </w:p>
    <w:p w14:paraId="22E2623A" w14:textId="77777777" w:rsidR="002B21A3" w:rsidRDefault="002B21A3" w:rsidP="002B21A3">
      <w:pPr>
        <w:keepNext/>
        <w:jc w:val="both"/>
      </w:pPr>
      <w:r>
        <w:rPr>
          <w:rFonts w:asciiTheme="majorBidi" w:hAnsiTheme="majorBidi" w:cstheme="majorBidi"/>
          <w:noProof/>
          <w:rtl/>
          <w:lang w:val="fa-IR" w:bidi="fa-IR"/>
        </w:rPr>
        <w:lastRenderedPageBreak/>
        <w:drawing>
          <wp:inline distT="0" distB="0" distL="0" distR="0" wp14:anchorId="447AAC91" wp14:editId="313B1A08">
            <wp:extent cx="5943600" cy="24085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p-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408555"/>
                    </a:xfrm>
                    <a:prstGeom prst="rect">
                      <a:avLst/>
                    </a:prstGeom>
                  </pic:spPr>
                </pic:pic>
              </a:graphicData>
            </a:graphic>
          </wp:inline>
        </w:drawing>
      </w:r>
    </w:p>
    <w:p w14:paraId="61DF1027" w14:textId="685DA823" w:rsidR="002B21A3" w:rsidRDefault="002B21A3" w:rsidP="002B21A3">
      <w:pPr>
        <w:pStyle w:val="Caption"/>
        <w:jc w:val="both"/>
      </w:pPr>
      <w:r>
        <w:t xml:space="preserve">Figure </w:t>
      </w:r>
      <w:r w:rsidR="003B49CB">
        <w:t>7</w:t>
      </w:r>
      <w:r>
        <w:t>- Cell patterns on Substrate NHA-coated 50 nm (A)- Plain Substrate (B)</w:t>
      </w:r>
    </w:p>
    <w:p w14:paraId="457B9424" w14:textId="77777777" w:rsidR="002B21A3" w:rsidRDefault="002B21A3" w:rsidP="002B21A3">
      <w:pPr>
        <w:keepNext/>
        <w:jc w:val="both"/>
      </w:pPr>
      <w:r>
        <w:rPr>
          <w:rFonts w:asciiTheme="majorBidi" w:hAnsiTheme="majorBidi" w:cstheme="majorBidi"/>
          <w:noProof/>
          <w:rtl/>
          <w:lang w:val="fa-IR" w:bidi="fa-IR"/>
        </w:rPr>
        <w:drawing>
          <wp:inline distT="0" distB="0" distL="0" distR="0" wp14:anchorId="43627933" wp14:editId="33D080A1">
            <wp:extent cx="5943600" cy="21894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6.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189480"/>
                    </a:xfrm>
                    <a:prstGeom prst="rect">
                      <a:avLst/>
                    </a:prstGeom>
                  </pic:spPr>
                </pic:pic>
              </a:graphicData>
            </a:graphic>
          </wp:inline>
        </w:drawing>
      </w:r>
    </w:p>
    <w:p w14:paraId="30EEF91A" w14:textId="112B9E5C" w:rsidR="002B21A3" w:rsidRDefault="002B21A3" w:rsidP="002B21A3">
      <w:pPr>
        <w:pStyle w:val="Caption"/>
        <w:jc w:val="both"/>
        <w:rPr>
          <w:rFonts w:asciiTheme="majorBidi" w:hAnsiTheme="majorBidi" w:cstheme="majorBidi"/>
          <w:rtl/>
          <w:lang w:bidi="fa-IR"/>
        </w:rPr>
      </w:pPr>
      <w:r>
        <w:t xml:space="preserve">Figure </w:t>
      </w:r>
      <w:r w:rsidR="003B49CB">
        <w:t>8</w:t>
      </w:r>
      <w:r>
        <w:t xml:space="preserve">- SEM of Cell </w:t>
      </w:r>
      <w:proofErr w:type="spellStart"/>
      <w:r>
        <w:t>attachement</w:t>
      </w:r>
      <w:proofErr w:type="spellEnd"/>
      <w:r>
        <w:t xml:space="preserve"> on substrates.</w:t>
      </w:r>
    </w:p>
    <w:p w14:paraId="5AD733FC" w14:textId="77777777" w:rsidR="00033F88" w:rsidRPr="00033F88" w:rsidRDefault="00033F88" w:rsidP="005C316E">
      <w:pPr>
        <w:jc w:val="both"/>
        <w:rPr>
          <w:rFonts w:asciiTheme="majorBidi" w:hAnsiTheme="majorBidi" w:cstheme="majorBidi"/>
          <w:rtl/>
          <w:lang w:bidi="fa-IR"/>
        </w:rPr>
      </w:pPr>
    </w:p>
    <w:p w14:paraId="0CF226B6" w14:textId="77777777" w:rsidR="00033F88" w:rsidRPr="00033F88" w:rsidRDefault="00033F88" w:rsidP="005C316E">
      <w:pPr>
        <w:tabs>
          <w:tab w:val="left" w:pos="3497"/>
        </w:tabs>
        <w:jc w:val="both"/>
        <w:rPr>
          <w:rFonts w:asciiTheme="majorBidi" w:hAnsiTheme="majorBidi" w:cstheme="majorBidi"/>
          <w:lang w:bidi="fa-IR"/>
        </w:rPr>
      </w:pPr>
    </w:p>
    <w:sectPr w:rsidR="00033F88" w:rsidRPr="00033F88">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A6DC3" w14:textId="77777777" w:rsidR="00BA60ED" w:rsidRDefault="00BA60ED" w:rsidP="005E62DE">
      <w:pPr>
        <w:spacing w:after="0" w:line="240" w:lineRule="auto"/>
      </w:pPr>
      <w:r>
        <w:separator/>
      </w:r>
    </w:p>
  </w:endnote>
  <w:endnote w:type="continuationSeparator" w:id="0">
    <w:p w14:paraId="3DA4FCA4" w14:textId="77777777" w:rsidR="00BA60ED" w:rsidRDefault="00BA60ED" w:rsidP="005E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A11C8" w14:textId="77777777" w:rsidR="00BA60ED" w:rsidRDefault="00BA60ED" w:rsidP="005E62DE">
      <w:pPr>
        <w:spacing w:after="0" w:line="240" w:lineRule="auto"/>
      </w:pPr>
      <w:r>
        <w:separator/>
      </w:r>
    </w:p>
  </w:footnote>
  <w:footnote w:type="continuationSeparator" w:id="0">
    <w:p w14:paraId="182427BF" w14:textId="77777777" w:rsidR="00BA60ED" w:rsidRDefault="00BA60ED" w:rsidP="005E62DE">
      <w:pPr>
        <w:spacing w:after="0" w:line="240" w:lineRule="auto"/>
      </w:pPr>
      <w:r>
        <w:continuationSeparator/>
      </w:r>
    </w:p>
  </w:footnote>
  <w:footnote w:id="1">
    <w:p w14:paraId="2ABAE48A" w14:textId="4FA12645" w:rsidR="005E62DE" w:rsidRDefault="005E62DE">
      <w:pPr>
        <w:pStyle w:val="FootnoteText"/>
        <w:rPr>
          <w:rFonts w:asciiTheme="majorBidi" w:hAnsiTheme="majorBidi" w:cstheme="majorBidi"/>
          <w:sz w:val="23"/>
          <w:szCs w:val="23"/>
          <w:shd w:val="clear" w:color="auto" w:fill="FFFFFF"/>
        </w:rPr>
      </w:pPr>
      <w:r w:rsidRPr="005E62DE">
        <w:rPr>
          <w:rStyle w:val="FootnoteReference"/>
          <w:sz w:val="28"/>
          <w:szCs w:val="28"/>
        </w:rPr>
        <w:footnoteRef/>
      </w:r>
      <w:r>
        <w:t xml:space="preserve"> </w:t>
      </w:r>
      <w:r w:rsidRPr="00D36E65">
        <w:rPr>
          <w:rFonts w:asciiTheme="majorBidi" w:hAnsiTheme="majorBidi" w:cstheme="majorBidi"/>
          <w:sz w:val="23"/>
          <w:szCs w:val="23"/>
          <w:shd w:val="clear" w:color="auto" w:fill="FFFFFF"/>
        </w:rPr>
        <w:t>Corresponding authors</w:t>
      </w:r>
    </w:p>
    <w:p w14:paraId="7445F1F1" w14:textId="3B9DA129" w:rsidR="005E62DE" w:rsidRDefault="00000000">
      <w:pPr>
        <w:pStyle w:val="FootnoteText"/>
        <w:rPr>
          <w:rStyle w:val="Hyperlink"/>
          <w:rFonts w:asciiTheme="majorBidi" w:hAnsiTheme="majorBidi" w:cstheme="majorBidi"/>
          <w:color w:val="006DB4"/>
          <w:shd w:val="clear" w:color="auto" w:fill="FFFFFF"/>
        </w:rPr>
      </w:pPr>
      <w:hyperlink r:id="rId1" w:tgtFrame="_self" w:history="1">
        <w:r w:rsidR="005E62DE" w:rsidRPr="00AF4532">
          <w:rPr>
            <w:rStyle w:val="Hyperlink"/>
            <w:rFonts w:asciiTheme="majorBidi" w:hAnsiTheme="majorBidi" w:cstheme="majorBidi"/>
            <w:color w:val="006DB4"/>
            <w:shd w:val="clear" w:color="auto" w:fill="FFFFFF"/>
          </w:rPr>
          <w:t>a.karkhaneh@aut.ac.ir</w:t>
        </w:r>
      </w:hyperlink>
    </w:p>
    <w:p w14:paraId="293C6B2D" w14:textId="58194976" w:rsidR="005E62DE" w:rsidRDefault="00000000">
      <w:pPr>
        <w:pStyle w:val="FootnoteText"/>
      </w:pPr>
      <w:hyperlink r:id="rId2" w:history="1">
        <w:r w:rsidR="005E62DE" w:rsidRPr="00AF4532">
          <w:rPr>
            <w:rStyle w:val="Hyperlink"/>
            <w:rFonts w:asciiTheme="majorBidi" w:hAnsiTheme="majorBidi" w:cstheme="majorBidi"/>
            <w:color w:val="006DB4"/>
            <w:shd w:val="clear" w:color="auto" w:fill="FFFFFF"/>
          </w:rPr>
          <w:t>haghbin@aut.ac.ir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434A2"/>
    <w:multiLevelType w:val="hybridMultilevel"/>
    <w:tmpl w:val="5E1CE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F9622C"/>
    <w:multiLevelType w:val="hybridMultilevel"/>
    <w:tmpl w:val="79043530"/>
    <w:lvl w:ilvl="0" w:tplc="87F66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6639098">
    <w:abstractNumId w:val="1"/>
  </w:num>
  <w:num w:numId="2" w16cid:durableId="21465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O2NLMwNTM3NAcyLZR0lIJTi4sz8/NACixrAXKZV0wsAAAA"/>
  </w:docVars>
  <w:rsids>
    <w:rsidRoot w:val="00FD2C0F"/>
    <w:rsid w:val="00004848"/>
    <w:rsid w:val="00033F88"/>
    <w:rsid w:val="000F2FFB"/>
    <w:rsid w:val="000F4C7C"/>
    <w:rsid w:val="001531D2"/>
    <w:rsid w:val="001669A0"/>
    <w:rsid w:val="00176416"/>
    <w:rsid w:val="001A1B7B"/>
    <w:rsid w:val="001E4599"/>
    <w:rsid w:val="0021149E"/>
    <w:rsid w:val="0026764D"/>
    <w:rsid w:val="00285B7D"/>
    <w:rsid w:val="002B21A3"/>
    <w:rsid w:val="002C0C89"/>
    <w:rsid w:val="003B49CB"/>
    <w:rsid w:val="004A12A5"/>
    <w:rsid w:val="004B10D4"/>
    <w:rsid w:val="004C4F20"/>
    <w:rsid w:val="004D0520"/>
    <w:rsid w:val="004E1279"/>
    <w:rsid w:val="004F1397"/>
    <w:rsid w:val="00537E2E"/>
    <w:rsid w:val="00577407"/>
    <w:rsid w:val="005C316E"/>
    <w:rsid w:val="005E62DE"/>
    <w:rsid w:val="005F0E19"/>
    <w:rsid w:val="006202C3"/>
    <w:rsid w:val="00655CA6"/>
    <w:rsid w:val="0070395C"/>
    <w:rsid w:val="00741723"/>
    <w:rsid w:val="00786EFA"/>
    <w:rsid w:val="00797716"/>
    <w:rsid w:val="00817A33"/>
    <w:rsid w:val="00831C14"/>
    <w:rsid w:val="00896708"/>
    <w:rsid w:val="008B76BD"/>
    <w:rsid w:val="009F23DB"/>
    <w:rsid w:val="00A05A4D"/>
    <w:rsid w:val="00A67419"/>
    <w:rsid w:val="00AA23E4"/>
    <w:rsid w:val="00AE01D4"/>
    <w:rsid w:val="00AF0E35"/>
    <w:rsid w:val="00AF2A24"/>
    <w:rsid w:val="00B43024"/>
    <w:rsid w:val="00BA080C"/>
    <w:rsid w:val="00BA60ED"/>
    <w:rsid w:val="00C538B5"/>
    <w:rsid w:val="00C8505E"/>
    <w:rsid w:val="00CB7A06"/>
    <w:rsid w:val="00CC63B5"/>
    <w:rsid w:val="00D02761"/>
    <w:rsid w:val="00D10CC2"/>
    <w:rsid w:val="00DF0A1F"/>
    <w:rsid w:val="00E6450A"/>
    <w:rsid w:val="00E72BA1"/>
    <w:rsid w:val="00E95BA7"/>
    <w:rsid w:val="00EB04FB"/>
    <w:rsid w:val="00F11F5A"/>
    <w:rsid w:val="00F475CD"/>
    <w:rsid w:val="00F620E7"/>
    <w:rsid w:val="00FD2C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BE54"/>
  <w15:chartTrackingRefBased/>
  <w15:docId w15:val="{BF7F609B-667B-4BB9-9B64-06FBCC9E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C0F"/>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EFA"/>
    <w:pPr>
      <w:ind w:left="720"/>
      <w:contextualSpacing/>
    </w:pPr>
  </w:style>
  <w:style w:type="paragraph" w:styleId="Caption">
    <w:name w:val="caption"/>
    <w:basedOn w:val="Normal"/>
    <w:next w:val="Normal"/>
    <w:uiPriority w:val="35"/>
    <w:unhideWhenUsed/>
    <w:qFormat/>
    <w:rsid w:val="00AE01D4"/>
    <w:pPr>
      <w:spacing w:after="200" w:line="240" w:lineRule="auto"/>
    </w:pPr>
    <w:rPr>
      <w:i/>
      <w:iCs/>
      <w:color w:val="44546A" w:themeColor="text2"/>
      <w:sz w:val="18"/>
      <w:szCs w:val="18"/>
    </w:rPr>
  </w:style>
  <w:style w:type="character" w:styleId="Hyperlink">
    <w:name w:val="Hyperlink"/>
    <w:basedOn w:val="DefaultParagraphFont"/>
    <w:uiPriority w:val="99"/>
    <w:semiHidden/>
    <w:unhideWhenUsed/>
    <w:rsid w:val="005F0E19"/>
    <w:rPr>
      <w:color w:val="0000FF"/>
      <w:u w:val="single"/>
    </w:rPr>
  </w:style>
  <w:style w:type="paragraph" w:styleId="EndnoteText">
    <w:name w:val="endnote text"/>
    <w:basedOn w:val="Normal"/>
    <w:link w:val="EndnoteTextChar"/>
    <w:uiPriority w:val="99"/>
    <w:semiHidden/>
    <w:unhideWhenUsed/>
    <w:rsid w:val="005E62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62DE"/>
    <w:rPr>
      <w:sz w:val="20"/>
      <w:szCs w:val="20"/>
    </w:rPr>
  </w:style>
  <w:style w:type="character" w:styleId="EndnoteReference">
    <w:name w:val="endnote reference"/>
    <w:basedOn w:val="DefaultParagraphFont"/>
    <w:uiPriority w:val="99"/>
    <w:semiHidden/>
    <w:unhideWhenUsed/>
    <w:rsid w:val="005E62DE"/>
    <w:rPr>
      <w:vertAlign w:val="superscript"/>
    </w:rPr>
  </w:style>
  <w:style w:type="paragraph" w:styleId="FootnoteText">
    <w:name w:val="footnote text"/>
    <w:basedOn w:val="Normal"/>
    <w:link w:val="FootnoteTextChar"/>
    <w:uiPriority w:val="99"/>
    <w:semiHidden/>
    <w:unhideWhenUsed/>
    <w:rsid w:val="005E62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DE"/>
    <w:rPr>
      <w:sz w:val="20"/>
      <w:szCs w:val="20"/>
    </w:rPr>
  </w:style>
  <w:style w:type="character" w:styleId="FootnoteReference">
    <w:name w:val="footnote reference"/>
    <w:basedOn w:val="DefaultParagraphFont"/>
    <w:uiPriority w:val="99"/>
    <w:semiHidden/>
    <w:unhideWhenUsed/>
    <w:rsid w:val="005E62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2" Type="http://schemas.openxmlformats.org/officeDocument/2006/relationships/hyperlink" Target="mailto:haghbin@aut.ac.ir" TargetMode="External"/><Relationship Id="rId1" Type="http://schemas.openxmlformats.org/officeDocument/2006/relationships/hyperlink" Target="mailto:a.karkhaneh@au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6A4E9-28E1-410B-9AAF-C854A95C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3826</TotalTime>
  <Pages>7</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dc:creator>
  <cp:keywords/>
  <dc:description/>
  <cp:lastModifiedBy>Morteza Mehrjoo</cp:lastModifiedBy>
  <cp:revision>27</cp:revision>
  <cp:lastPrinted>2023-01-01T10:49:00Z</cp:lastPrinted>
  <dcterms:created xsi:type="dcterms:W3CDTF">2022-08-30T18:28:00Z</dcterms:created>
  <dcterms:modified xsi:type="dcterms:W3CDTF">2023-08-17T11:32:00Z</dcterms:modified>
</cp:coreProperties>
</file>