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2638" w:tblpY="1075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5"/>
      </w:tblGrid>
      <w:tr w:rsidR="0023183D" w:rsidRPr="0066602A" w14:paraId="220D2086" w14:textId="77777777" w:rsidTr="00547245">
        <w:trPr>
          <w:trHeight w:val="2417"/>
        </w:trPr>
        <w:tc>
          <w:tcPr>
            <w:tcW w:w="8115" w:type="dxa"/>
            <w:vAlign w:val="bottom"/>
          </w:tcPr>
          <w:p w14:paraId="3537C0FA" w14:textId="7B1F7093" w:rsidR="0023183D" w:rsidRPr="0066602A" w:rsidRDefault="00D31DE7" w:rsidP="001040E5">
            <w:pPr>
              <w:spacing w:before="0"/>
              <w:ind w:right="34"/>
              <w:jc w:val="right"/>
              <w:rPr>
                <w:rFonts w:cstheme="minorHAnsi"/>
                <w:b/>
                <w:bCs/>
                <w:color w:val="FFFFFF" w:themeColor="background1"/>
                <w:sz w:val="28"/>
              </w:rPr>
            </w:pPr>
            <w:bookmarkStart w:id="0" w:name="_Hlk117781432"/>
            <w:bookmarkStart w:id="1" w:name="_Hlk109142561"/>
            <w:bookmarkStart w:id="2" w:name="_Hlk124693268"/>
            <w:bookmarkEnd w:id="0"/>
            <w:proofErr w:type="spellStart"/>
            <w:r w:rsidRPr="0066602A">
              <w:rPr>
                <w:rFonts w:cstheme="minorHAnsi"/>
                <w:b/>
                <w:bCs/>
                <w:color w:val="FFFFFF" w:themeColor="background1"/>
                <w:sz w:val="28"/>
              </w:rPr>
              <w:t>oo</w:t>
            </w:r>
            <w:proofErr w:type="spellEnd"/>
            <w:r w:rsidR="00BA3D1F" w:rsidRPr="0066602A">
              <w:rPr>
                <w:rFonts w:cstheme="minorHAnsi"/>
                <w:b/>
                <w:bCs/>
                <w:color w:val="FFFFFF" w:themeColor="background1"/>
                <w:sz w:val="28"/>
              </w:rPr>
              <w:t xml:space="preserve"> </w:t>
            </w:r>
            <w:r w:rsidR="0023183D" w:rsidRPr="0066602A">
              <w:rPr>
                <w:rFonts w:cstheme="minorHAnsi"/>
                <w:b/>
                <w:bCs/>
                <w:color w:val="FFFFFF" w:themeColor="background1"/>
                <w:sz w:val="28"/>
              </w:rPr>
              <w:t>Written by</w:t>
            </w:r>
          </w:p>
          <w:p w14:paraId="36F2F77C" w14:textId="7577D745" w:rsidR="0023183D" w:rsidRPr="0066602A" w:rsidRDefault="00053299" w:rsidP="001040E5">
            <w:pPr>
              <w:spacing w:before="0"/>
              <w:ind w:right="34"/>
              <w:jc w:val="right"/>
              <w:rPr>
                <w:rFonts w:cstheme="minorHAnsi"/>
                <w:b/>
                <w:bCs/>
                <w:color w:val="FFFFFF" w:themeColor="background1"/>
                <w:sz w:val="28"/>
              </w:rPr>
            </w:pPr>
            <w:r w:rsidRPr="0066602A">
              <w:rPr>
                <w:rFonts w:cstheme="minorHAnsi"/>
                <w:b/>
                <w:bCs/>
                <w:color w:val="FFFFFF" w:themeColor="background1"/>
                <w:sz w:val="28"/>
              </w:rPr>
              <w:t>Adelphi Values PROVE™</w:t>
            </w:r>
          </w:p>
        </w:tc>
      </w:tr>
      <w:tr w:rsidR="0023183D" w:rsidRPr="0066602A" w14:paraId="56FE3BB0" w14:textId="77777777" w:rsidTr="00547245">
        <w:trPr>
          <w:trHeight w:val="567"/>
        </w:trPr>
        <w:tc>
          <w:tcPr>
            <w:tcW w:w="8115" w:type="dxa"/>
            <w:vAlign w:val="bottom"/>
          </w:tcPr>
          <w:p w14:paraId="211252C6" w14:textId="77777777" w:rsidR="0023183D" w:rsidRPr="0066602A" w:rsidRDefault="0023183D" w:rsidP="001040E5">
            <w:pPr>
              <w:spacing w:before="0"/>
              <w:ind w:right="34"/>
              <w:jc w:val="right"/>
              <w:rPr>
                <w:rFonts w:cstheme="minorHAnsi"/>
                <w:b/>
                <w:bCs/>
                <w:color w:val="FFFFFF" w:themeColor="background1"/>
                <w:sz w:val="28"/>
              </w:rPr>
            </w:pPr>
            <w:r w:rsidRPr="0066602A">
              <w:rPr>
                <w:rFonts w:cstheme="minorHAnsi"/>
                <w:b/>
                <w:bCs/>
                <w:color w:val="FFFFFF" w:themeColor="background1"/>
                <w:sz w:val="28"/>
              </w:rPr>
              <w:t xml:space="preserve">www.adelphivalues.com </w:t>
            </w:r>
          </w:p>
        </w:tc>
      </w:tr>
      <w:tr w:rsidR="0023183D" w:rsidRPr="0066602A" w14:paraId="4FA9C4DA" w14:textId="77777777" w:rsidTr="00547245">
        <w:trPr>
          <w:trHeight w:val="567"/>
        </w:trPr>
        <w:tc>
          <w:tcPr>
            <w:tcW w:w="8115" w:type="dxa"/>
            <w:vAlign w:val="bottom"/>
          </w:tcPr>
          <w:p w14:paraId="7244ACE5" w14:textId="77777777" w:rsidR="0023183D" w:rsidRPr="0066602A" w:rsidRDefault="0023183D" w:rsidP="0023183D">
            <w:pPr>
              <w:spacing w:before="0"/>
              <w:jc w:val="right"/>
              <w:rPr>
                <w:rFonts w:cstheme="minorHAnsi"/>
                <w:b/>
                <w:bCs/>
                <w:color w:val="FFFFFF" w:themeColor="background1"/>
                <w:sz w:val="28"/>
              </w:rPr>
            </w:pPr>
            <w:r w:rsidRPr="0066602A">
              <w:rPr>
                <w:rFonts w:cstheme="minorHAnsi"/>
                <w:b/>
                <w:bCs/>
                <w:noProof/>
                <w:color w:val="FFFFFF" w:themeColor="background1"/>
                <w:sz w:val="28"/>
                <w:lang w:eastAsia="en-GB"/>
              </w:rPr>
              <w:drawing>
                <wp:inline distT="0" distB="0" distL="0" distR="0" wp14:anchorId="64A19A17" wp14:editId="26A14A8F">
                  <wp:extent cx="4864735" cy="182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4735" cy="182880"/>
                          </a:xfrm>
                          <a:prstGeom prst="rect">
                            <a:avLst/>
                          </a:prstGeom>
                          <a:noFill/>
                        </pic:spPr>
                      </pic:pic>
                    </a:graphicData>
                  </a:graphic>
                </wp:inline>
              </w:drawing>
            </w:r>
          </w:p>
        </w:tc>
      </w:tr>
    </w:tbl>
    <w:tbl>
      <w:tblPr>
        <w:tblStyle w:val="TableGrid"/>
        <w:tblpPr w:leftFromText="180" w:rightFromText="180" w:vertAnchor="text" w:horzAnchor="page" w:tblpX="1674" w:tblpY="2264"/>
        <w:tblOverlap w:val="never"/>
        <w:tblW w:w="9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23183D" w:rsidRPr="0066602A" w14:paraId="5ACD1A82" w14:textId="77777777" w:rsidTr="0089779E">
        <w:trPr>
          <w:trHeight w:val="530"/>
        </w:trPr>
        <w:tc>
          <w:tcPr>
            <w:tcW w:w="9335" w:type="dxa"/>
          </w:tcPr>
          <w:p w14:paraId="3EF1BC2F" w14:textId="0A503FF7" w:rsidR="0023183D" w:rsidRPr="0066602A" w:rsidRDefault="003C536C" w:rsidP="0089779E">
            <w:pPr>
              <w:ind w:right="60"/>
              <w:jc w:val="right"/>
              <w:rPr>
                <w:rFonts w:ascii="Calibri" w:hAnsi="Calibri" w:cs="Calibri"/>
                <w:sz w:val="28"/>
                <w:szCs w:val="28"/>
              </w:rPr>
            </w:pPr>
            <w:r w:rsidRPr="0066602A">
              <w:rPr>
                <w:rFonts w:ascii="Calibri" w:hAnsi="Calibri" w:cs="Calibri"/>
                <w:sz w:val="28"/>
                <w:szCs w:val="28"/>
              </w:rPr>
              <w:t>5</w:t>
            </w:r>
            <w:r w:rsidRPr="0066602A">
              <w:rPr>
                <w:rFonts w:ascii="Calibri" w:hAnsi="Calibri" w:cs="Calibri"/>
                <w:sz w:val="28"/>
                <w:szCs w:val="28"/>
                <w:vertAlign w:val="superscript"/>
              </w:rPr>
              <w:t>th</w:t>
            </w:r>
            <w:r w:rsidRPr="0066602A">
              <w:rPr>
                <w:rFonts w:ascii="Calibri" w:hAnsi="Calibri" w:cs="Calibri"/>
                <w:sz w:val="28"/>
                <w:szCs w:val="28"/>
              </w:rPr>
              <w:t xml:space="preserve"> May</w:t>
            </w:r>
            <w:r w:rsidR="00D748DA" w:rsidRPr="0066602A">
              <w:rPr>
                <w:rFonts w:ascii="Calibri" w:hAnsi="Calibri" w:cs="Calibri"/>
                <w:sz w:val="28"/>
                <w:szCs w:val="28"/>
              </w:rPr>
              <w:t xml:space="preserve"> </w:t>
            </w:r>
            <w:r w:rsidR="0017769E" w:rsidRPr="0066602A">
              <w:rPr>
                <w:rFonts w:ascii="Calibri" w:hAnsi="Calibri" w:cs="Calibri"/>
                <w:sz w:val="28"/>
                <w:szCs w:val="28"/>
              </w:rPr>
              <w:t>202</w:t>
            </w:r>
            <w:r w:rsidR="00BD1E50" w:rsidRPr="0066602A">
              <w:rPr>
                <w:rFonts w:ascii="Calibri" w:hAnsi="Calibri" w:cs="Calibri"/>
                <w:sz w:val="28"/>
                <w:szCs w:val="28"/>
              </w:rPr>
              <w:t>3</w:t>
            </w:r>
          </w:p>
        </w:tc>
      </w:tr>
      <w:tr w:rsidR="0023183D" w:rsidRPr="0066602A" w14:paraId="6265094A" w14:textId="77777777" w:rsidTr="0089779E">
        <w:trPr>
          <w:trHeight w:val="551"/>
        </w:trPr>
        <w:tc>
          <w:tcPr>
            <w:tcW w:w="9335" w:type="dxa"/>
          </w:tcPr>
          <w:p w14:paraId="097ED95A" w14:textId="58E6C050" w:rsidR="0023183D" w:rsidRPr="0066602A" w:rsidRDefault="00D35759" w:rsidP="0089779E">
            <w:pPr>
              <w:ind w:right="60"/>
              <w:jc w:val="right"/>
              <w:rPr>
                <w:sz w:val="28"/>
                <w:szCs w:val="28"/>
              </w:rPr>
            </w:pPr>
            <w:r w:rsidRPr="0066602A">
              <w:rPr>
                <w:sz w:val="28"/>
                <w:szCs w:val="28"/>
              </w:rPr>
              <w:t>MO96</w:t>
            </w:r>
            <w:r w:rsidR="00324A31" w:rsidRPr="0066602A">
              <w:rPr>
                <w:sz w:val="28"/>
                <w:szCs w:val="28"/>
              </w:rPr>
              <w:t>0</w:t>
            </w:r>
            <w:r w:rsidRPr="0066602A">
              <w:rPr>
                <w:sz w:val="28"/>
                <w:szCs w:val="28"/>
              </w:rPr>
              <w:t>4A</w:t>
            </w:r>
            <w:r w:rsidR="00B455EF" w:rsidRPr="0066602A">
              <w:rPr>
                <w:sz w:val="28"/>
                <w:szCs w:val="28"/>
              </w:rPr>
              <w:t xml:space="preserve"> </w:t>
            </w:r>
            <w:r w:rsidR="00ED5A72" w:rsidRPr="0066602A">
              <w:rPr>
                <w:sz w:val="28"/>
                <w:szCs w:val="28"/>
              </w:rPr>
              <w:t xml:space="preserve">| Version </w:t>
            </w:r>
            <w:r w:rsidR="0063261A" w:rsidRPr="0066602A">
              <w:rPr>
                <w:sz w:val="28"/>
                <w:szCs w:val="28"/>
              </w:rPr>
              <w:t>3</w:t>
            </w:r>
            <w:r w:rsidR="0023183D" w:rsidRPr="0066602A">
              <w:rPr>
                <w:sz w:val="28"/>
                <w:szCs w:val="28"/>
              </w:rPr>
              <w:t>_</w:t>
            </w:r>
            <w:r w:rsidR="00E81290" w:rsidRPr="0066602A">
              <w:rPr>
                <w:sz w:val="28"/>
                <w:szCs w:val="28"/>
              </w:rPr>
              <w:t>0</w:t>
            </w:r>
          </w:p>
        </w:tc>
      </w:tr>
      <w:tr w:rsidR="0023183D" w:rsidRPr="0066602A" w14:paraId="14EBD869" w14:textId="77777777" w:rsidTr="0089779E">
        <w:trPr>
          <w:trHeight w:val="610"/>
        </w:trPr>
        <w:tc>
          <w:tcPr>
            <w:tcW w:w="9335" w:type="dxa"/>
          </w:tcPr>
          <w:p w14:paraId="5922538B" w14:textId="6D89D608" w:rsidR="0023183D" w:rsidRPr="0066602A" w:rsidRDefault="00B51292" w:rsidP="0089779E">
            <w:pPr>
              <w:ind w:right="60"/>
              <w:jc w:val="right"/>
              <w:rPr>
                <w:b/>
                <w:sz w:val="44"/>
                <w:szCs w:val="44"/>
              </w:rPr>
            </w:pPr>
            <w:r w:rsidRPr="0066602A">
              <w:rPr>
                <w:b/>
                <w:sz w:val="44"/>
                <w:szCs w:val="44"/>
                <w:lang w:val="en-GB"/>
              </w:rPr>
              <w:t>Manuscript supplementary materials</w:t>
            </w:r>
          </w:p>
        </w:tc>
      </w:tr>
      <w:tr w:rsidR="0023183D" w:rsidRPr="0066602A" w14:paraId="61F080EA" w14:textId="77777777" w:rsidTr="0089779E">
        <w:trPr>
          <w:trHeight w:val="551"/>
        </w:trPr>
        <w:tc>
          <w:tcPr>
            <w:tcW w:w="9335" w:type="dxa"/>
          </w:tcPr>
          <w:p w14:paraId="36D9F09D" w14:textId="2B89A10B" w:rsidR="0023183D" w:rsidRPr="0066602A" w:rsidRDefault="00B51292" w:rsidP="0089779E">
            <w:pPr>
              <w:ind w:right="60"/>
              <w:jc w:val="right"/>
              <w:rPr>
                <w:rFonts w:ascii="Calibri" w:hAnsi="Calibri" w:cs="Calibri"/>
                <w:sz w:val="28"/>
                <w:szCs w:val="28"/>
              </w:rPr>
            </w:pPr>
            <w:r w:rsidRPr="0066602A">
              <w:rPr>
                <w:sz w:val="28"/>
                <w:szCs w:val="28"/>
              </w:rPr>
              <w:t>P</w:t>
            </w:r>
            <w:r w:rsidR="00DF5DD7" w:rsidRPr="0066602A">
              <w:rPr>
                <w:sz w:val="28"/>
                <w:szCs w:val="28"/>
              </w:rPr>
              <w:t>r</w:t>
            </w:r>
            <w:r w:rsidR="0023183D" w:rsidRPr="0066602A">
              <w:rPr>
                <w:sz w:val="28"/>
                <w:szCs w:val="28"/>
              </w:rPr>
              <w:t>epared for</w:t>
            </w:r>
          </w:p>
        </w:tc>
      </w:tr>
      <w:tr w:rsidR="0023183D" w:rsidRPr="0066602A" w14:paraId="0D35920A" w14:textId="77777777" w:rsidTr="0089779E">
        <w:trPr>
          <w:trHeight w:val="364"/>
        </w:trPr>
        <w:tc>
          <w:tcPr>
            <w:tcW w:w="9335" w:type="dxa"/>
          </w:tcPr>
          <w:p w14:paraId="628E6E97" w14:textId="66430825" w:rsidR="00F222A2" w:rsidRPr="0066602A" w:rsidRDefault="00882660" w:rsidP="0089779E">
            <w:pPr>
              <w:ind w:right="60"/>
              <w:jc w:val="right"/>
            </w:pPr>
            <w:r w:rsidRPr="0066602A">
              <w:rPr>
                <w:sz w:val="28"/>
                <w:szCs w:val="28"/>
              </w:rPr>
              <w:t xml:space="preserve">Alan Lipschitz and Edith </w:t>
            </w:r>
            <w:r w:rsidR="005E6C9F" w:rsidRPr="0066602A">
              <w:rPr>
                <w:sz w:val="28"/>
                <w:szCs w:val="28"/>
              </w:rPr>
              <w:t>Mensah-Osman</w:t>
            </w:r>
          </w:p>
        </w:tc>
      </w:tr>
      <w:tr w:rsidR="00341F93" w:rsidRPr="0066602A" w14:paraId="0EE274B7" w14:textId="77777777" w:rsidTr="0089779E">
        <w:trPr>
          <w:trHeight w:val="364"/>
        </w:trPr>
        <w:tc>
          <w:tcPr>
            <w:tcW w:w="9335" w:type="dxa"/>
          </w:tcPr>
          <w:p w14:paraId="345A7FB8" w14:textId="39901285" w:rsidR="00341F93" w:rsidRPr="0066602A" w:rsidRDefault="00DF5DD7" w:rsidP="0089779E">
            <w:pPr>
              <w:ind w:right="60"/>
              <w:jc w:val="right"/>
              <w:rPr>
                <w:sz w:val="28"/>
                <w:szCs w:val="28"/>
              </w:rPr>
            </w:pPr>
            <w:r w:rsidRPr="0066602A">
              <w:rPr>
                <w:sz w:val="28"/>
                <w:szCs w:val="28"/>
              </w:rPr>
              <w:t>Merck</w:t>
            </w:r>
          </w:p>
        </w:tc>
      </w:tr>
      <w:tr w:rsidR="0023183D" w:rsidRPr="0066602A" w14:paraId="683183FA" w14:textId="77777777" w:rsidTr="0089779E">
        <w:trPr>
          <w:trHeight w:val="551"/>
        </w:trPr>
        <w:tc>
          <w:tcPr>
            <w:tcW w:w="9335" w:type="dxa"/>
          </w:tcPr>
          <w:p w14:paraId="5B3054C9" w14:textId="64EC53C8" w:rsidR="0023183D" w:rsidRPr="0066602A" w:rsidRDefault="0023183D" w:rsidP="0089779E">
            <w:pPr>
              <w:ind w:right="60"/>
              <w:jc w:val="right"/>
              <w:rPr>
                <w:rFonts w:ascii="Calibri" w:hAnsi="Calibri" w:cs="Calibri"/>
                <w:sz w:val="28"/>
                <w:szCs w:val="28"/>
              </w:rPr>
            </w:pPr>
          </w:p>
        </w:tc>
      </w:tr>
    </w:tbl>
    <w:p w14:paraId="4EA0E94F" w14:textId="77777777" w:rsidR="00D2374A" w:rsidRPr="0066602A" w:rsidRDefault="00D2374A" w:rsidP="0017459B">
      <w:pPr>
        <w:pStyle w:val="TOCHeading"/>
        <w:rPr>
          <w:lang w:val="en-US"/>
        </w:rPr>
        <w:sectPr w:rsidR="00D2374A" w:rsidRPr="0066602A" w:rsidSect="0023183D">
          <w:headerReference w:type="even" r:id="rId9"/>
          <w:headerReference w:type="default" r:id="rId10"/>
          <w:footerReference w:type="even" r:id="rId11"/>
          <w:footerReference w:type="default" r:id="rId12"/>
          <w:headerReference w:type="first" r:id="rId13"/>
          <w:footerReference w:type="first" r:id="rId14"/>
          <w:pgSz w:w="11907" w:h="16839" w:code="9"/>
          <w:pgMar w:top="1385" w:right="1417" w:bottom="3" w:left="1440" w:header="568" w:footer="431" w:gutter="0"/>
          <w:cols w:space="720"/>
          <w:titlePg/>
          <w:docGrid w:linePitch="360"/>
        </w:sectPr>
      </w:pPr>
    </w:p>
    <w:p w14:paraId="0E234D39" w14:textId="5D5946E3" w:rsidR="0017459B" w:rsidRPr="0066602A" w:rsidRDefault="0017459B" w:rsidP="0017459B">
      <w:pPr>
        <w:pStyle w:val="TOCHeading"/>
        <w:rPr>
          <w:lang w:val="en-US"/>
        </w:rPr>
      </w:pPr>
      <w:r w:rsidRPr="0066602A">
        <w:rPr>
          <w:lang w:val="en-US"/>
        </w:rPr>
        <w:lastRenderedPageBreak/>
        <w:t>Version control</w:t>
      </w:r>
    </w:p>
    <w:tbl>
      <w:tblPr>
        <w:tblStyle w:val="LightList-Accent6"/>
        <w:tblW w:w="0" w:type="auto"/>
        <w:tblLook w:val="04A0" w:firstRow="1" w:lastRow="0" w:firstColumn="1" w:lastColumn="0" w:noHBand="0" w:noVBand="1"/>
      </w:tblPr>
      <w:tblGrid>
        <w:gridCol w:w="2088"/>
        <w:gridCol w:w="3861"/>
        <w:gridCol w:w="3091"/>
      </w:tblGrid>
      <w:tr w:rsidR="0017459B" w:rsidRPr="0066602A" w14:paraId="69200824" w14:textId="77777777" w:rsidTr="005069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7B564F28" w14:textId="59A25D80" w:rsidR="0017459B" w:rsidRPr="0066602A" w:rsidRDefault="0017459B" w:rsidP="00A44B33">
            <w:pPr>
              <w:pStyle w:val="Table-Normal"/>
              <w:rPr>
                <w:lang w:val="en-US"/>
              </w:rPr>
            </w:pPr>
            <w:r w:rsidRPr="0066602A">
              <w:rPr>
                <w:lang w:val="en-US"/>
              </w:rPr>
              <w:t xml:space="preserve">Version </w:t>
            </w:r>
            <w:r w:rsidR="00F141A7" w:rsidRPr="0066602A">
              <w:rPr>
                <w:lang w:val="en-US"/>
              </w:rPr>
              <w:t>n</w:t>
            </w:r>
            <w:r w:rsidRPr="0066602A">
              <w:rPr>
                <w:lang w:val="en-US"/>
              </w:rPr>
              <w:t>umber</w:t>
            </w:r>
          </w:p>
        </w:tc>
        <w:tc>
          <w:tcPr>
            <w:tcW w:w="3861" w:type="dxa"/>
          </w:tcPr>
          <w:p w14:paraId="3927AE5D" w14:textId="77777777" w:rsidR="0017459B" w:rsidRPr="0066602A" w:rsidRDefault="0017459B" w:rsidP="00A44B33">
            <w:pPr>
              <w:pStyle w:val="Table-Normal"/>
              <w:cnfStyle w:val="100000000000" w:firstRow="1" w:lastRow="0" w:firstColumn="0" w:lastColumn="0" w:oddVBand="0" w:evenVBand="0" w:oddHBand="0" w:evenHBand="0" w:firstRowFirstColumn="0" w:firstRowLastColumn="0" w:lastRowFirstColumn="0" w:lastRowLastColumn="0"/>
              <w:rPr>
                <w:lang w:val="en-US"/>
              </w:rPr>
            </w:pPr>
            <w:r w:rsidRPr="0066602A">
              <w:rPr>
                <w:lang w:val="en-US"/>
              </w:rPr>
              <w:t>Changes from previous version with reasons</w:t>
            </w:r>
          </w:p>
        </w:tc>
        <w:tc>
          <w:tcPr>
            <w:tcW w:w="3091" w:type="dxa"/>
          </w:tcPr>
          <w:p w14:paraId="4258F0F0" w14:textId="77777777" w:rsidR="0017459B" w:rsidRPr="0066602A" w:rsidRDefault="0017459B" w:rsidP="00A44B33">
            <w:pPr>
              <w:pStyle w:val="Table-Normal"/>
              <w:cnfStyle w:val="100000000000" w:firstRow="1" w:lastRow="0" w:firstColumn="0" w:lastColumn="0" w:oddVBand="0" w:evenVBand="0" w:oddHBand="0" w:evenHBand="0" w:firstRowFirstColumn="0" w:firstRowLastColumn="0" w:lastRowFirstColumn="0" w:lastRowLastColumn="0"/>
              <w:rPr>
                <w:lang w:val="en-US"/>
              </w:rPr>
            </w:pPr>
            <w:r w:rsidRPr="0066602A">
              <w:rPr>
                <w:lang w:val="en-US"/>
              </w:rPr>
              <w:t>Date delivered</w:t>
            </w:r>
          </w:p>
        </w:tc>
      </w:tr>
      <w:tr w:rsidR="0017459B" w:rsidRPr="0066602A" w14:paraId="15EEE278" w14:textId="77777777" w:rsidTr="00506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0CE54EEF" w14:textId="77777777" w:rsidR="0017459B" w:rsidRPr="0066602A" w:rsidRDefault="0017459B" w:rsidP="00A44B33">
            <w:pPr>
              <w:pStyle w:val="Table-Normal"/>
              <w:rPr>
                <w:lang w:val="en-US"/>
              </w:rPr>
            </w:pPr>
            <w:r w:rsidRPr="0066602A">
              <w:rPr>
                <w:lang w:val="en-US"/>
              </w:rPr>
              <w:t>v1_0</w:t>
            </w:r>
          </w:p>
        </w:tc>
        <w:tc>
          <w:tcPr>
            <w:tcW w:w="3861" w:type="dxa"/>
          </w:tcPr>
          <w:p w14:paraId="5411D1FB" w14:textId="524D55EA" w:rsidR="0017459B" w:rsidRPr="0066602A" w:rsidRDefault="0017459B" w:rsidP="00A44B33">
            <w:pPr>
              <w:pStyle w:val="Table-Normal"/>
              <w:cnfStyle w:val="000000100000" w:firstRow="0" w:lastRow="0" w:firstColumn="0" w:lastColumn="0" w:oddVBand="0" w:evenVBand="0" w:oddHBand="1" w:evenHBand="0" w:firstRowFirstColumn="0" w:firstRowLastColumn="0" w:lastRowFirstColumn="0" w:lastRowLastColumn="0"/>
              <w:rPr>
                <w:lang w:val="en-US"/>
              </w:rPr>
            </w:pPr>
            <w:r w:rsidRPr="0066602A">
              <w:rPr>
                <w:lang w:val="en-US"/>
              </w:rPr>
              <w:t>Original version</w:t>
            </w:r>
          </w:p>
        </w:tc>
        <w:tc>
          <w:tcPr>
            <w:tcW w:w="3091" w:type="dxa"/>
          </w:tcPr>
          <w:p w14:paraId="4AB17C00" w14:textId="1A98B7F0" w:rsidR="0017459B" w:rsidRPr="0066602A" w:rsidRDefault="00B51292" w:rsidP="00A44B33">
            <w:pPr>
              <w:pStyle w:val="Table-Normal"/>
              <w:cnfStyle w:val="000000100000" w:firstRow="0" w:lastRow="0" w:firstColumn="0" w:lastColumn="0" w:oddVBand="0" w:evenVBand="0" w:oddHBand="1" w:evenHBand="0" w:firstRowFirstColumn="0" w:firstRowLastColumn="0" w:lastRowFirstColumn="0" w:lastRowLastColumn="0"/>
              <w:rPr>
                <w:lang w:val="en-US"/>
              </w:rPr>
            </w:pPr>
            <w:r w:rsidRPr="0066602A">
              <w:rPr>
                <w:lang w:val="en-US"/>
              </w:rPr>
              <w:t>1</w:t>
            </w:r>
            <w:r w:rsidR="00E36FEF" w:rsidRPr="0066602A">
              <w:rPr>
                <w:lang w:val="en-US"/>
              </w:rPr>
              <w:t>5</w:t>
            </w:r>
            <w:r w:rsidRPr="0066602A">
              <w:rPr>
                <w:vertAlign w:val="superscript"/>
                <w:lang w:val="en-US"/>
              </w:rPr>
              <w:t>th</w:t>
            </w:r>
            <w:r w:rsidRPr="0066602A">
              <w:rPr>
                <w:lang w:val="en-US"/>
              </w:rPr>
              <w:t xml:space="preserve"> March </w:t>
            </w:r>
            <w:r w:rsidR="00592333" w:rsidRPr="0066602A">
              <w:rPr>
                <w:lang w:val="en-US"/>
              </w:rPr>
              <w:t>202</w:t>
            </w:r>
            <w:r w:rsidR="009F79B7" w:rsidRPr="0066602A">
              <w:rPr>
                <w:lang w:val="en-US"/>
              </w:rPr>
              <w:t>3</w:t>
            </w:r>
          </w:p>
        </w:tc>
      </w:tr>
      <w:tr w:rsidR="00271881" w:rsidRPr="0066602A" w14:paraId="5B49EC77" w14:textId="77777777" w:rsidTr="005069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7B79B6FC" w14:textId="5B3FD4E6" w:rsidR="00271881" w:rsidRPr="0066602A" w:rsidRDefault="00271881" w:rsidP="00A44B33">
            <w:pPr>
              <w:pStyle w:val="Table-Normal"/>
              <w:rPr>
                <w:lang w:val="en-US"/>
              </w:rPr>
            </w:pPr>
            <w:r w:rsidRPr="0066602A">
              <w:rPr>
                <w:lang w:val="en-US"/>
              </w:rPr>
              <w:t>v2_0</w:t>
            </w:r>
          </w:p>
        </w:tc>
        <w:tc>
          <w:tcPr>
            <w:tcW w:w="3861" w:type="dxa"/>
          </w:tcPr>
          <w:p w14:paraId="076DE9FF" w14:textId="7C45963B" w:rsidR="00271881" w:rsidRPr="0066602A" w:rsidRDefault="00271881" w:rsidP="00A44B33">
            <w:pPr>
              <w:pStyle w:val="Table-Normal"/>
              <w:cnfStyle w:val="000000010000" w:firstRow="0" w:lastRow="0" w:firstColumn="0" w:lastColumn="0" w:oddVBand="0" w:evenVBand="0" w:oddHBand="0" w:evenHBand="1" w:firstRowFirstColumn="0" w:firstRowLastColumn="0" w:lastRowFirstColumn="0" w:lastRowLastColumn="0"/>
              <w:rPr>
                <w:lang w:val="en-US"/>
              </w:rPr>
            </w:pPr>
            <w:r w:rsidRPr="0066602A">
              <w:rPr>
                <w:lang w:val="en-US"/>
              </w:rPr>
              <w:t>Second version</w:t>
            </w:r>
          </w:p>
        </w:tc>
        <w:tc>
          <w:tcPr>
            <w:tcW w:w="3091" w:type="dxa"/>
          </w:tcPr>
          <w:p w14:paraId="1EB68646" w14:textId="355A9898" w:rsidR="00271881" w:rsidRPr="0066602A" w:rsidRDefault="00271881" w:rsidP="00A44B33">
            <w:pPr>
              <w:pStyle w:val="Table-Normal"/>
              <w:cnfStyle w:val="000000010000" w:firstRow="0" w:lastRow="0" w:firstColumn="0" w:lastColumn="0" w:oddVBand="0" w:evenVBand="0" w:oddHBand="0" w:evenHBand="1" w:firstRowFirstColumn="0" w:firstRowLastColumn="0" w:lastRowFirstColumn="0" w:lastRowLastColumn="0"/>
              <w:rPr>
                <w:lang w:val="en-US"/>
              </w:rPr>
            </w:pPr>
            <w:r w:rsidRPr="0066602A">
              <w:rPr>
                <w:lang w:val="en-US"/>
              </w:rPr>
              <w:t>1</w:t>
            </w:r>
            <w:r w:rsidR="00DA1A55" w:rsidRPr="0066602A">
              <w:rPr>
                <w:lang w:val="en-US"/>
              </w:rPr>
              <w:t>2</w:t>
            </w:r>
            <w:r w:rsidRPr="0066602A">
              <w:rPr>
                <w:vertAlign w:val="superscript"/>
                <w:lang w:val="en-US"/>
              </w:rPr>
              <w:t>th</w:t>
            </w:r>
            <w:r w:rsidRPr="0066602A">
              <w:rPr>
                <w:lang w:val="en-US"/>
              </w:rPr>
              <w:t xml:space="preserve"> April 2023</w:t>
            </w:r>
          </w:p>
        </w:tc>
      </w:tr>
      <w:tr w:rsidR="0063261A" w:rsidRPr="0066602A" w14:paraId="1D68259F" w14:textId="77777777" w:rsidTr="00506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4D5F65C1" w14:textId="6E7FF86E" w:rsidR="0063261A" w:rsidRPr="0066602A" w:rsidRDefault="003C536C" w:rsidP="00A44B33">
            <w:pPr>
              <w:pStyle w:val="Table-Normal"/>
              <w:rPr>
                <w:lang w:val="en-US"/>
              </w:rPr>
            </w:pPr>
            <w:r w:rsidRPr="0066602A">
              <w:rPr>
                <w:lang w:val="en-US"/>
              </w:rPr>
              <w:t>v</w:t>
            </w:r>
            <w:r w:rsidR="0063261A" w:rsidRPr="0066602A">
              <w:rPr>
                <w:lang w:val="en-US"/>
              </w:rPr>
              <w:t>3_0</w:t>
            </w:r>
          </w:p>
        </w:tc>
        <w:tc>
          <w:tcPr>
            <w:tcW w:w="3861" w:type="dxa"/>
          </w:tcPr>
          <w:p w14:paraId="5FCF6B30" w14:textId="26AF154C" w:rsidR="0063261A" w:rsidRPr="0066602A" w:rsidRDefault="0063261A" w:rsidP="00A44B33">
            <w:pPr>
              <w:pStyle w:val="Table-Normal"/>
              <w:cnfStyle w:val="000000100000" w:firstRow="0" w:lastRow="0" w:firstColumn="0" w:lastColumn="0" w:oddVBand="0" w:evenVBand="0" w:oddHBand="1" w:evenHBand="0" w:firstRowFirstColumn="0" w:firstRowLastColumn="0" w:lastRowFirstColumn="0" w:lastRowLastColumn="0"/>
              <w:rPr>
                <w:lang w:val="en-US"/>
              </w:rPr>
            </w:pPr>
            <w:r w:rsidRPr="0066602A">
              <w:rPr>
                <w:lang w:val="en-US"/>
              </w:rPr>
              <w:t>Final version</w:t>
            </w:r>
          </w:p>
        </w:tc>
        <w:tc>
          <w:tcPr>
            <w:tcW w:w="3091" w:type="dxa"/>
          </w:tcPr>
          <w:p w14:paraId="334FF49E" w14:textId="2133A3BF" w:rsidR="0063261A" w:rsidRPr="0066602A" w:rsidRDefault="003C536C" w:rsidP="00A44B33">
            <w:pPr>
              <w:pStyle w:val="Table-Normal"/>
              <w:cnfStyle w:val="000000100000" w:firstRow="0" w:lastRow="0" w:firstColumn="0" w:lastColumn="0" w:oddVBand="0" w:evenVBand="0" w:oddHBand="1" w:evenHBand="0" w:firstRowFirstColumn="0" w:firstRowLastColumn="0" w:lastRowFirstColumn="0" w:lastRowLastColumn="0"/>
              <w:rPr>
                <w:lang w:val="en-US"/>
              </w:rPr>
            </w:pPr>
            <w:r w:rsidRPr="0066602A">
              <w:rPr>
                <w:lang w:val="en-US"/>
              </w:rPr>
              <w:t>5</w:t>
            </w:r>
            <w:r w:rsidRPr="0066602A">
              <w:rPr>
                <w:vertAlign w:val="superscript"/>
                <w:lang w:val="en-US"/>
              </w:rPr>
              <w:t>th</w:t>
            </w:r>
            <w:r w:rsidRPr="0066602A">
              <w:rPr>
                <w:lang w:val="en-US"/>
              </w:rPr>
              <w:t xml:space="preserve"> May 2023</w:t>
            </w:r>
          </w:p>
        </w:tc>
      </w:tr>
    </w:tbl>
    <w:p w14:paraId="165F1C14" w14:textId="739894C3" w:rsidR="0005674C" w:rsidRPr="0066602A" w:rsidRDefault="0005674C" w:rsidP="0005674C">
      <w:pPr>
        <w:pStyle w:val="Heading1"/>
        <w:numPr>
          <w:ilvl w:val="0"/>
          <w:numId w:val="0"/>
        </w:numPr>
        <w:rPr>
          <w:lang w:val="en-US"/>
        </w:rPr>
      </w:pPr>
      <w:r w:rsidRPr="0066602A">
        <w:rPr>
          <w:lang w:val="en-US"/>
        </w:rPr>
        <w:lastRenderedPageBreak/>
        <w:t xml:space="preserve">List of </w:t>
      </w:r>
      <w:r w:rsidR="00432EFA" w:rsidRPr="0066602A">
        <w:rPr>
          <w:lang w:val="en-US"/>
        </w:rPr>
        <w:t>T</w:t>
      </w:r>
      <w:r w:rsidRPr="0066602A">
        <w:rPr>
          <w:lang w:val="en-US"/>
        </w:rPr>
        <w:t>ables</w:t>
      </w:r>
    </w:p>
    <w:p w14:paraId="2F10FCF2" w14:textId="50088043" w:rsidR="00DA1A55" w:rsidRPr="0066602A" w:rsidRDefault="0005674C">
      <w:pPr>
        <w:pStyle w:val="TableofFigures"/>
        <w:tabs>
          <w:tab w:val="right" w:leader="dot" w:pos="9040"/>
        </w:tabs>
        <w:rPr>
          <w:noProof/>
          <w:color w:val="auto"/>
          <w:lang w:eastAsia="en-GB"/>
        </w:rPr>
      </w:pPr>
      <w:r w:rsidRPr="0066602A">
        <w:rPr>
          <w:rFonts w:ascii="Calibri" w:hAnsi="Calibri"/>
          <w:lang w:val="en-US"/>
        </w:rPr>
        <w:fldChar w:fldCharType="begin"/>
      </w:r>
      <w:r w:rsidRPr="0066602A">
        <w:rPr>
          <w:rFonts w:ascii="Calibri" w:hAnsi="Calibri"/>
          <w:lang w:val="en-US"/>
        </w:rPr>
        <w:instrText xml:space="preserve"> TOC \h \z \c "Table" </w:instrText>
      </w:r>
      <w:r w:rsidRPr="0066602A">
        <w:rPr>
          <w:rFonts w:ascii="Calibri" w:hAnsi="Calibri"/>
          <w:lang w:val="en-US"/>
        </w:rPr>
        <w:fldChar w:fldCharType="separate"/>
      </w:r>
      <w:hyperlink w:anchor="_Toc132179148" w:history="1">
        <w:r w:rsidR="00DA1A55" w:rsidRPr="0066602A">
          <w:rPr>
            <w:rStyle w:val="Hyperlink"/>
            <w:noProof/>
            <w:lang w:val="en-US"/>
          </w:rPr>
          <w:t>Table 1. Search strategy</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_Toc132179148 \h </w:instrText>
        </w:r>
        <w:r w:rsidR="00DA1A55" w:rsidRPr="0066602A">
          <w:rPr>
            <w:noProof/>
            <w:webHidden/>
          </w:rPr>
        </w:r>
        <w:r w:rsidR="00DA1A55" w:rsidRPr="0066602A">
          <w:rPr>
            <w:noProof/>
            <w:webHidden/>
          </w:rPr>
          <w:fldChar w:fldCharType="separate"/>
        </w:r>
        <w:r w:rsidR="00553FFD" w:rsidRPr="0066602A">
          <w:rPr>
            <w:noProof/>
            <w:webHidden/>
          </w:rPr>
          <w:t>5</w:t>
        </w:r>
        <w:r w:rsidR="00DA1A55" w:rsidRPr="0066602A">
          <w:rPr>
            <w:noProof/>
            <w:webHidden/>
          </w:rPr>
          <w:fldChar w:fldCharType="end"/>
        </w:r>
      </w:hyperlink>
    </w:p>
    <w:p w14:paraId="39C4A6E8" w14:textId="362DE1BE" w:rsidR="00DA1A55" w:rsidRPr="0066602A" w:rsidRDefault="0066602A">
      <w:pPr>
        <w:pStyle w:val="TableofFigures"/>
        <w:tabs>
          <w:tab w:val="right" w:leader="dot" w:pos="9040"/>
        </w:tabs>
        <w:rPr>
          <w:noProof/>
          <w:color w:val="auto"/>
          <w:lang w:eastAsia="en-GB"/>
        </w:rPr>
      </w:pPr>
      <w:hyperlink w:anchor="_Toc132179149" w:history="1">
        <w:r w:rsidR="00DA1A55" w:rsidRPr="0066602A">
          <w:rPr>
            <w:rStyle w:val="Hyperlink"/>
            <w:noProof/>
            <w:lang w:val="en-US"/>
          </w:rPr>
          <w:t>Table 2. PICOTS criteria for study inclusion/exclusion in the SLR</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_Toc132179149 \h </w:instrText>
        </w:r>
        <w:r w:rsidR="00DA1A55" w:rsidRPr="0066602A">
          <w:rPr>
            <w:noProof/>
            <w:webHidden/>
          </w:rPr>
        </w:r>
        <w:r w:rsidR="00DA1A55" w:rsidRPr="0066602A">
          <w:rPr>
            <w:noProof/>
            <w:webHidden/>
          </w:rPr>
          <w:fldChar w:fldCharType="separate"/>
        </w:r>
        <w:r w:rsidR="00553FFD" w:rsidRPr="0066602A">
          <w:rPr>
            <w:noProof/>
            <w:webHidden/>
          </w:rPr>
          <w:t>6</w:t>
        </w:r>
        <w:r w:rsidR="00DA1A55" w:rsidRPr="0066602A">
          <w:rPr>
            <w:noProof/>
            <w:webHidden/>
          </w:rPr>
          <w:fldChar w:fldCharType="end"/>
        </w:r>
      </w:hyperlink>
    </w:p>
    <w:p w14:paraId="4843E7B3" w14:textId="238DB86B" w:rsidR="00DA1A55" w:rsidRPr="0066602A" w:rsidRDefault="0066602A">
      <w:pPr>
        <w:pStyle w:val="TableofFigures"/>
        <w:tabs>
          <w:tab w:val="right" w:leader="dot" w:pos="9040"/>
        </w:tabs>
        <w:rPr>
          <w:noProof/>
          <w:color w:val="auto"/>
          <w:lang w:eastAsia="en-GB"/>
        </w:rPr>
      </w:pPr>
      <w:hyperlink w:anchor="_Toc132179150" w:history="1">
        <w:r w:rsidR="00DA1A55" w:rsidRPr="0066602A">
          <w:rPr>
            <w:rStyle w:val="Hyperlink"/>
            <w:noProof/>
            <w:lang w:val="en-US"/>
          </w:rPr>
          <w:t>Table 3. Prevalence of insomnia pre-diagnosis in cancer patients (n=3)</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_Toc132179150 \h </w:instrText>
        </w:r>
        <w:r w:rsidR="00DA1A55" w:rsidRPr="0066602A">
          <w:rPr>
            <w:noProof/>
            <w:webHidden/>
          </w:rPr>
        </w:r>
        <w:r w:rsidR="00DA1A55" w:rsidRPr="0066602A">
          <w:rPr>
            <w:noProof/>
            <w:webHidden/>
          </w:rPr>
          <w:fldChar w:fldCharType="separate"/>
        </w:r>
        <w:r w:rsidR="00553FFD" w:rsidRPr="0066602A">
          <w:rPr>
            <w:noProof/>
            <w:webHidden/>
          </w:rPr>
          <w:t>9</w:t>
        </w:r>
        <w:r w:rsidR="00DA1A55" w:rsidRPr="0066602A">
          <w:rPr>
            <w:noProof/>
            <w:webHidden/>
          </w:rPr>
          <w:fldChar w:fldCharType="end"/>
        </w:r>
      </w:hyperlink>
    </w:p>
    <w:p w14:paraId="701C9A90" w14:textId="71E6BCDE" w:rsidR="00DA1A55" w:rsidRPr="0066602A" w:rsidRDefault="0066602A">
      <w:pPr>
        <w:pStyle w:val="TableofFigures"/>
        <w:tabs>
          <w:tab w:val="right" w:leader="dot" w:pos="9040"/>
        </w:tabs>
        <w:rPr>
          <w:noProof/>
          <w:color w:val="auto"/>
          <w:lang w:eastAsia="en-GB"/>
        </w:rPr>
      </w:pPr>
      <w:hyperlink w:anchor="_Toc132179151" w:history="1">
        <w:r w:rsidR="00DA1A55" w:rsidRPr="0066602A">
          <w:rPr>
            <w:rStyle w:val="Hyperlink"/>
            <w:noProof/>
          </w:rPr>
          <w:t>Table 4. Prevalence of insomnia in cancer patients in longitudinal studies (n=13)</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_Toc132179151 \h </w:instrText>
        </w:r>
        <w:r w:rsidR="00DA1A55" w:rsidRPr="0066602A">
          <w:rPr>
            <w:noProof/>
            <w:webHidden/>
          </w:rPr>
        </w:r>
        <w:r w:rsidR="00DA1A55" w:rsidRPr="0066602A">
          <w:rPr>
            <w:noProof/>
            <w:webHidden/>
          </w:rPr>
          <w:fldChar w:fldCharType="separate"/>
        </w:r>
        <w:r w:rsidR="00553FFD" w:rsidRPr="0066602A">
          <w:rPr>
            <w:noProof/>
            <w:webHidden/>
          </w:rPr>
          <w:t>10</w:t>
        </w:r>
        <w:r w:rsidR="00DA1A55" w:rsidRPr="0066602A">
          <w:rPr>
            <w:noProof/>
            <w:webHidden/>
          </w:rPr>
          <w:fldChar w:fldCharType="end"/>
        </w:r>
      </w:hyperlink>
    </w:p>
    <w:p w14:paraId="14626CAB" w14:textId="696B7266" w:rsidR="00DA1A55" w:rsidRPr="0066602A" w:rsidRDefault="0066602A">
      <w:pPr>
        <w:pStyle w:val="TableofFigures"/>
        <w:tabs>
          <w:tab w:val="right" w:leader="dot" w:pos="9040"/>
        </w:tabs>
        <w:rPr>
          <w:noProof/>
          <w:color w:val="auto"/>
          <w:lang w:eastAsia="en-GB"/>
        </w:rPr>
      </w:pPr>
      <w:hyperlink w:anchor="_Toc132179152" w:history="1">
        <w:r w:rsidR="00DA1A55" w:rsidRPr="0066602A">
          <w:rPr>
            <w:rStyle w:val="Hyperlink"/>
            <w:noProof/>
            <w:lang w:val="en-US"/>
          </w:rPr>
          <w:t>Table 5. The impact of insomnia in cancer patients.</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_Toc132179152 \h </w:instrText>
        </w:r>
        <w:r w:rsidR="00DA1A55" w:rsidRPr="0066602A">
          <w:rPr>
            <w:noProof/>
            <w:webHidden/>
          </w:rPr>
        </w:r>
        <w:r w:rsidR="00DA1A55" w:rsidRPr="0066602A">
          <w:rPr>
            <w:noProof/>
            <w:webHidden/>
          </w:rPr>
          <w:fldChar w:fldCharType="separate"/>
        </w:r>
        <w:r w:rsidR="00553FFD" w:rsidRPr="0066602A">
          <w:rPr>
            <w:noProof/>
            <w:webHidden/>
          </w:rPr>
          <w:t>17</w:t>
        </w:r>
        <w:r w:rsidR="00DA1A55" w:rsidRPr="0066602A">
          <w:rPr>
            <w:noProof/>
            <w:webHidden/>
          </w:rPr>
          <w:fldChar w:fldCharType="end"/>
        </w:r>
      </w:hyperlink>
    </w:p>
    <w:p w14:paraId="1EEF9465" w14:textId="195C7327" w:rsidR="00DA1A55" w:rsidRPr="0066602A" w:rsidRDefault="0066602A">
      <w:pPr>
        <w:pStyle w:val="TableofFigures"/>
        <w:tabs>
          <w:tab w:val="right" w:leader="dot" w:pos="9040"/>
        </w:tabs>
        <w:rPr>
          <w:noProof/>
          <w:color w:val="auto"/>
          <w:lang w:eastAsia="en-GB"/>
        </w:rPr>
      </w:pPr>
      <w:hyperlink w:anchor="_Toc132179153" w:history="1">
        <w:r w:rsidR="00DA1A55" w:rsidRPr="0066602A">
          <w:rPr>
            <w:rStyle w:val="Hyperlink"/>
            <w:noProof/>
          </w:rPr>
          <w:t>Table 6. QoL outcomes in cancer patients with insomnia measured by HADs and EORTC-QLQ-C30 tools</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_Toc132179153 \h </w:instrText>
        </w:r>
        <w:r w:rsidR="00DA1A55" w:rsidRPr="0066602A">
          <w:rPr>
            <w:noProof/>
            <w:webHidden/>
          </w:rPr>
        </w:r>
        <w:r w:rsidR="00DA1A55" w:rsidRPr="0066602A">
          <w:rPr>
            <w:noProof/>
            <w:webHidden/>
          </w:rPr>
          <w:fldChar w:fldCharType="separate"/>
        </w:r>
        <w:r w:rsidR="00553FFD" w:rsidRPr="0066602A">
          <w:rPr>
            <w:noProof/>
            <w:webHidden/>
          </w:rPr>
          <w:t>51</w:t>
        </w:r>
        <w:r w:rsidR="00DA1A55" w:rsidRPr="0066602A">
          <w:rPr>
            <w:noProof/>
            <w:webHidden/>
          </w:rPr>
          <w:fldChar w:fldCharType="end"/>
        </w:r>
      </w:hyperlink>
    </w:p>
    <w:p w14:paraId="681CA9FA" w14:textId="111667BD" w:rsidR="00DA1A55" w:rsidRPr="0066602A" w:rsidRDefault="0066602A">
      <w:pPr>
        <w:pStyle w:val="TableofFigures"/>
        <w:tabs>
          <w:tab w:val="right" w:leader="dot" w:pos="9040"/>
        </w:tabs>
        <w:rPr>
          <w:noProof/>
          <w:color w:val="auto"/>
          <w:lang w:eastAsia="en-GB"/>
        </w:rPr>
      </w:pPr>
      <w:hyperlink w:anchor="_Toc132179154" w:history="1">
        <w:r w:rsidR="00DA1A55" w:rsidRPr="0066602A">
          <w:rPr>
            <w:rStyle w:val="Hyperlink"/>
            <w:noProof/>
            <w:lang w:val="en-US"/>
          </w:rPr>
          <w:t>Table 7. Interventions for insomnia in cancer patients</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_Toc132179154 \h </w:instrText>
        </w:r>
        <w:r w:rsidR="00DA1A55" w:rsidRPr="0066602A">
          <w:rPr>
            <w:noProof/>
            <w:webHidden/>
          </w:rPr>
        </w:r>
        <w:r w:rsidR="00DA1A55" w:rsidRPr="0066602A">
          <w:rPr>
            <w:noProof/>
            <w:webHidden/>
          </w:rPr>
          <w:fldChar w:fldCharType="separate"/>
        </w:r>
        <w:r w:rsidR="00553FFD" w:rsidRPr="0066602A">
          <w:rPr>
            <w:noProof/>
            <w:webHidden/>
          </w:rPr>
          <w:t>56</w:t>
        </w:r>
        <w:r w:rsidR="00DA1A55" w:rsidRPr="0066602A">
          <w:rPr>
            <w:noProof/>
            <w:webHidden/>
          </w:rPr>
          <w:fldChar w:fldCharType="end"/>
        </w:r>
      </w:hyperlink>
    </w:p>
    <w:p w14:paraId="7790CEB7" w14:textId="2EB1BA02" w:rsidR="005E2244" w:rsidRPr="0066602A" w:rsidRDefault="0005674C">
      <w:pPr>
        <w:spacing w:before="0" w:after="200"/>
        <w:rPr>
          <w:rFonts w:ascii="Calibri" w:hAnsi="Calibri"/>
          <w:color w:val="003569" w:themeColor="accent6"/>
          <w:lang w:val="en-US"/>
        </w:rPr>
      </w:pPr>
      <w:r w:rsidRPr="0066602A">
        <w:rPr>
          <w:rFonts w:ascii="Calibri" w:hAnsi="Calibri"/>
          <w:color w:val="003569" w:themeColor="accent6"/>
          <w:lang w:val="en-US"/>
        </w:rPr>
        <w:fldChar w:fldCharType="end"/>
      </w:r>
    </w:p>
    <w:p w14:paraId="33F2AF66" w14:textId="16A2913C" w:rsidR="005E2244" w:rsidRPr="0066602A" w:rsidRDefault="005E2244" w:rsidP="003361AA">
      <w:pPr>
        <w:pStyle w:val="Heading1"/>
        <w:numPr>
          <w:ilvl w:val="0"/>
          <w:numId w:val="0"/>
        </w:numPr>
        <w:rPr>
          <w:lang w:val="en-US"/>
        </w:rPr>
      </w:pPr>
      <w:r w:rsidRPr="0066602A">
        <w:rPr>
          <w:lang w:val="en-US"/>
        </w:rPr>
        <w:lastRenderedPageBreak/>
        <w:t>List of Figures</w:t>
      </w:r>
    </w:p>
    <w:bookmarkStart w:id="3" w:name="_Ref128393945"/>
    <w:bookmarkStart w:id="4" w:name="_Ref125386428"/>
    <w:bookmarkEnd w:id="1"/>
    <w:p w14:paraId="717EC6C7" w14:textId="7F11C3A0" w:rsidR="00DA1A55" w:rsidRPr="0066602A" w:rsidRDefault="005E2244">
      <w:pPr>
        <w:pStyle w:val="TableofFigures"/>
        <w:tabs>
          <w:tab w:val="right" w:leader="dot" w:pos="9040"/>
        </w:tabs>
        <w:rPr>
          <w:noProof/>
          <w:color w:val="auto"/>
          <w:lang w:eastAsia="en-GB"/>
        </w:rPr>
      </w:pPr>
      <w:r w:rsidRPr="0066602A">
        <w:rPr>
          <w:lang w:val="en-US"/>
        </w:rPr>
        <w:fldChar w:fldCharType="begin"/>
      </w:r>
      <w:r w:rsidRPr="0066602A">
        <w:rPr>
          <w:lang w:val="en-US"/>
        </w:rPr>
        <w:instrText xml:space="preserve"> TOC \h \z \c "Figure" </w:instrText>
      </w:r>
      <w:r w:rsidRPr="0066602A">
        <w:rPr>
          <w:lang w:val="en-US"/>
        </w:rPr>
        <w:fldChar w:fldCharType="separate"/>
      </w:r>
      <w:hyperlink w:anchor="_Toc132179159" w:history="1">
        <w:r w:rsidR="00DA1A55" w:rsidRPr="0066602A">
          <w:rPr>
            <w:rStyle w:val="Hyperlink"/>
            <w:noProof/>
          </w:rPr>
          <w:t>Figure 1. Summary of included publications by primary study type*</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_Toc132179159 \h </w:instrText>
        </w:r>
        <w:r w:rsidR="00DA1A55" w:rsidRPr="0066602A">
          <w:rPr>
            <w:noProof/>
            <w:webHidden/>
          </w:rPr>
        </w:r>
        <w:r w:rsidR="00DA1A55" w:rsidRPr="0066602A">
          <w:rPr>
            <w:noProof/>
            <w:webHidden/>
          </w:rPr>
          <w:fldChar w:fldCharType="separate"/>
        </w:r>
        <w:r w:rsidR="00553FFD" w:rsidRPr="0066602A">
          <w:rPr>
            <w:noProof/>
            <w:webHidden/>
          </w:rPr>
          <w:t>7</w:t>
        </w:r>
        <w:r w:rsidR="00DA1A55" w:rsidRPr="0066602A">
          <w:rPr>
            <w:noProof/>
            <w:webHidden/>
          </w:rPr>
          <w:fldChar w:fldCharType="end"/>
        </w:r>
      </w:hyperlink>
    </w:p>
    <w:p w14:paraId="279CBDA6" w14:textId="6FCE917B" w:rsidR="00DA1A55" w:rsidRPr="0066602A" w:rsidRDefault="0066602A">
      <w:pPr>
        <w:pStyle w:val="TableofFigures"/>
        <w:tabs>
          <w:tab w:val="right" w:leader="dot" w:pos="9040"/>
        </w:tabs>
        <w:rPr>
          <w:noProof/>
          <w:color w:val="auto"/>
          <w:lang w:eastAsia="en-GB"/>
        </w:rPr>
      </w:pPr>
      <w:hyperlink w:anchor="_Toc132179160" w:history="1">
        <w:r w:rsidR="00DA1A55" w:rsidRPr="0066602A">
          <w:rPr>
            <w:rStyle w:val="Hyperlink"/>
            <w:noProof/>
          </w:rPr>
          <w:t>Figure 2. Summary of included publications by country</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_Toc132179160 \h </w:instrText>
        </w:r>
        <w:r w:rsidR="00DA1A55" w:rsidRPr="0066602A">
          <w:rPr>
            <w:noProof/>
            <w:webHidden/>
          </w:rPr>
        </w:r>
        <w:r w:rsidR="00DA1A55" w:rsidRPr="0066602A">
          <w:rPr>
            <w:noProof/>
            <w:webHidden/>
          </w:rPr>
          <w:fldChar w:fldCharType="separate"/>
        </w:r>
        <w:r w:rsidR="00553FFD" w:rsidRPr="0066602A">
          <w:rPr>
            <w:noProof/>
            <w:webHidden/>
          </w:rPr>
          <w:t>7</w:t>
        </w:r>
        <w:r w:rsidR="00DA1A55" w:rsidRPr="0066602A">
          <w:rPr>
            <w:noProof/>
            <w:webHidden/>
          </w:rPr>
          <w:fldChar w:fldCharType="end"/>
        </w:r>
      </w:hyperlink>
    </w:p>
    <w:p w14:paraId="43245ECC" w14:textId="104320DA" w:rsidR="00DA1A55" w:rsidRPr="0066602A" w:rsidRDefault="0066602A">
      <w:pPr>
        <w:pStyle w:val="TableofFigures"/>
        <w:tabs>
          <w:tab w:val="right" w:leader="dot" w:pos="9040"/>
        </w:tabs>
        <w:rPr>
          <w:noProof/>
          <w:color w:val="auto"/>
          <w:lang w:eastAsia="en-GB"/>
        </w:rPr>
      </w:pPr>
      <w:hyperlink w:anchor="_Toc132179161" w:history="1">
        <w:r w:rsidR="00DA1A55" w:rsidRPr="0066602A">
          <w:rPr>
            <w:rStyle w:val="Hyperlink"/>
            <w:noProof/>
          </w:rPr>
          <w:t>Figure 3. Prevalence of papers reporting insomnia in cancer patients across different timepoints</w:t>
        </w:r>
        <w:r w:rsidR="00DA1A55" w:rsidRPr="0066602A">
          <w:rPr>
            <w:noProof/>
            <w:webHidden/>
          </w:rPr>
          <w:tab/>
        </w:r>
        <w:r w:rsidR="00DA1A55" w:rsidRPr="0066602A">
          <w:rPr>
            <w:noProof/>
            <w:webHidden/>
          </w:rPr>
          <w:fldChar w:fldCharType="begin"/>
        </w:r>
        <w:r w:rsidR="00DA1A55" w:rsidRPr="0066602A">
          <w:rPr>
            <w:noProof/>
            <w:webHidden/>
          </w:rPr>
          <w:instrText xml:space="preserve"> PAGEREF _Toc132179161 \h </w:instrText>
        </w:r>
        <w:r w:rsidR="00DA1A55" w:rsidRPr="0066602A">
          <w:rPr>
            <w:noProof/>
            <w:webHidden/>
          </w:rPr>
        </w:r>
        <w:r w:rsidR="00DA1A55" w:rsidRPr="0066602A">
          <w:rPr>
            <w:noProof/>
            <w:webHidden/>
          </w:rPr>
          <w:fldChar w:fldCharType="separate"/>
        </w:r>
        <w:r w:rsidR="00553FFD" w:rsidRPr="0066602A">
          <w:rPr>
            <w:noProof/>
            <w:webHidden/>
          </w:rPr>
          <w:t>8</w:t>
        </w:r>
        <w:r w:rsidR="00DA1A55" w:rsidRPr="0066602A">
          <w:rPr>
            <w:noProof/>
            <w:webHidden/>
          </w:rPr>
          <w:fldChar w:fldCharType="end"/>
        </w:r>
      </w:hyperlink>
    </w:p>
    <w:p w14:paraId="7A4F46E0" w14:textId="65559B9D" w:rsidR="005E2244" w:rsidRPr="0066602A" w:rsidRDefault="005E2244" w:rsidP="003361AA">
      <w:pPr>
        <w:spacing w:before="0" w:after="200"/>
        <w:rPr>
          <w:lang w:val="en-US"/>
        </w:rPr>
        <w:sectPr w:rsidR="005E2244" w:rsidRPr="0066602A" w:rsidSect="00B51292">
          <w:pgSz w:w="11907" w:h="16839" w:code="9"/>
          <w:pgMar w:top="1385" w:right="1417" w:bottom="1134" w:left="1440" w:header="568" w:footer="431" w:gutter="0"/>
          <w:cols w:space="720"/>
          <w:docGrid w:linePitch="360"/>
        </w:sectPr>
      </w:pPr>
      <w:r w:rsidRPr="0066602A">
        <w:rPr>
          <w:lang w:val="en-US"/>
        </w:rPr>
        <w:fldChar w:fldCharType="end"/>
      </w:r>
    </w:p>
    <w:p w14:paraId="4FBCD62D" w14:textId="2D92A6F8" w:rsidR="00C465F5" w:rsidRPr="0066602A" w:rsidRDefault="00C465F5" w:rsidP="00C465F5">
      <w:pPr>
        <w:pStyle w:val="Heading1"/>
        <w:rPr>
          <w:lang w:val="en-US"/>
        </w:rPr>
      </w:pPr>
      <w:bookmarkStart w:id="5" w:name="_Toc129008662"/>
      <w:r w:rsidRPr="0066602A">
        <w:rPr>
          <w:lang w:val="en-US"/>
        </w:rPr>
        <w:lastRenderedPageBreak/>
        <w:t>Appendix</w:t>
      </w:r>
      <w:bookmarkEnd w:id="5"/>
    </w:p>
    <w:p w14:paraId="52CC5D6F" w14:textId="5EB16056" w:rsidR="003B559D" w:rsidRPr="0066602A" w:rsidRDefault="003B559D" w:rsidP="003B559D">
      <w:pPr>
        <w:pStyle w:val="Heading2"/>
        <w:numPr>
          <w:ilvl w:val="0"/>
          <w:numId w:val="0"/>
        </w:numPr>
        <w:rPr>
          <w:lang w:val="en-US"/>
        </w:rPr>
      </w:pPr>
      <w:bookmarkStart w:id="6" w:name="_Toc129008664"/>
      <w:bookmarkStart w:id="7" w:name="_Ref103069340"/>
      <w:bookmarkStart w:id="8" w:name="_Toc103347971"/>
      <w:bookmarkStart w:id="9" w:name="_Toc129008094"/>
      <w:r w:rsidRPr="0066602A">
        <w:rPr>
          <w:lang w:val="en-US"/>
        </w:rPr>
        <w:t>Table 1. Search strategy</w:t>
      </w:r>
      <w:bookmarkEnd w:id="6"/>
    </w:p>
    <w:p w14:paraId="05294491" w14:textId="1B3A3EE2" w:rsidR="003B559D" w:rsidRPr="0066602A" w:rsidRDefault="003B559D" w:rsidP="003B559D">
      <w:pPr>
        <w:keepNext/>
        <w:spacing w:before="0" w:after="0" w:line="240" w:lineRule="auto"/>
        <w:rPr>
          <w:b/>
          <w:bCs/>
          <w:lang w:val="en-US"/>
        </w:rPr>
      </w:pPr>
      <w:bookmarkStart w:id="10" w:name="_Ref128393948"/>
      <w:bookmarkStart w:id="11" w:name="_Toc128725847"/>
      <w:bookmarkStart w:id="12" w:name="_Toc132179148"/>
      <w:r w:rsidRPr="0066602A">
        <w:rPr>
          <w:b/>
          <w:bCs/>
          <w:lang w:val="en-US"/>
        </w:rPr>
        <w:t xml:space="preserve">Table </w:t>
      </w:r>
      <w:r w:rsidRPr="0066602A">
        <w:rPr>
          <w:b/>
          <w:bCs/>
          <w:lang w:val="en-US"/>
        </w:rPr>
        <w:fldChar w:fldCharType="begin"/>
      </w:r>
      <w:r w:rsidRPr="0066602A">
        <w:rPr>
          <w:b/>
          <w:bCs/>
          <w:lang w:val="en-US"/>
        </w:rPr>
        <w:instrText xml:space="preserve"> SEQ Table \* ARABIC </w:instrText>
      </w:r>
      <w:r w:rsidRPr="0066602A">
        <w:rPr>
          <w:b/>
          <w:bCs/>
          <w:lang w:val="en-US"/>
        </w:rPr>
        <w:fldChar w:fldCharType="separate"/>
      </w:r>
      <w:r w:rsidR="009A7DFD" w:rsidRPr="0066602A">
        <w:rPr>
          <w:b/>
          <w:bCs/>
          <w:noProof/>
          <w:lang w:val="en-US"/>
        </w:rPr>
        <w:t>1</w:t>
      </w:r>
      <w:r w:rsidRPr="0066602A">
        <w:rPr>
          <w:b/>
          <w:bCs/>
          <w:noProof/>
          <w:lang w:val="en-US"/>
        </w:rPr>
        <w:fldChar w:fldCharType="end"/>
      </w:r>
      <w:bookmarkEnd w:id="10"/>
      <w:r w:rsidRPr="0066602A">
        <w:rPr>
          <w:b/>
          <w:bCs/>
          <w:lang w:val="en-US"/>
        </w:rPr>
        <w:t>. Search strategy</w:t>
      </w:r>
      <w:bookmarkEnd w:id="11"/>
      <w:bookmarkEnd w:id="12"/>
    </w:p>
    <w:tbl>
      <w:tblPr>
        <w:tblStyle w:val="TableGrid"/>
        <w:tblW w:w="5000" w:type="pct"/>
        <w:tblLook w:val="04A0" w:firstRow="1" w:lastRow="0" w:firstColumn="1" w:lastColumn="0" w:noHBand="0" w:noVBand="1"/>
      </w:tblPr>
      <w:tblGrid>
        <w:gridCol w:w="996"/>
        <w:gridCol w:w="5426"/>
        <w:gridCol w:w="2618"/>
      </w:tblGrid>
      <w:tr w:rsidR="003B559D" w:rsidRPr="0066602A" w14:paraId="6712F108" w14:textId="77777777" w:rsidTr="000D0D7A">
        <w:tc>
          <w:tcPr>
            <w:tcW w:w="375" w:type="pct"/>
            <w:shd w:val="clear" w:color="auto" w:fill="003569" w:themeFill="accent6"/>
          </w:tcPr>
          <w:p w14:paraId="1B382EF8" w14:textId="77777777" w:rsidR="003B559D" w:rsidRPr="0066602A" w:rsidRDefault="003B559D" w:rsidP="000D0D7A">
            <w:pPr>
              <w:rPr>
                <w:b/>
                <w:bCs/>
                <w:color w:val="FFFFFF" w:themeColor="background1"/>
                <w:sz w:val="20"/>
                <w:szCs w:val="20"/>
              </w:rPr>
            </w:pPr>
            <w:r w:rsidRPr="0066602A">
              <w:rPr>
                <w:b/>
                <w:bCs/>
                <w:color w:val="FFFFFF" w:themeColor="background1"/>
                <w:sz w:val="20"/>
                <w:szCs w:val="20"/>
              </w:rPr>
              <w:t xml:space="preserve">Database </w:t>
            </w:r>
          </w:p>
        </w:tc>
        <w:tc>
          <w:tcPr>
            <w:tcW w:w="3089" w:type="pct"/>
            <w:shd w:val="clear" w:color="auto" w:fill="003569" w:themeFill="accent6"/>
          </w:tcPr>
          <w:p w14:paraId="556E8DB9" w14:textId="77777777" w:rsidR="003B559D" w:rsidRPr="0066602A" w:rsidRDefault="003B559D" w:rsidP="000D0D7A">
            <w:pPr>
              <w:rPr>
                <w:b/>
                <w:bCs/>
                <w:color w:val="FFFFFF" w:themeColor="background1"/>
                <w:sz w:val="20"/>
                <w:szCs w:val="20"/>
              </w:rPr>
            </w:pPr>
            <w:r w:rsidRPr="0066602A">
              <w:rPr>
                <w:b/>
                <w:bCs/>
                <w:color w:val="FFFFFF" w:themeColor="background1"/>
                <w:sz w:val="20"/>
                <w:szCs w:val="20"/>
              </w:rPr>
              <w:t xml:space="preserve">Search terms </w:t>
            </w:r>
          </w:p>
        </w:tc>
        <w:tc>
          <w:tcPr>
            <w:tcW w:w="1536" w:type="pct"/>
            <w:shd w:val="clear" w:color="auto" w:fill="003569" w:themeFill="accent6"/>
          </w:tcPr>
          <w:p w14:paraId="0D3FE3CD" w14:textId="77777777" w:rsidR="003B559D" w:rsidRPr="0066602A" w:rsidRDefault="003B559D" w:rsidP="000D0D7A">
            <w:pPr>
              <w:rPr>
                <w:b/>
                <w:bCs/>
                <w:color w:val="FFFFFF" w:themeColor="background1"/>
                <w:sz w:val="20"/>
                <w:szCs w:val="20"/>
              </w:rPr>
            </w:pPr>
            <w:r w:rsidRPr="0066602A">
              <w:rPr>
                <w:b/>
                <w:bCs/>
                <w:color w:val="FFFFFF" w:themeColor="background1"/>
                <w:sz w:val="20"/>
                <w:szCs w:val="20"/>
              </w:rPr>
              <w:t>Filter</w:t>
            </w:r>
          </w:p>
        </w:tc>
      </w:tr>
      <w:tr w:rsidR="003B559D" w:rsidRPr="0066602A" w14:paraId="5E0D8574" w14:textId="77777777" w:rsidTr="000D0D7A">
        <w:tc>
          <w:tcPr>
            <w:tcW w:w="375" w:type="pct"/>
          </w:tcPr>
          <w:p w14:paraId="5CB5BDA2" w14:textId="77777777" w:rsidR="003B559D" w:rsidRPr="0066602A" w:rsidRDefault="003B559D" w:rsidP="000D0D7A">
            <w:pPr>
              <w:rPr>
                <w:sz w:val="20"/>
                <w:szCs w:val="20"/>
              </w:rPr>
            </w:pPr>
            <w:r w:rsidRPr="0066602A">
              <w:rPr>
                <w:sz w:val="20"/>
                <w:szCs w:val="20"/>
              </w:rPr>
              <w:t>PubMed</w:t>
            </w:r>
          </w:p>
        </w:tc>
        <w:tc>
          <w:tcPr>
            <w:tcW w:w="3089" w:type="pct"/>
          </w:tcPr>
          <w:p w14:paraId="4338E81D" w14:textId="77777777" w:rsidR="003B559D" w:rsidRPr="0066602A" w:rsidRDefault="003B559D" w:rsidP="000D0D7A">
            <w:pPr>
              <w:rPr>
                <w:sz w:val="20"/>
                <w:szCs w:val="20"/>
              </w:rPr>
            </w:pPr>
            <w:r w:rsidRPr="0066602A">
              <w:rPr>
                <w:sz w:val="20"/>
                <w:szCs w:val="20"/>
              </w:rPr>
              <w:t xml:space="preserve">((Cancer* OR "malignant tumor" OR neoplasm) AND (Insomnia OR "sleep disorders" OR "sleep initiation and maintenance disorders")) AND (((("Quality of life*" OR QoL) OR (Clinical burden*)) OR ("Economic burden" OR "survival cost" OR "cost of illness")) </w:t>
            </w:r>
            <w:proofErr w:type="gramStart"/>
            <w:r w:rsidRPr="0066602A">
              <w:rPr>
                <w:sz w:val="20"/>
                <w:szCs w:val="20"/>
              </w:rPr>
              <w:t>OR(</w:t>
            </w:r>
            <w:proofErr w:type="gramEnd"/>
            <w:r w:rsidRPr="0066602A">
              <w:rPr>
                <w:sz w:val="20"/>
                <w:szCs w:val="20"/>
              </w:rPr>
              <w:t xml:space="preserve">"caregiver" OR </w:t>
            </w:r>
            <w:proofErr w:type="spellStart"/>
            <w:r w:rsidRPr="0066602A">
              <w:rPr>
                <w:sz w:val="20"/>
                <w:szCs w:val="20"/>
              </w:rPr>
              <w:t>carer</w:t>
            </w:r>
            <w:proofErr w:type="spellEnd"/>
            <w:r w:rsidRPr="0066602A">
              <w:rPr>
                <w:sz w:val="20"/>
                <w:szCs w:val="20"/>
              </w:rPr>
              <w:t>)) N=1108</w:t>
            </w:r>
          </w:p>
        </w:tc>
        <w:tc>
          <w:tcPr>
            <w:tcW w:w="1536" w:type="pct"/>
          </w:tcPr>
          <w:p w14:paraId="792D6877" w14:textId="77777777" w:rsidR="003B559D" w:rsidRPr="0066602A" w:rsidRDefault="003B559D" w:rsidP="000D0D7A">
            <w:pPr>
              <w:rPr>
                <w:sz w:val="20"/>
                <w:szCs w:val="20"/>
              </w:rPr>
            </w:pPr>
            <w:r w:rsidRPr="0066602A">
              <w:rPr>
                <w:sz w:val="20"/>
                <w:szCs w:val="20"/>
              </w:rPr>
              <w:t>English, Adult: 19+ years, from 1985/1/1- 2021/5/31 N=681</w:t>
            </w:r>
          </w:p>
        </w:tc>
      </w:tr>
      <w:tr w:rsidR="003B559D" w:rsidRPr="0066602A" w14:paraId="6B689971" w14:textId="77777777" w:rsidTr="000D0D7A">
        <w:tc>
          <w:tcPr>
            <w:tcW w:w="375" w:type="pct"/>
          </w:tcPr>
          <w:p w14:paraId="47C5A675" w14:textId="77777777" w:rsidR="003B559D" w:rsidRPr="0066602A" w:rsidRDefault="003B559D" w:rsidP="000D0D7A">
            <w:pPr>
              <w:rPr>
                <w:sz w:val="20"/>
                <w:szCs w:val="20"/>
              </w:rPr>
            </w:pPr>
            <w:r w:rsidRPr="0066602A">
              <w:rPr>
                <w:sz w:val="20"/>
                <w:szCs w:val="20"/>
              </w:rPr>
              <w:t>Embase</w:t>
            </w:r>
          </w:p>
        </w:tc>
        <w:tc>
          <w:tcPr>
            <w:tcW w:w="3089" w:type="pct"/>
          </w:tcPr>
          <w:p w14:paraId="048F9EE3" w14:textId="77777777" w:rsidR="003B559D" w:rsidRPr="0066602A" w:rsidRDefault="003B559D" w:rsidP="000D0D7A">
            <w:pPr>
              <w:rPr>
                <w:sz w:val="20"/>
                <w:szCs w:val="20"/>
              </w:rPr>
            </w:pPr>
            <w:r w:rsidRPr="0066602A">
              <w:rPr>
                <w:sz w:val="20"/>
                <w:szCs w:val="20"/>
              </w:rPr>
              <w:t xml:space="preserve">(cancer* OR 'malignant tumor'/exp OR 'malignant tumor' OR 'neoplasm'/exp OR neoplasm) AND ('insomnia'/exp OR insomnia OR 'sleep disorders'/exp OR 'sleep disorders' OR 'sleep initiation and maintenance disorders'/exp OR 'sleep initiation and maintenance disorders') AND ('quality of life*' OR </w:t>
            </w:r>
            <w:proofErr w:type="spellStart"/>
            <w:r w:rsidRPr="0066602A">
              <w:rPr>
                <w:sz w:val="20"/>
                <w:szCs w:val="20"/>
              </w:rPr>
              <w:t>qol</w:t>
            </w:r>
            <w:proofErr w:type="spellEnd"/>
            <w:r w:rsidRPr="0066602A">
              <w:rPr>
                <w:sz w:val="20"/>
                <w:szCs w:val="20"/>
              </w:rPr>
              <w:t xml:space="preserve"> OR (('clinical'/exp OR clinical) AND burden*) OR 'economic burden'/exp OR 'economic burden' OR 'survival cost' OR 'cost of illness'/exp OR 'cost of illness' OR 'caregiver'/exp OR 'caregiver' OR '</w:t>
            </w:r>
            <w:proofErr w:type="spellStart"/>
            <w:r w:rsidRPr="0066602A">
              <w:rPr>
                <w:sz w:val="20"/>
                <w:szCs w:val="20"/>
              </w:rPr>
              <w:t>carer</w:t>
            </w:r>
            <w:proofErr w:type="spellEnd"/>
            <w:r w:rsidRPr="0066602A">
              <w:rPr>
                <w:sz w:val="20"/>
                <w:szCs w:val="20"/>
              </w:rPr>
              <w:t xml:space="preserve">'/exp OR </w:t>
            </w:r>
            <w:proofErr w:type="spellStart"/>
            <w:r w:rsidRPr="0066602A">
              <w:rPr>
                <w:sz w:val="20"/>
                <w:szCs w:val="20"/>
              </w:rPr>
              <w:t>carer</w:t>
            </w:r>
            <w:proofErr w:type="spellEnd"/>
            <w:r w:rsidRPr="0066602A">
              <w:rPr>
                <w:sz w:val="20"/>
                <w:szCs w:val="20"/>
              </w:rPr>
              <w:t>) N=8,042</w:t>
            </w:r>
          </w:p>
        </w:tc>
        <w:tc>
          <w:tcPr>
            <w:tcW w:w="1536" w:type="pct"/>
          </w:tcPr>
          <w:p w14:paraId="14CF2FC7" w14:textId="77777777" w:rsidR="003B559D" w:rsidRPr="0066602A" w:rsidRDefault="003B559D" w:rsidP="000D0D7A">
            <w:pPr>
              <w:rPr>
                <w:sz w:val="20"/>
                <w:szCs w:val="20"/>
              </w:rPr>
            </w:pPr>
            <w:r w:rsidRPr="0066602A">
              <w:rPr>
                <w:sz w:val="20"/>
                <w:szCs w:val="20"/>
              </w:rPr>
              <w:t>Cochrane review, controlled clinical trial, randomized controlled trial; article; article in press; review; adult (18 years+: 18-64, 65+; 80+); human; English; year</w:t>
            </w:r>
          </w:p>
        </w:tc>
      </w:tr>
    </w:tbl>
    <w:p w14:paraId="65217E2B" w14:textId="77777777" w:rsidR="003B559D" w:rsidRPr="0066602A" w:rsidRDefault="003B559D">
      <w:pPr>
        <w:spacing w:before="0" w:after="200"/>
        <w:rPr>
          <w:b/>
          <w:bCs/>
          <w:lang w:val="en-US"/>
        </w:rPr>
      </w:pPr>
      <w:r w:rsidRPr="0066602A">
        <w:rPr>
          <w:lang w:val="en-US"/>
        </w:rPr>
        <w:br w:type="page"/>
      </w:r>
    </w:p>
    <w:p w14:paraId="45B35C88" w14:textId="28E9CA78" w:rsidR="0034649A" w:rsidRPr="0066602A" w:rsidRDefault="0034649A" w:rsidP="0034649A">
      <w:pPr>
        <w:pStyle w:val="Heading2"/>
        <w:numPr>
          <w:ilvl w:val="0"/>
          <w:numId w:val="0"/>
        </w:numPr>
        <w:rPr>
          <w:lang w:val="en-US"/>
        </w:rPr>
      </w:pPr>
      <w:r w:rsidRPr="0066602A">
        <w:rPr>
          <w:lang w:val="en-US"/>
        </w:rPr>
        <w:lastRenderedPageBreak/>
        <w:t>Table 2. PICOTS criteria</w:t>
      </w:r>
    </w:p>
    <w:p w14:paraId="6BC53034" w14:textId="1AD91183" w:rsidR="00F57AD5" w:rsidRPr="0066602A" w:rsidRDefault="00F57AD5" w:rsidP="00F57AD5">
      <w:pPr>
        <w:pStyle w:val="Caption"/>
        <w:rPr>
          <w:lang w:val="en-US"/>
        </w:rPr>
      </w:pPr>
      <w:bookmarkStart w:id="13" w:name="_Toc132179149"/>
      <w:r w:rsidRPr="0066602A">
        <w:rPr>
          <w:lang w:val="en-US"/>
        </w:rPr>
        <w:t xml:space="preserve">Table </w:t>
      </w:r>
      <w:r w:rsidRPr="0066602A">
        <w:rPr>
          <w:lang w:val="en-US"/>
        </w:rPr>
        <w:fldChar w:fldCharType="begin"/>
      </w:r>
      <w:r w:rsidRPr="0066602A">
        <w:rPr>
          <w:lang w:val="en-US"/>
        </w:rPr>
        <w:instrText xml:space="preserve"> SEQ Table \* ARABIC </w:instrText>
      </w:r>
      <w:r w:rsidRPr="0066602A">
        <w:rPr>
          <w:lang w:val="en-US"/>
        </w:rPr>
        <w:fldChar w:fldCharType="separate"/>
      </w:r>
      <w:r w:rsidR="009A7DFD" w:rsidRPr="0066602A">
        <w:rPr>
          <w:noProof/>
          <w:lang w:val="en-US"/>
        </w:rPr>
        <w:t>2</w:t>
      </w:r>
      <w:r w:rsidRPr="0066602A">
        <w:rPr>
          <w:noProof/>
          <w:lang w:val="en-US"/>
        </w:rPr>
        <w:fldChar w:fldCharType="end"/>
      </w:r>
      <w:bookmarkEnd w:id="7"/>
      <w:r w:rsidRPr="0066602A">
        <w:rPr>
          <w:lang w:val="en-US"/>
        </w:rPr>
        <w:t>. PICOTS criteria for study inclusion/exclusion in the SLR</w:t>
      </w:r>
      <w:bookmarkEnd w:id="8"/>
      <w:bookmarkEnd w:id="9"/>
      <w:bookmarkEnd w:id="13"/>
    </w:p>
    <w:tbl>
      <w:tblPr>
        <w:tblStyle w:val="LightList-Accent61"/>
        <w:tblW w:w="9322" w:type="dxa"/>
        <w:tblLook w:val="04A0" w:firstRow="1" w:lastRow="0" w:firstColumn="1" w:lastColumn="0" w:noHBand="0" w:noVBand="1"/>
      </w:tblPr>
      <w:tblGrid>
        <w:gridCol w:w="1420"/>
        <w:gridCol w:w="5494"/>
        <w:gridCol w:w="2408"/>
      </w:tblGrid>
      <w:tr w:rsidR="00F57AD5" w:rsidRPr="0066602A" w14:paraId="61C5C59F" w14:textId="77777777" w:rsidTr="00581C2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0" w:type="dxa"/>
          </w:tcPr>
          <w:p w14:paraId="06D72C90" w14:textId="77777777" w:rsidR="00F57AD5" w:rsidRPr="0066602A" w:rsidRDefault="00F57AD5" w:rsidP="009631E6">
            <w:pPr>
              <w:pStyle w:val="Table-Normal"/>
              <w:rPr>
                <w:color w:val="4E5053" w:themeColor="text1"/>
                <w:sz w:val="20"/>
                <w:szCs w:val="20"/>
                <w:lang w:val="en-US"/>
              </w:rPr>
            </w:pPr>
            <w:r w:rsidRPr="0066602A">
              <w:rPr>
                <w:sz w:val="20"/>
                <w:szCs w:val="20"/>
                <w:lang w:val="en-US"/>
              </w:rPr>
              <w:t>Topic</w:t>
            </w:r>
          </w:p>
        </w:tc>
        <w:tc>
          <w:tcPr>
            <w:tcW w:w="5502" w:type="dxa"/>
          </w:tcPr>
          <w:p w14:paraId="07D5328F" w14:textId="77777777" w:rsidR="00F57AD5" w:rsidRPr="0066602A" w:rsidRDefault="00F57AD5" w:rsidP="009631E6">
            <w:pPr>
              <w:pStyle w:val="Table-Normal"/>
              <w:cnfStyle w:val="100000000000" w:firstRow="1" w:lastRow="0" w:firstColumn="0" w:lastColumn="0" w:oddVBand="0" w:evenVBand="0" w:oddHBand="0" w:evenHBand="0" w:firstRowFirstColumn="0" w:firstRowLastColumn="0" w:lastRowFirstColumn="0" w:lastRowLastColumn="0"/>
              <w:rPr>
                <w:color w:val="4E5053" w:themeColor="text1"/>
                <w:sz w:val="20"/>
                <w:szCs w:val="20"/>
                <w:lang w:val="en-US"/>
              </w:rPr>
            </w:pPr>
            <w:r w:rsidRPr="0066602A">
              <w:rPr>
                <w:sz w:val="20"/>
                <w:szCs w:val="20"/>
                <w:lang w:val="en-US"/>
              </w:rPr>
              <w:t>Inclusion criteria</w:t>
            </w:r>
          </w:p>
        </w:tc>
        <w:tc>
          <w:tcPr>
            <w:tcW w:w="2410" w:type="dxa"/>
          </w:tcPr>
          <w:p w14:paraId="19014BCD" w14:textId="77777777" w:rsidR="00F57AD5" w:rsidRPr="0066602A" w:rsidRDefault="00F57AD5" w:rsidP="009631E6">
            <w:pPr>
              <w:pStyle w:val="Table-Normal"/>
              <w:cnfStyle w:val="100000000000" w:firstRow="1" w:lastRow="0" w:firstColumn="0" w:lastColumn="0" w:oddVBand="0" w:evenVBand="0" w:oddHBand="0" w:evenHBand="0" w:firstRowFirstColumn="0" w:firstRowLastColumn="0" w:lastRowFirstColumn="0" w:lastRowLastColumn="0"/>
              <w:rPr>
                <w:color w:val="4E5053" w:themeColor="text1"/>
                <w:sz w:val="20"/>
                <w:szCs w:val="20"/>
                <w:lang w:val="en-US"/>
              </w:rPr>
            </w:pPr>
            <w:r w:rsidRPr="0066602A">
              <w:rPr>
                <w:sz w:val="20"/>
                <w:szCs w:val="20"/>
                <w:lang w:val="en-US"/>
              </w:rPr>
              <w:t>Exclusion criteria</w:t>
            </w:r>
          </w:p>
        </w:tc>
      </w:tr>
      <w:tr w:rsidR="00F57AD5" w:rsidRPr="0066602A" w14:paraId="34B1CF41" w14:textId="77777777" w:rsidTr="00581C2E">
        <w:trPr>
          <w:cnfStyle w:val="000000100000" w:firstRow="0" w:lastRow="0" w:firstColumn="0" w:lastColumn="0" w:oddVBand="0" w:evenVBand="0" w:oddHBand="1" w:evenHBand="0" w:firstRowFirstColumn="0" w:firstRowLastColumn="0" w:lastRowFirstColumn="0" w:lastRowLastColumn="0"/>
          <w:cantSplit/>
          <w:trHeight w:val="477"/>
        </w:trPr>
        <w:tc>
          <w:tcPr>
            <w:cnfStyle w:val="001000000000" w:firstRow="0" w:lastRow="0" w:firstColumn="1" w:lastColumn="0" w:oddVBand="0" w:evenVBand="0" w:oddHBand="0" w:evenHBand="0" w:firstRowFirstColumn="0" w:firstRowLastColumn="0" w:lastRowFirstColumn="0" w:lastRowLastColumn="0"/>
            <w:tcW w:w="1410" w:type="dxa"/>
          </w:tcPr>
          <w:p w14:paraId="7B3B4FE8" w14:textId="77777777" w:rsidR="00F57AD5" w:rsidRPr="0066602A" w:rsidRDefault="00F57AD5" w:rsidP="009631E6">
            <w:pPr>
              <w:pStyle w:val="Table-Normal"/>
              <w:rPr>
                <w:b/>
                <w:bCs/>
                <w:sz w:val="20"/>
                <w:szCs w:val="20"/>
                <w:lang w:val="en-US"/>
              </w:rPr>
            </w:pPr>
            <w:r w:rsidRPr="0066602A">
              <w:rPr>
                <w:b/>
                <w:sz w:val="20"/>
                <w:szCs w:val="20"/>
                <w:lang w:val="en-US"/>
              </w:rPr>
              <w:t>Population</w:t>
            </w:r>
          </w:p>
        </w:tc>
        <w:tc>
          <w:tcPr>
            <w:tcW w:w="5502" w:type="dxa"/>
          </w:tcPr>
          <w:p w14:paraId="2D756DBF"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Adult (</w:t>
            </w:r>
            <w:r w:rsidRPr="0066602A">
              <w:rPr>
                <w:rFonts w:cstheme="minorHAnsi"/>
                <w:sz w:val="20"/>
                <w:szCs w:val="20"/>
              </w:rPr>
              <w:t>≥</w:t>
            </w:r>
            <w:r w:rsidRPr="0066602A">
              <w:rPr>
                <w:sz w:val="20"/>
                <w:szCs w:val="20"/>
              </w:rPr>
              <w:t>18 years) and pediatric (&lt;18 years) cancer patients with insomnia across all countries.</w:t>
            </w:r>
          </w:p>
          <w:p w14:paraId="0CFFF29C"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Caregivers of cancer patients with insomnia.</w:t>
            </w:r>
          </w:p>
          <w:p w14:paraId="520B0351" w14:textId="3135C0DD"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The Diagnostic and Statistical Manual of Mental Disorders, Fifth Edition (DSM-5)</w:t>
            </w:r>
            <w:r w:rsidR="00A049DF" w:rsidRPr="0066602A">
              <w:rPr>
                <w:sz w:val="20"/>
                <w:szCs w:val="20"/>
              </w:rPr>
              <w:fldChar w:fldCharType="begin"/>
            </w:r>
            <w:r w:rsidR="00A049DF" w:rsidRPr="0066602A">
              <w:rPr>
                <w:sz w:val="20"/>
                <w:szCs w:val="20"/>
              </w:rPr>
              <w:instrText xml:space="preserve"> ADDIN EN.CITE &lt;EndNote&gt;&lt;Cite&gt;&lt;Author&gt;Edition&lt;/Author&gt;&lt;Year&gt;2013&lt;/Year&gt;&lt;RecNum&gt;80&lt;/RecNum&gt;&lt;DisplayText&gt;&lt;style face="superscript"&gt;1&lt;/style&gt;&lt;/DisplayText&gt;&lt;record&gt;&lt;rec-number&gt;80&lt;/rec-number&gt;&lt;foreign-keys&gt;&lt;key app="EN" db-id="tawpzrxamez9sqe2exmxtrw2ddvp9tdfsz92" timestamp="1672913614"&gt;80&lt;/key&gt;&lt;/foreign-keys&gt;&lt;ref-type name="Journal Article"&gt;17&lt;/ref-type&gt;&lt;contributors&gt;&lt;authors&gt;&lt;author&gt;Edition, Fifth&lt;/author&gt;&lt;/authors&gt;&lt;/contributors&gt;&lt;titles&gt;&lt;title&gt;Diagnostic and statistical manual of mental disorders&lt;/title&gt;&lt;secondary-title&gt;Am Psychiatric Assoc&lt;/secondary-title&gt;&lt;/titles&gt;&lt;periodical&gt;&lt;full-title&gt;Am Psychiatric Assoc&lt;/full-title&gt;&lt;/periodical&gt;&lt;pages&gt;591-643&lt;/pages&gt;&lt;volume&gt;21&lt;/volume&gt;&lt;number&gt;21&lt;/number&gt;&lt;dates&gt;&lt;year&gt;2013&lt;/year&gt;&lt;/dates&gt;&lt;urls&gt;&lt;/urls&gt;&lt;/record&gt;&lt;/Cite&gt;&lt;/EndNote&gt;</w:instrText>
            </w:r>
            <w:r w:rsidR="00A049DF" w:rsidRPr="0066602A">
              <w:rPr>
                <w:sz w:val="20"/>
                <w:szCs w:val="20"/>
              </w:rPr>
              <w:fldChar w:fldCharType="separate"/>
            </w:r>
            <w:r w:rsidR="00A049DF" w:rsidRPr="0066602A">
              <w:rPr>
                <w:noProof/>
                <w:sz w:val="20"/>
                <w:szCs w:val="20"/>
                <w:vertAlign w:val="superscript"/>
              </w:rPr>
              <w:t>1</w:t>
            </w:r>
            <w:r w:rsidR="00A049DF" w:rsidRPr="0066602A">
              <w:rPr>
                <w:sz w:val="20"/>
                <w:szCs w:val="20"/>
              </w:rPr>
              <w:fldChar w:fldCharType="end"/>
            </w:r>
            <w:r w:rsidR="00A049DF" w:rsidRPr="0066602A">
              <w:rPr>
                <w:sz w:val="20"/>
                <w:szCs w:val="20"/>
              </w:rPr>
              <w:t xml:space="preserve"> </w:t>
            </w:r>
            <w:r w:rsidRPr="0066602A">
              <w:rPr>
                <w:sz w:val="20"/>
                <w:szCs w:val="20"/>
              </w:rPr>
              <w:t>described Insomnia Disorder as dissatisfaction with sleep quantity or quality, associated with one (or more) of the following symptoms:</w:t>
            </w:r>
          </w:p>
          <w:p w14:paraId="0B8B208E"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Difficulty initiating sleep</w:t>
            </w:r>
          </w:p>
          <w:p w14:paraId="736CB12A"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Difficulty maintaining sleep, characterized by frequent awakenings or problems returning to sleep after awakenings</w:t>
            </w:r>
          </w:p>
          <w:p w14:paraId="2BD58056"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 xml:space="preserve"> Early morning awakening with inability to return to sleep</w:t>
            </w:r>
          </w:p>
          <w:p w14:paraId="38A92242"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Other criteria include the following:</w:t>
            </w:r>
          </w:p>
          <w:p w14:paraId="4B940E99"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The sleep disturbance may cause clinically significant distress or impairments in social, occupational, educational, academic, behavioral, or other important areas of functioning.</w:t>
            </w:r>
          </w:p>
          <w:p w14:paraId="0A00EE82"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The sleep difficulty occurs despite adequate opportunity for sleep.</w:t>
            </w:r>
          </w:p>
          <w:p w14:paraId="60CAAC6B"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 xml:space="preserve">The insomnia cannot be explained by and does not occur exclusively </w:t>
            </w:r>
            <w:proofErr w:type="gramStart"/>
            <w:r w:rsidRPr="0066602A">
              <w:rPr>
                <w:sz w:val="20"/>
                <w:szCs w:val="20"/>
              </w:rPr>
              <w:t>during the course of</w:t>
            </w:r>
            <w:proofErr w:type="gramEnd"/>
            <w:r w:rsidRPr="0066602A">
              <w:rPr>
                <w:sz w:val="20"/>
                <w:szCs w:val="20"/>
              </w:rPr>
              <w:t xml:space="preserve"> another sleep-wake disorder.</w:t>
            </w:r>
          </w:p>
          <w:p w14:paraId="5A4571BE"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The insomnia is not attributable to the physiological effects of a drug of abuse or medication.</w:t>
            </w:r>
          </w:p>
          <w:p w14:paraId="35295CF1"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602A">
              <w:rPr>
                <w:sz w:val="20"/>
                <w:szCs w:val="20"/>
              </w:rPr>
              <w:t>Co-existing mental disorders and medical conditions do not adequately explain the predominant complaint of insomnia.</w:t>
            </w:r>
          </w:p>
        </w:tc>
        <w:tc>
          <w:tcPr>
            <w:tcW w:w="2410" w:type="dxa"/>
          </w:tcPr>
          <w:p w14:paraId="0EDF5801" w14:textId="77777777" w:rsidR="00F57AD5" w:rsidRPr="0066602A" w:rsidRDefault="00F57AD5" w:rsidP="009631E6">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NA</w:t>
            </w:r>
          </w:p>
          <w:p w14:paraId="293FD8A9" w14:textId="77777777" w:rsidR="00F57AD5" w:rsidRPr="0066602A" w:rsidRDefault="00F57AD5" w:rsidP="009631E6">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p w14:paraId="11678B03" w14:textId="77777777" w:rsidR="00F57AD5" w:rsidRPr="0066602A" w:rsidRDefault="00F57AD5" w:rsidP="009631E6">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p w14:paraId="4C4CADBB" w14:textId="77777777" w:rsidR="00F57AD5" w:rsidRPr="0066602A" w:rsidRDefault="00F57AD5" w:rsidP="009631E6">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r>
      <w:tr w:rsidR="00F57AD5" w:rsidRPr="0066602A" w14:paraId="5DFFD43D" w14:textId="77777777" w:rsidTr="00581C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0" w:type="dxa"/>
          </w:tcPr>
          <w:p w14:paraId="2468AECE" w14:textId="77777777" w:rsidR="00F57AD5" w:rsidRPr="0066602A" w:rsidRDefault="00F57AD5" w:rsidP="009631E6">
            <w:pPr>
              <w:pStyle w:val="Table-Normal"/>
              <w:rPr>
                <w:b/>
                <w:bCs/>
                <w:sz w:val="20"/>
                <w:szCs w:val="20"/>
                <w:lang w:val="en-US"/>
              </w:rPr>
            </w:pPr>
            <w:r w:rsidRPr="0066602A">
              <w:rPr>
                <w:b/>
                <w:sz w:val="20"/>
                <w:szCs w:val="20"/>
                <w:lang w:val="en-US"/>
              </w:rPr>
              <w:t>Interventions/</w:t>
            </w:r>
            <w:r w:rsidRPr="0066602A">
              <w:rPr>
                <w:b/>
                <w:sz w:val="20"/>
                <w:szCs w:val="20"/>
                <w:lang w:val="en-US"/>
              </w:rPr>
              <w:br/>
              <w:t>comparators</w:t>
            </w:r>
          </w:p>
        </w:tc>
        <w:tc>
          <w:tcPr>
            <w:tcW w:w="5502" w:type="dxa"/>
          </w:tcPr>
          <w:p w14:paraId="5F06E588" w14:textId="77777777" w:rsidR="00F57AD5" w:rsidRPr="0066602A" w:rsidRDefault="00F57AD5" w:rsidP="009631E6">
            <w:pPr>
              <w:pStyle w:val="Table-Bullet1"/>
              <w:cnfStyle w:val="000000010000" w:firstRow="0" w:lastRow="0" w:firstColumn="0" w:lastColumn="0" w:oddVBand="0" w:evenVBand="0" w:oddHBand="0" w:evenHBand="1" w:firstRowFirstColumn="0" w:firstRowLastColumn="0" w:lastRowFirstColumn="0" w:lastRowLastColumn="0"/>
              <w:rPr>
                <w:sz w:val="20"/>
                <w:szCs w:val="20"/>
              </w:rPr>
            </w:pPr>
            <w:r w:rsidRPr="0066602A">
              <w:rPr>
                <w:sz w:val="20"/>
                <w:szCs w:val="20"/>
              </w:rPr>
              <w:t>Any pharmacological treatment</w:t>
            </w:r>
          </w:p>
          <w:p w14:paraId="26A0844D" w14:textId="77777777" w:rsidR="00F57AD5" w:rsidRPr="0066602A" w:rsidRDefault="00F57AD5" w:rsidP="009631E6">
            <w:pPr>
              <w:pStyle w:val="Table-Bullet1"/>
              <w:cnfStyle w:val="000000010000" w:firstRow="0" w:lastRow="0" w:firstColumn="0" w:lastColumn="0" w:oddVBand="0" w:evenVBand="0" w:oddHBand="0" w:evenHBand="1" w:firstRowFirstColumn="0" w:firstRowLastColumn="0" w:lastRowFirstColumn="0" w:lastRowLastColumn="0"/>
              <w:rPr>
                <w:sz w:val="20"/>
                <w:szCs w:val="20"/>
              </w:rPr>
            </w:pPr>
            <w:r w:rsidRPr="0066602A">
              <w:rPr>
                <w:sz w:val="20"/>
                <w:szCs w:val="20"/>
              </w:rPr>
              <w:t>Non-pharmacological treatment</w:t>
            </w:r>
          </w:p>
        </w:tc>
        <w:tc>
          <w:tcPr>
            <w:tcW w:w="2410" w:type="dxa"/>
          </w:tcPr>
          <w:p w14:paraId="7700350B" w14:textId="77777777" w:rsidR="00F57AD5" w:rsidRPr="0066602A" w:rsidRDefault="00F57AD5" w:rsidP="009631E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NA</w:t>
            </w:r>
          </w:p>
        </w:tc>
      </w:tr>
      <w:tr w:rsidR="00F57AD5" w:rsidRPr="0066602A" w14:paraId="3FA8EE8F" w14:textId="77777777" w:rsidTr="00581C2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0" w:type="dxa"/>
          </w:tcPr>
          <w:p w14:paraId="3A7E2212" w14:textId="77777777" w:rsidR="00F57AD5" w:rsidRPr="0066602A" w:rsidRDefault="00F57AD5" w:rsidP="009631E6">
            <w:pPr>
              <w:pStyle w:val="Table-Normal"/>
              <w:rPr>
                <w:b/>
                <w:bCs/>
                <w:sz w:val="20"/>
                <w:szCs w:val="20"/>
                <w:lang w:val="en-US"/>
              </w:rPr>
            </w:pPr>
            <w:r w:rsidRPr="0066602A">
              <w:rPr>
                <w:b/>
                <w:sz w:val="20"/>
                <w:szCs w:val="20"/>
                <w:lang w:val="en-US"/>
              </w:rPr>
              <w:t>Outcomes</w:t>
            </w:r>
          </w:p>
        </w:tc>
        <w:tc>
          <w:tcPr>
            <w:tcW w:w="5502" w:type="dxa"/>
          </w:tcPr>
          <w:p w14:paraId="13EDD453"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Insomnia related themes, which may include the following but are not limited to:</w:t>
            </w:r>
          </w:p>
          <w:p w14:paraId="25F72814"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Pre-diagnosis</w:t>
            </w:r>
          </w:p>
          <w:p w14:paraId="15C95C63"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Post-diagnosis</w:t>
            </w:r>
          </w:p>
          <w:p w14:paraId="68EA02A0"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Pre-treatment</w:t>
            </w:r>
          </w:p>
          <w:p w14:paraId="7473AAF5"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During treatment</w:t>
            </w:r>
          </w:p>
          <w:p w14:paraId="14727C5B"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Post-treatment</w:t>
            </w:r>
          </w:p>
          <w:p w14:paraId="07197293"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Quality of life (QoL)</w:t>
            </w:r>
          </w:p>
          <w:p w14:paraId="764D17C3"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Fatigue hospitalizations</w:t>
            </w:r>
          </w:p>
          <w:p w14:paraId="0695940C"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Care givers</w:t>
            </w:r>
          </w:p>
          <w:p w14:paraId="335D3BBE"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Cancer survivors</w:t>
            </w:r>
          </w:p>
        </w:tc>
        <w:tc>
          <w:tcPr>
            <w:tcW w:w="2410" w:type="dxa"/>
          </w:tcPr>
          <w:p w14:paraId="1AC9C862"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Non-insomnia related sleep disturbances</w:t>
            </w:r>
          </w:p>
          <w:p w14:paraId="4A1921B5" w14:textId="77777777" w:rsidR="00F57AD5" w:rsidRPr="0066602A" w:rsidRDefault="00F57AD5" w:rsidP="009631E6">
            <w:pPr>
              <w:pStyle w:val="Table-Bullet1"/>
              <w:numPr>
                <w:ilvl w:val="0"/>
                <w:numId w:val="0"/>
              </w:numPr>
              <w:ind w:left="425"/>
              <w:cnfStyle w:val="000000100000" w:firstRow="0" w:lastRow="0" w:firstColumn="0" w:lastColumn="0" w:oddVBand="0" w:evenVBand="0" w:oddHBand="1" w:evenHBand="0" w:firstRowFirstColumn="0" w:firstRowLastColumn="0" w:lastRowFirstColumn="0" w:lastRowLastColumn="0"/>
              <w:rPr>
                <w:sz w:val="20"/>
                <w:szCs w:val="20"/>
              </w:rPr>
            </w:pPr>
          </w:p>
          <w:p w14:paraId="412EE8E2" w14:textId="77777777" w:rsidR="00F57AD5" w:rsidRPr="0066602A" w:rsidRDefault="00F57AD5" w:rsidP="009631E6">
            <w:pPr>
              <w:pStyle w:val="Table-Bullet1"/>
              <w:numPr>
                <w:ilvl w:val="0"/>
                <w:numId w:val="0"/>
              </w:numPr>
              <w:ind w:left="220" w:hanging="220"/>
              <w:cnfStyle w:val="000000100000" w:firstRow="0" w:lastRow="0" w:firstColumn="0" w:lastColumn="0" w:oddVBand="0" w:evenVBand="0" w:oddHBand="1" w:evenHBand="0" w:firstRowFirstColumn="0" w:firstRowLastColumn="0" w:lastRowFirstColumn="0" w:lastRowLastColumn="0"/>
              <w:rPr>
                <w:sz w:val="20"/>
                <w:szCs w:val="20"/>
              </w:rPr>
            </w:pPr>
          </w:p>
        </w:tc>
      </w:tr>
      <w:tr w:rsidR="00F57AD5" w:rsidRPr="0066602A" w14:paraId="25240BD9" w14:textId="77777777" w:rsidTr="00581C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0" w:type="dxa"/>
          </w:tcPr>
          <w:p w14:paraId="4ED4B03A" w14:textId="77777777" w:rsidR="00F57AD5" w:rsidRPr="0066602A" w:rsidRDefault="00F57AD5" w:rsidP="009631E6">
            <w:pPr>
              <w:pStyle w:val="Table-Normal"/>
              <w:rPr>
                <w:b/>
                <w:bCs/>
                <w:sz w:val="20"/>
                <w:szCs w:val="20"/>
                <w:lang w:val="en-US"/>
              </w:rPr>
            </w:pPr>
            <w:r w:rsidRPr="0066602A">
              <w:rPr>
                <w:b/>
                <w:sz w:val="20"/>
                <w:szCs w:val="20"/>
                <w:lang w:val="en-US"/>
              </w:rPr>
              <w:t>Time</w:t>
            </w:r>
          </w:p>
        </w:tc>
        <w:tc>
          <w:tcPr>
            <w:tcW w:w="5502" w:type="dxa"/>
          </w:tcPr>
          <w:p w14:paraId="50797776" w14:textId="77777777" w:rsidR="00F57AD5" w:rsidRPr="0066602A" w:rsidRDefault="00F57AD5" w:rsidP="009631E6">
            <w:pPr>
              <w:pStyle w:val="Table-Bullet1"/>
              <w:cnfStyle w:val="000000010000" w:firstRow="0" w:lastRow="0" w:firstColumn="0" w:lastColumn="0" w:oddVBand="0" w:evenVBand="0" w:oddHBand="0" w:evenHBand="1" w:firstRowFirstColumn="0" w:firstRowLastColumn="0" w:lastRowFirstColumn="0" w:lastRowLastColumn="0"/>
              <w:rPr>
                <w:sz w:val="20"/>
                <w:szCs w:val="20"/>
              </w:rPr>
            </w:pPr>
            <w:r w:rsidRPr="0066602A">
              <w:rPr>
                <w:sz w:val="20"/>
                <w:szCs w:val="20"/>
              </w:rPr>
              <w:t>Studies published before June 1, 2021</w:t>
            </w:r>
          </w:p>
        </w:tc>
        <w:tc>
          <w:tcPr>
            <w:tcW w:w="2410" w:type="dxa"/>
          </w:tcPr>
          <w:p w14:paraId="5EE8D444" w14:textId="77777777" w:rsidR="00F57AD5" w:rsidRPr="0066602A" w:rsidRDefault="00F57AD5" w:rsidP="009631E6">
            <w:pPr>
              <w:pStyle w:val="Table-Bullet1"/>
              <w:cnfStyle w:val="000000010000" w:firstRow="0" w:lastRow="0" w:firstColumn="0" w:lastColumn="0" w:oddVBand="0" w:evenVBand="0" w:oddHBand="0" w:evenHBand="1" w:firstRowFirstColumn="0" w:firstRowLastColumn="0" w:lastRowFirstColumn="0" w:lastRowLastColumn="0"/>
              <w:rPr>
                <w:sz w:val="20"/>
                <w:szCs w:val="20"/>
              </w:rPr>
            </w:pPr>
            <w:r w:rsidRPr="0066602A">
              <w:rPr>
                <w:sz w:val="20"/>
                <w:szCs w:val="20"/>
              </w:rPr>
              <w:t>Studies published post-June 1, 2021</w:t>
            </w:r>
          </w:p>
        </w:tc>
      </w:tr>
      <w:tr w:rsidR="00F57AD5" w:rsidRPr="0066602A" w14:paraId="199A5BA1" w14:textId="77777777" w:rsidTr="00581C2E">
        <w:trPr>
          <w:cnfStyle w:val="000000100000" w:firstRow="0" w:lastRow="0" w:firstColumn="0" w:lastColumn="0" w:oddVBand="0" w:evenVBand="0" w:oddHBand="1" w:evenHBand="0" w:firstRowFirstColumn="0" w:firstRowLastColumn="0" w:lastRowFirstColumn="0" w:lastRowLastColumn="0"/>
          <w:cantSplit/>
          <w:trHeight w:val="37"/>
        </w:trPr>
        <w:tc>
          <w:tcPr>
            <w:cnfStyle w:val="001000000000" w:firstRow="0" w:lastRow="0" w:firstColumn="1" w:lastColumn="0" w:oddVBand="0" w:evenVBand="0" w:oddHBand="0" w:evenHBand="0" w:firstRowFirstColumn="0" w:firstRowLastColumn="0" w:lastRowFirstColumn="0" w:lastRowLastColumn="0"/>
            <w:tcW w:w="1410" w:type="dxa"/>
          </w:tcPr>
          <w:p w14:paraId="72E740D2" w14:textId="77777777" w:rsidR="00F57AD5" w:rsidRPr="0066602A" w:rsidRDefault="00F57AD5" w:rsidP="009631E6">
            <w:pPr>
              <w:pStyle w:val="Table-Normal"/>
              <w:rPr>
                <w:b/>
                <w:bCs/>
                <w:sz w:val="20"/>
                <w:szCs w:val="20"/>
                <w:lang w:val="en-US"/>
              </w:rPr>
            </w:pPr>
            <w:r w:rsidRPr="0066602A">
              <w:rPr>
                <w:b/>
                <w:sz w:val="20"/>
                <w:szCs w:val="20"/>
                <w:lang w:val="en-US"/>
              </w:rPr>
              <w:t>Study design</w:t>
            </w:r>
          </w:p>
        </w:tc>
        <w:tc>
          <w:tcPr>
            <w:tcW w:w="5502" w:type="dxa"/>
          </w:tcPr>
          <w:p w14:paraId="2CAEB2F3"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English publications worldwide, including but not limited to</w:t>
            </w:r>
          </w:p>
          <w:p w14:paraId="4513D517"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Observational studies</w:t>
            </w:r>
          </w:p>
          <w:p w14:paraId="24E2B1C4"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Database claims studies</w:t>
            </w:r>
          </w:p>
          <w:p w14:paraId="27CA80F3"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Prospective studies</w:t>
            </w:r>
          </w:p>
          <w:p w14:paraId="1EC1AE77"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Retrospective studies</w:t>
            </w:r>
          </w:p>
          <w:p w14:paraId="074EC9F3" w14:textId="77777777" w:rsidR="00F57AD5" w:rsidRPr="0066602A" w:rsidRDefault="00F57AD5" w:rsidP="009631E6">
            <w:pPr>
              <w:pStyle w:val="Table-Bullet2"/>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Longitudinal studies</w:t>
            </w:r>
          </w:p>
        </w:tc>
        <w:tc>
          <w:tcPr>
            <w:tcW w:w="2410" w:type="dxa"/>
          </w:tcPr>
          <w:p w14:paraId="74A62406" w14:textId="77777777" w:rsidR="00F57AD5" w:rsidRPr="0066602A" w:rsidRDefault="00F57AD5" w:rsidP="009631E6">
            <w:pPr>
              <w:pStyle w:val="Table-Bullet1"/>
              <w:cnfStyle w:val="000000100000" w:firstRow="0" w:lastRow="0" w:firstColumn="0" w:lastColumn="0" w:oddVBand="0" w:evenVBand="0" w:oddHBand="1" w:evenHBand="0" w:firstRowFirstColumn="0" w:firstRowLastColumn="0" w:lastRowFirstColumn="0" w:lastRowLastColumn="0"/>
              <w:rPr>
                <w:sz w:val="20"/>
                <w:szCs w:val="20"/>
              </w:rPr>
            </w:pPr>
            <w:r w:rsidRPr="0066602A">
              <w:rPr>
                <w:bCs w:val="0"/>
                <w:sz w:val="20"/>
                <w:szCs w:val="20"/>
              </w:rPr>
              <w:t>Systematic/ literature reviews</w:t>
            </w:r>
          </w:p>
          <w:p w14:paraId="24C0F597" w14:textId="77777777" w:rsidR="00F57AD5" w:rsidRPr="0066602A" w:rsidRDefault="00F57AD5" w:rsidP="009631E6">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r>
    </w:tbl>
    <w:p w14:paraId="51B9E4B0" w14:textId="123033AE" w:rsidR="00F57AD5" w:rsidRPr="0066602A" w:rsidRDefault="00F57AD5" w:rsidP="007F2783">
      <w:pPr>
        <w:spacing w:before="0"/>
        <w:rPr>
          <w:rFonts w:cstheme="minorHAnsi"/>
          <w:sz w:val="16"/>
          <w:szCs w:val="16"/>
          <w:lang w:val="en-US"/>
        </w:rPr>
      </w:pPr>
      <w:r w:rsidRPr="0066602A">
        <w:rPr>
          <w:sz w:val="16"/>
          <w:szCs w:val="16"/>
          <w:lang w:val="en-US"/>
        </w:rPr>
        <w:t xml:space="preserve">DSM-5: Diagnostic and Statistical Manual of Mental Disorders, Fifth Edition; </w:t>
      </w:r>
      <w:r w:rsidRPr="0066602A">
        <w:rPr>
          <w:rFonts w:cstheme="minorHAnsi"/>
          <w:sz w:val="16"/>
          <w:szCs w:val="16"/>
          <w:lang w:val="en-US"/>
        </w:rPr>
        <w:t>NA: not applicable; QoL: quality of life</w:t>
      </w:r>
      <w:r w:rsidR="00A049DF" w:rsidRPr="0066602A">
        <w:rPr>
          <w:rFonts w:cstheme="minorHAnsi"/>
          <w:sz w:val="16"/>
          <w:szCs w:val="16"/>
          <w:lang w:val="en-US"/>
        </w:rPr>
        <w:t>.</w:t>
      </w:r>
    </w:p>
    <w:p w14:paraId="68F399E7" w14:textId="77777777" w:rsidR="00D07C42" w:rsidRPr="0066602A" w:rsidRDefault="00D07C42" w:rsidP="00A777B0">
      <w:pPr>
        <w:pStyle w:val="Heading2"/>
        <w:numPr>
          <w:ilvl w:val="0"/>
          <w:numId w:val="0"/>
        </w:numPr>
        <w:rPr>
          <w:lang w:val="en-US"/>
        </w:rPr>
        <w:sectPr w:rsidR="00D07C42" w:rsidRPr="0066602A" w:rsidSect="00B72414">
          <w:pgSz w:w="11907" w:h="16839" w:code="9"/>
          <w:pgMar w:top="1385" w:right="1417" w:bottom="1134" w:left="1440" w:header="568" w:footer="431" w:gutter="0"/>
          <w:cols w:space="720"/>
          <w:docGrid w:linePitch="360"/>
        </w:sectPr>
      </w:pPr>
      <w:bookmarkStart w:id="14" w:name="_Toc129008665"/>
      <w:bookmarkEnd w:id="3"/>
    </w:p>
    <w:p w14:paraId="3942155B" w14:textId="2539506A" w:rsidR="00A777B0" w:rsidRPr="0066602A" w:rsidRDefault="006E05CF" w:rsidP="006E05CF">
      <w:pPr>
        <w:pStyle w:val="Heading2"/>
        <w:numPr>
          <w:ilvl w:val="0"/>
          <w:numId w:val="0"/>
        </w:numPr>
      </w:pPr>
      <w:bookmarkStart w:id="15" w:name="_Ref105408050"/>
      <w:bookmarkStart w:id="16" w:name="_Toc120715914"/>
      <w:bookmarkStart w:id="17" w:name="_Toc106898103"/>
      <w:bookmarkStart w:id="18" w:name="_Toc129008801"/>
      <w:r w:rsidRPr="0066602A">
        <w:lastRenderedPageBreak/>
        <w:t xml:space="preserve">Figure 1-2: Study characteristic </w:t>
      </w:r>
    </w:p>
    <w:p w14:paraId="3790BF49" w14:textId="77777777" w:rsidR="006E05CF" w:rsidRPr="0066602A" w:rsidRDefault="006E05CF" w:rsidP="00D07C42">
      <w:pPr>
        <w:pStyle w:val="Caption"/>
      </w:pPr>
    </w:p>
    <w:p w14:paraId="4507676E" w14:textId="0E5D97AF" w:rsidR="00D07C42" w:rsidRPr="0066602A" w:rsidRDefault="00D07C42" w:rsidP="00D07C42">
      <w:pPr>
        <w:pStyle w:val="Caption"/>
      </w:pPr>
      <w:bookmarkStart w:id="19" w:name="_Toc132179159"/>
      <w:r w:rsidRPr="0066602A">
        <w:t xml:space="preserve">Figure </w:t>
      </w:r>
      <w:r w:rsidR="0066602A" w:rsidRPr="0066602A">
        <w:fldChar w:fldCharType="begin"/>
      </w:r>
      <w:r w:rsidR="0066602A" w:rsidRPr="0066602A">
        <w:instrText xml:space="preserve"> SEQ Figure \* ARABIC </w:instrText>
      </w:r>
      <w:r w:rsidR="0066602A" w:rsidRPr="0066602A">
        <w:fldChar w:fldCharType="separate"/>
      </w:r>
      <w:r w:rsidR="005E18DC" w:rsidRPr="0066602A">
        <w:rPr>
          <w:noProof/>
        </w:rPr>
        <w:t>1</w:t>
      </w:r>
      <w:r w:rsidR="0066602A" w:rsidRPr="0066602A">
        <w:rPr>
          <w:noProof/>
        </w:rPr>
        <w:fldChar w:fldCharType="end"/>
      </w:r>
      <w:bookmarkEnd w:id="15"/>
      <w:r w:rsidRPr="0066602A">
        <w:rPr>
          <w:noProof/>
        </w:rPr>
        <w:t>.</w:t>
      </w:r>
      <w:r w:rsidRPr="0066602A">
        <w:t xml:space="preserve"> Summary of included publications by primary study type*</w:t>
      </w:r>
      <w:bookmarkEnd w:id="16"/>
      <w:bookmarkEnd w:id="17"/>
      <w:bookmarkEnd w:id="18"/>
      <w:bookmarkEnd w:id="19"/>
    </w:p>
    <w:p w14:paraId="4817CDD6" w14:textId="77777777" w:rsidR="00D07C42" w:rsidRPr="0066602A" w:rsidRDefault="00D07C42" w:rsidP="007F2783">
      <w:pPr>
        <w:spacing w:before="0" w:after="0"/>
      </w:pPr>
      <w:r w:rsidRPr="0066602A">
        <w:rPr>
          <w:noProof/>
        </w:rPr>
        <w:drawing>
          <wp:inline distT="0" distB="0" distL="0" distR="0" wp14:anchorId="31670724" wp14:editId="5889C9D7">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4073A4" w14:textId="77777777" w:rsidR="00D07C42" w:rsidRPr="0066602A" w:rsidRDefault="00D07C42" w:rsidP="007F2783">
      <w:pPr>
        <w:pStyle w:val="EndnoteText"/>
        <w:rPr>
          <w:sz w:val="16"/>
          <w:szCs w:val="18"/>
        </w:rPr>
      </w:pPr>
      <w:r w:rsidRPr="0066602A">
        <w:rPr>
          <w:sz w:val="16"/>
          <w:szCs w:val="18"/>
        </w:rPr>
        <w:t>*Primary study type as reported in publication. RCT: randomized controlled trial; NR: not reported.</w:t>
      </w:r>
    </w:p>
    <w:p w14:paraId="47A13FCE" w14:textId="77777777" w:rsidR="00D07C42" w:rsidRPr="0066602A" w:rsidRDefault="00D07C42" w:rsidP="00D07C42">
      <w:pPr>
        <w:pStyle w:val="Caption"/>
      </w:pPr>
      <w:bookmarkStart w:id="20" w:name="_Ref115685377"/>
    </w:p>
    <w:p w14:paraId="1019AAE3" w14:textId="5F0AD9CF" w:rsidR="00D07C42" w:rsidRPr="0066602A" w:rsidRDefault="00D07C42" w:rsidP="00D07C42">
      <w:pPr>
        <w:pStyle w:val="Caption"/>
      </w:pPr>
      <w:bookmarkStart w:id="21" w:name="_Ref117501916"/>
      <w:bookmarkStart w:id="22" w:name="_Toc120715915"/>
      <w:bookmarkStart w:id="23" w:name="_Toc129008802"/>
      <w:bookmarkStart w:id="24" w:name="_Toc132179160"/>
      <w:r w:rsidRPr="0066602A">
        <w:t xml:space="preserve">Figure </w:t>
      </w:r>
      <w:r w:rsidR="0066602A" w:rsidRPr="0066602A">
        <w:fldChar w:fldCharType="begin"/>
      </w:r>
      <w:r w:rsidR="0066602A" w:rsidRPr="0066602A">
        <w:instrText xml:space="preserve"> SEQ Figure \* ARABIC </w:instrText>
      </w:r>
      <w:r w:rsidR="0066602A" w:rsidRPr="0066602A">
        <w:fldChar w:fldCharType="separate"/>
      </w:r>
      <w:r w:rsidR="005E18DC" w:rsidRPr="0066602A">
        <w:rPr>
          <w:noProof/>
        </w:rPr>
        <w:t>2</w:t>
      </w:r>
      <w:r w:rsidR="0066602A" w:rsidRPr="0066602A">
        <w:rPr>
          <w:noProof/>
        </w:rPr>
        <w:fldChar w:fldCharType="end"/>
      </w:r>
      <w:bookmarkEnd w:id="20"/>
      <w:bookmarkEnd w:id="21"/>
      <w:r w:rsidRPr="0066602A">
        <w:rPr>
          <w:noProof/>
        </w:rPr>
        <w:t>.</w:t>
      </w:r>
      <w:r w:rsidRPr="0066602A">
        <w:t xml:space="preserve"> Summary of included publications by country</w:t>
      </w:r>
      <w:bookmarkEnd w:id="22"/>
      <w:bookmarkEnd w:id="23"/>
      <w:bookmarkEnd w:id="24"/>
    </w:p>
    <w:p w14:paraId="43BD9344" w14:textId="77777777" w:rsidR="00D07C42" w:rsidRPr="0066602A" w:rsidRDefault="00D07C42" w:rsidP="007F2783">
      <w:pPr>
        <w:spacing w:before="0"/>
      </w:pPr>
      <w:r w:rsidRPr="0066602A">
        <w:rPr>
          <w:noProof/>
        </w:rPr>
        <w:drawing>
          <wp:inline distT="0" distB="0" distL="0" distR="0" wp14:anchorId="39112E2C" wp14:editId="6AC9A455">
            <wp:extent cx="5092117" cy="4085439"/>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C77882" w14:textId="77777777" w:rsidR="00D07C42" w:rsidRPr="0066602A" w:rsidRDefault="00D07C42" w:rsidP="007F2783">
      <w:pPr>
        <w:pStyle w:val="EndnoteText"/>
        <w:spacing w:after="240"/>
        <w:rPr>
          <w:sz w:val="16"/>
          <w:szCs w:val="18"/>
        </w:rPr>
      </w:pPr>
      <w:r w:rsidRPr="0066602A">
        <w:rPr>
          <w:sz w:val="16"/>
          <w:szCs w:val="18"/>
        </w:rPr>
        <w:t>NR: not reported; UK: United Kingdom; USA: United States of America</w:t>
      </w:r>
    </w:p>
    <w:p w14:paraId="4AEE2FCB" w14:textId="68A306B4" w:rsidR="00D07C42" w:rsidRPr="0066602A" w:rsidRDefault="006E05CF" w:rsidP="006E05CF">
      <w:pPr>
        <w:pStyle w:val="Heading2"/>
        <w:numPr>
          <w:ilvl w:val="0"/>
          <w:numId w:val="0"/>
        </w:numPr>
        <w:ind w:left="709" w:hanging="709"/>
        <w:rPr>
          <w:lang w:val="en-US"/>
        </w:rPr>
      </w:pPr>
      <w:r w:rsidRPr="0066602A">
        <w:rPr>
          <w:lang w:val="en-US"/>
        </w:rPr>
        <w:lastRenderedPageBreak/>
        <w:t xml:space="preserve">Figure 3. </w:t>
      </w:r>
      <w:r w:rsidR="00E36FEF" w:rsidRPr="0066602A">
        <w:rPr>
          <w:lang w:val="en-US"/>
        </w:rPr>
        <w:t>P</w:t>
      </w:r>
      <w:r w:rsidRPr="0066602A">
        <w:rPr>
          <w:lang w:val="en-US"/>
        </w:rPr>
        <w:t>revalence of insomnia across different timepoints</w:t>
      </w:r>
    </w:p>
    <w:p w14:paraId="2EAC6314" w14:textId="00B8274D" w:rsidR="002F51CB" w:rsidRPr="0066602A" w:rsidRDefault="002F51CB" w:rsidP="002F51CB">
      <w:pPr>
        <w:pStyle w:val="Caption"/>
      </w:pPr>
      <w:bookmarkStart w:id="25" w:name="_Ref125989599"/>
      <w:bookmarkStart w:id="26" w:name="_Toc129008803"/>
      <w:bookmarkStart w:id="27" w:name="_Toc132179161"/>
      <w:r w:rsidRPr="0066602A">
        <w:t xml:space="preserve">Figure </w:t>
      </w:r>
      <w:r w:rsidR="0066602A" w:rsidRPr="0066602A">
        <w:fldChar w:fldCharType="begin"/>
      </w:r>
      <w:r w:rsidR="0066602A" w:rsidRPr="0066602A">
        <w:instrText xml:space="preserve"> SEQ Figure \* ARABIC </w:instrText>
      </w:r>
      <w:r w:rsidR="0066602A" w:rsidRPr="0066602A">
        <w:fldChar w:fldCharType="separate"/>
      </w:r>
      <w:r w:rsidR="005E18DC" w:rsidRPr="0066602A">
        <w:rPr>
          <w:noProof/>
        </w:rPr>
        <w:t>3</w:t>
      </w:r>
      <w:r w:rsidR="0066602A" w:rsidRPr="0066602A">
        <w:rPr>
          <w:noProof/>
        </w:rPr>
        <w:fldChar w:fldCharType="end"/>
      </w:r>
      <w:bookmarkEnd w:id="25"/>
      <w:r w:rsidRPr="0066602A">
        <w:rPr>
          <w:noProof/>
        </w:rPr>
        <w:t>.</w:t>
      </w:r>
      <w:r w:rsidRPr="0066602A">
        <w:t xml:space="preserve"> Prevalence of paper</w:t>
      </w:r>
      <w:r w:rsidR="005E2244" w:rsidRPr="0066602A">
        <w:t>s</w:t>
      </w:r>
      <w:r w:rsidRPr="0066602A">
        <w:t xml:space="preserve"> reporting insomnia in cancer patients across different timepoints</w:t>
      </w:r>
      <w:bookmarkEnd w:id="26"/>
      <w:bookmarkEnd w:id="27"/>
    </w:p>
    <w:p w14:paraId="6B7E070A" w14:textId="2661B20F" w:rsidR="002F51CB" w:rsidRPr="0066602A" w:rsidRDefault="002F51CB" w:rsidP="002F51CB">
      <w:pPr>
        <w:rPr>
          <w:lang w:val="en-US"/>
        </w:rPr>
        <w:sectPr w:rsidR="002F51CB" w:rsidRPr="0066602A" w:rsidSect="00D07C42">
          <w:pgSz w:w="11907" w:h="16839" w:code="9"/>
          <w:pgMar w:top="1385" w:right="1417" w:bottom="1134" w:left="1440" w:header="568" w:footer="431" w:gutter="0"/>
          <w:cols w:space="720"/>
          <w:docGrid w:linePitch="360"/>
        </w:sectPr>
      </w:pPr>
      <w:r w:rsidRPr="0066602A">
        <w:rPr>
          <w:noProof/>
        </w:rPr>
        <w:drawing>
          <wp:inline distT="0" distB="0" distL="0" distR="0" wp14:anchorId="0CF8C158" wp14:editId="3E1E02EB">
            <wp:extent cx="5450186" cy="318682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365512" w14:textId="3182F226" w:rsidR="0010051E" w:rsidRPr="0066602A" w:rsidRDefault="007F55B1" w:rsidP="00BC6D81">
      <w:pPr>
        <w:pStyle w:val="Heading2"/>
        <w:numPr>
          <w:ilvl w:val="0"/>
          <w:numId w:val="0"/>
        </w:numPr>
        <w:rPr>
          <w:lang w:val="en-US"/>
        </w:rPr>
      </w:pPr>
      <w:r w:rsidRPr="0066602A">
        <w:rPr>
          <w:lang w:val="en-US"/>
        </w:rPr>
        <w:lastRenderedPageBreak/>
        <w:t xml:space="preserve">Table </w:t>
      </w:r>
      <w:r w:rsidR="00CA7EB7" w:rsidRPr="0066602A">
        <w:rPr>
          <w:lang w:val="en-US"/>
        </w:rPr>
        <w:t>3</w:t>
      </w:r>
      <w:r w:rsidRPr="0066602A">
        <w:rPr>
          <w:lang w:val="en-US"/>
        </w:rPr>
        <w:t xml:space="preserve">. </w:t>
      </w:r>
      <w:r w:rsidR="0010051E" w:rsidRPr="0066602A">
        <w:rPr>
          <w:lang w:val="en-US"/>
        </w:rPr>
        <w:t>Prev</w:t>
      </w:r>
      <w:r w:rsidRPr="0066602A">
        <w:rPr>
          <w:lang w:val="en-US"/>
        </w:rPr>
        <w:t>a</w:t>
      </w:r>
      <w:r w:rsidR="0010051E" w:rsidRPr="0066602A">
        <w:rPr>
          <w:lang w:val="en-US"/>
        </w:rPr>
        <w:t>lence</w:t>
      </w:r>
      <w:r w:rsidR="00D9534C" w:rsidRPr="0066602A">
        <w:rPr>
          <w:lang w:val="en-US"/>
        </w:rPr>
        <w:t xml:space="preserve"> of</w:t>
      </w:r>
      <w:r w:rsidR="0010051E" w:rsidRPr="0066602A">
        <w:rPr>
          <w:lang w:val="en-US"/>
        </w:rPr>
        <w:t xml:space="preserve"> insomnia in cancer patients</w:t>
      </w:r>
      <w:bookmarkEnd w:id="14"/>
    </w:p>
    <w:p w14:paraId="69596F56" w14:textId="4E109297" w:rsidR="00385ACB" w:rsidRPr="0066602A" w:rsidRDefault="008550C0" w:rsidP="008550C0">
      <w:pPr>
        <w:keepNext/>
        <w:spacing w:before="0" w:after="0" w:line="240" w:lineRule="auto"/>
        <w:rPr>
          <w:b/>
          <w:bCs/>
          <w:lang w:val="en-US"/>
        </w:rPr>
      </w:pPr>
      <w:bookmarkStart w:id="28" w:name="_Ref128483618"/>
      <w:bookmarkStart w:id="29" w:name="_Ref128483612"/>
      <w:bookmarkStart w:id="30" w:name="_Toc128725849"/>
      <w:bookmarkStart w:id="31" w:name="_Toc132179150"/>
      <w:r w:rsidRPr="0066602A">
        <w:rPr>
          <w:b/>
          <w:bCs/>
          <w:lang w:val="en-US"/>
        </w:rPr>
        <w:t xml:space="preserve">Table </w:t>
      </w:r>
      <w:r w:rsidRPr="0066602A">
        <w:rPr>
          <w:b/>
          <w:bCs/>
          <w:lang w:val="en-US"/>
        </w:rPr>
        <w:fldChar w:fldCharType="begin"/>
      </w:r>
      <w:r w:rsidRPr="0066602A">
        <w:rPr>
          <w:b/>
          <w:bCs/>
          <w:lang w:val="en-US"/>
        </w:rPr>
        <w:instrText xml:space="preserve"> SEQ Table \* ARABIC </w:instrText>
      </w:r>
      <w:r w:rsidRPr="0066602A">
        <w:rPr>
          <w:b/>
          <w:bCs/>
          <w:lang w:val="en-US"/>
        </w:rPr>
        <w:fldChar w:fldCharType="separate"/>
      </w:r>
      <w:r w:rsidR="009A7DFD" w:rsidRPr="0066602A">
        <w:rPr>
          <w:b/>
          <w:bCs/>
          <w:noProof/>
          <w:lang w:val="en-US"/>
        </w:rPr>
        <w:t>3</w:t>
      </w:r>
      <w:r w:rsidRPr="0066602A">
        <w:rPr>
          <w:b/>
          <w:bCs/>
          <w:noProof/>
          <w:lang w:val="en-US"/>
        </w:rPr>
        <w:fldChar w:fldCharType="end"/>
      </w:r>
      <w:bookmarkEnd w:id="4"/>
      <w:bookmarkEnd w:id="28"/>
      <w:r w:rsidRPr="0066602A">
        <w:rPr>
          <w:b/>
          <w:bCs/>
          <w:lang w:val="en-US"/>
        </w:rPr>
        <w:t xml:space="preserve">. Prevalence </w:t>
      </w:r>
      <w:r w:rsidR="00D9534C" w:rsidRPr="0066602A">
        <w:rPr>
          <w:b/>
          <w:bCs/>
          <w:lang w:val="en-US"/>
        </w:rPr>
        <w:t xml:space="preserve">of </w:t>
      </w:r>
      <w:r w:rsidRPr="0066602A">
        <w:rPr>
          <w:b/>
          <w:bCs/>
          <w:lang w:val="en-US"/>
        </w:rPr>
        <w:t xml:space="preserve">insomnia </w:t>
      </w:r>
      <w:r w:rsidR="00385ACB" w:rsidRPr="0066602A">
        <w:rPr>
          <w:b/>
          <w:bCs/>
          <w:lang w:val="en-US"/>
        </w:rPr>
        <w:t>pre-diagnosis in</w:t>
      </w:r>
      <w:r w:rsidRPr="0066602A">
        <w:rPr>
          <w:b/>
          <w:bCs/>
          <w:lang w:val="en-US"/>
        </w:rPr>
        <w:t xml:space="preserve"> cancer patients</w:t>
      </w:r>
      <w:bookmarkEnd w:id="29"/>
      <w:bookmarkEnd w:id="30"/>
      <w:r w:rsidR="00685696" w:rsidRPr="0066602A">
        <w:rPr>
          <w:b/>
          <w:bCs/>
          <w:lang w:val="en-US"/>
        </w:rPr>
        <w:t xml:space="preserve"> (3</w:t>
      </w:r>
      <w:r w:rsidR="00D31DE7" w:rsidRPr="0066602A">
        <w:rPr>
          <w:b/>
          <w:bCs/>
          <w:lang w:val="en-US"/>
        </w:rPr>
        <w:t xml:space="preserve"> studies</w:t>
      </w:r>
      <w:r w:rsidR="00685696" w:rsidRPr="0066602A">
        <w:rPr>
          <w:b/>
          <w:bCs/>
          <w:lang w:val="en-US"/>
        </w:rPr>
        <w:t>)</w:t>
      </w:r>
      <w:bookmarkEnd w:id="31"/>
    </w:p>
    <w:tbl>
      <w:tblPr>
        <w:tblStyle w:val="LightList-Accent61"/>
        <w:tblW w:w="5000" w:type="pct"/>
        <w:tblLook w:val="04A0" w:firstRow="1" w:lastRow="0" w:firstColumn="1" w:lastColumn="0" w:noHBand="0" w:noVBand="1"/>
      </w:tblPr>
      <w:tblGrid>
        <w:gridCol w:w="2385"/>
        <w:gridCol w:w="1591"/>
        <w:gridCol w:w="1723"/>
        <w:gridCol w:w="1986"/>
        <w:gridCol w:w="2384"/>
        <w:gridCol w:w="4241"/>
      </w:tblGrid>
      <w:tr w:rsidR="00385ACB" w:rsidRPr="0066602A" w14:paraId="537D5E63" w14:textId="77777777" w:rsidTr="00685696">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000" w:firstRow="0" w:lastRow="0" w:firstColumn="1" w:lastColumn="0" w:oddVBand="0" w:evenVBand="0" w:oddHBand="0" w:evenHBand="0" w:firstRowFirstColumn="0" w:firstRowLastColumn="0" w:lastRowFirstColumn="0" w:lastRowLastColumn="0"/>
            <w:tcW w:w="833" w:type="pct"/>
            <w:noWrap/>
          </w:tcPr>
          <w:p w14:paraId="78D0D405" w14:textId="77777777" w:rsidR="00385ACB" w:rsidRPr="0066602A" w:rsidRDefault="00385ACB" w:rsidP="004D1373">
            <w:pPr>
              <w:pStyle w:val="Table-Normal"/>
              <w:rPr>
                <w:rFonts w:eastAsia="Times New Roman" w:cstheme="minorHAnsi"/>
                <w:sz w:val="20"/>
                <w:szCs w:val="20"/>
                <w:lang w:val="en-US" w:eastAsia="en-GB"/>
              </w:rPr>
            </w:pPr>
            <w:r w:rsidRPr="0066602A">
              <w:rPr>
                <w:rFonts w:cstheme="minorHAnsi"/>
                <w:sz w:val="20"/>
                <w:szCs w:val="20"/>
                <w:lang w:val="en-US"/>
              </w:rPr>
              <w:t>Study details</w:t>
            </w:r>
          </w:p>
        </w:tc>
        <w:tc>
          <w:tcPr>
            <w:tcW w:w="556" w:type="pct"/>
          </w:tcPr>
          <w:p w14:paraId="7E62C178" w14:textId="77777777" w:rsidR="00385ACB" w:rsidRPr="0066602A" w:rsidRDefault="00385ACB" w:rsidP="004D1373">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Sample size</w:t>
            </w:r>
          </w:p>
        </w:tc>
        <w:tc>
          <w:tcPr>
            <w:tcW w:w="602" w:type="pct"/>
          </w:tcPr>
          <w:p w14:paraId="2DA509F6" w14:textId="77777777" w:rsidR="00385ACB" w:rsidRPr="0066602A" w:rsidRDefault="00385ACB" w:rsidP="004D1373">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Sex and age (years)</w:t>
            </w:r>
          </w:p>
        </w:tc>
        <w:tc>
          <w:tcPr>
            <w:tcW w:w="694" w:type="pct"/>
          </w:tcPr>
          <w:p w14:paraId="2F7BF577" w14:textId="77777777" w:rsidR="00385ACB" w:rsidRPr="0066602A" w:rsidRDefault="00385ACB" w:rsidP="004D1373">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Tumor type</w:t>
            </w:r>
          </w:p>
        </w:tc>
        <w:tc>
          <w:tcPr>
            <w:tcW w:w="833" w:type="pct"/>
          </w:tcPr>
          <w:p w14:paraId="41849A91" w14:textId="77777777" w:rsidR="00385ACB" w:rsidRPr="0066602A" w:rsidRDefault="00385ACB" w:rsidP="004D1373">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Cancer treatment type</w:t>
            </w:r>
          </w:p>
        </w:tc>
        <w:tc>
          <w:tcPr>
            <w:tcW w:w="1482" w:type="pct"/>
          </w:tcPr>
          <w:p w14:paraId="172A7955" w14:textId="77777777" w:rsidR="00385ACB" w:rsidRPr="0066602A" w:rsidRDefault="00385ACB" w:rsidP="004D1373">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Insomnia prevalence</w:t>
            </w:r>
          </w:p>
        </w:tc>
      </w:tr>
      <w:tr w:rsidR="00385ACB" w:rsidRPr="0066602A" w14:paraId="23DC93FF"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33" w:type="pct"/>
          </w:tcPr>
          <w:p w14:paraId="0A172B86" w14:textId="77777777" w:rsidR="00385ACB" w:rsidRPr="0066602A" w:rsidRDefault="00385ACB" w:rsidP="004D1373">
            <w:pPr>
              <w:pStyle w:val="Table-Normal"/>
              <w:rPr>
                <w:rFonts w:cstheme="minorHAnsi"/>
                <w:bCs/>
                <w:color w:val="4E5053"/>
                <w:sz w:val="20"/>
                <w:szCs w:val="20"/>
                <w:lang w:val="en-US"/>
              </w:rPr>
            </w:pPr>
            <w:proofErr w:type="spellStart"/>
            <w:r w:rsidRPr="0066602A">
              <w:rPr>
                <w:rFonts w:cstheme="minorHAnsi"/>
                <w:color w:val="4E5053"/>
                <w:sz w:val="20"/>
                <w:szCs w:val="20"/>
                <w:lang w:val="en-US"/>
              </w:rPr>
              <w:t>Flemming</w:t>
            </w:r>
            <w:proofErr w:type="spellEnd"/>
            <w:r w:rsidRPr="0066602A">
              <w:rPr>
                <w:rFonts w:cstheme="minorHAnsi"/>
                <w:color w:val="4E5053"/>
                <w:sz w:val="20"/>
                <w:szCs w:val="20"/>
                <w:lang w:val="en-US"/>
              </w:rPr>
              <w:t>, 2019</w:t>
            </w:r>
          </w:p>
          <w:p w14:paraId="35ED6DAD" w14:textId="77777777" w:rsidR="00385ACB" w:rsidRPr="0066602A" w:rsidRDefault="00385ACB" w:rsidP="004D1373">
            <w:pPr>
              <w:pStyle w:val="Table-Normal"/>
              <w:rPr>
                <w:rFonts w:cstheme="minorHAnsi"/>
                <w:sz w:val="20"/>
                <w:szCs w:val="20"/>
                <w:lang w:val="en-US"/>
              </w:rPr>
            </w:pPr>
            <w:r w:rsidRPr="0066602A">
              <w:rPr>
                <w:rFonts w:cstheme="minorHAnsi"/>
                <w:color w:val="4E5053"/>
                <w:sz w:val="20"/>
                <w:szCs w:val="20"/>
                <w:lang w:val="en-US"/>
              </w:rPr>
              <w:t>UK</w:t>
            </w:r>
          </w:p>
          <w:p w14:paraId="70954FF3" w14:textId="77777777" w:rsidR="00385ACB" w:rsidRPr="0066602A" w:rsidRDefault="00385ACB" w:rsidP="004D1373">
            <w:pPr>
              <w:pStyle w:val="Table-Normal"/>
              <w:rPr>
                <w:rFonts w:cstheme="minorHAnsi"/>
                <w:sz w:val="20"/>
                <w:szCs w:val="20"/>
                <w:lang w:val="en-US"/>
              </w:rPr>
            </w:pPr>
            <w:r w:rsidRPr="0066602A">
              <w:rPr>
                <w:rFonts w:cstheme="minorHAnsi"/>
                <w:color w:val="4E5053"/>
                <w:sz w:val="20"/>
                <w:szCs w:val="20"/>
                <w:lang w:val="en-US"/>
              </w:rPr>
              <w:t>Prospective, 12 months</w:t>
            </w:r>
          </w:p>
        </w:tc>
        <w:tc>
          <w:tcPr>
            <w:tcW w:w="556" w:type="pct"/>
          </w:tcPr>
          <w:p w14:paraId="2B290FC5"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173</w:t>
            </w:r>
          </w:p>
        </w:tc>
        <w:tc>
          <w:tcPr>
            <w:tcW w:w="602" w:type="pct"/>
          </w:tcPr>
          <w:p w14:paraId="614EC105"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- 58</w:t>
            </w:r>
          </w:p>
        </w:tc>
        <w:tc>
          <w:tcPr>
            <w:tcW w:w="694" w:type="pct"/>
          </w:tcPr>
          <w:p w14:paraId="254FCF75" w14:textId="77777777" w:rsidR="00385ACB" w:rsidRPr="0066602A" w:rsidRDefault="00385ACB" w:rsidP="004D1373">
            <w:pPr>
              <w:pStyle w:val="Table-Normal"/>
              <w:ind w:hanging="16"/>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173 (100%)</w:t>
            </w:r>
          </w:p>
        </w:tc>
        <w:tc>
          <w:tcPr>
            <w:tcW w:w="833" w:type="pct"/>
          </w:tcPr>
          <w:p w14:paraId="01D691E6"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NA</w:t>
            </w:r>
          </w:p>
        </w:tc>
        <w:tc>
          <w:tcPr>
            <w:tcW w:w="1482" w:type="pct"/>
          </w:tcPr>
          <w:p w14:paraId="1FA7E898"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Pre-diagnosis:</w:t>
            </w:r>
            <w:r w:rsidRPr="0066602A">
              <w:rPr>
                <w:rFonts w:cstheme="minorHAnsi"/>
                <w:color w:val="4E5053"/>
                <w:sz w:val="20"/>
                <w:szCs w:val="20"/>
                <w:lang w:val="en-US"/>
              </w:rPr>
              <w:t xml:space="preserve"> 24.9%</w:t>
            </w:r>
          </w:p>
          <w:p w14:paraId="0792C001"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p>
        </w:tc>
      </w:tr>
      <w:tr w:rsidR="00385ACB" w:rsidRPr="0066602A" w14:paraId="1BB1CD94"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33" w:type="pct"/>
          </w:tcPr>
          <w:p w14:paraId="602668DD" w14:textId="77777777" w:rsidR="00385ACB" w:rsidRPr="0066602A" w:rsidRDefault="00385ACB" w:rsidP="004D1373">
            <w:pPr>
              <w:pStyle w:val="Table-Normal"/>
              <w:rPr>
                <w:rFonts w:cstheme="minorHAnsi"/>
                <w:bCs/>
                <w:color w:val="4E5053"/>
                <w:sz w:val="20"/>
                <w:szCs w:val="20"/>
                <w:lang w:val="en-US"/>
              </w:rPr>
            </w:pPr>
            <w:r w:rsidRPr="0066602A">
              <w:rPr>
                <w:rFonts w:cstheme="minorHAnsi"/>
                <w:color w:val="4E5053"/>
                <w:sz w:val="20"/>
                <w:szCs w:val="20"/>
                <w:lang w:val="en-US"/>
              </w:rPr>
              <w:t>Flynn, 2010</w:t>
            </w:r>
          </w:p>
          <w:p w14:paraId="3C91CE36" w14:textId="77777777" w:rsidR="00385ACB" w:rsidRPr="0066602A" w:rsidRDefault="00385ACB" w:rsidP="004D1373">
            <w:pPr>
              <w:pStyle w:val="Table-Normal"/>
              <w:rPr>
                <w:rFonts w:cstheme="minorHAnsi"/>
                <w:color w:val="4E5053"/>
                <w:sz w:val="20"/>
                <w:szCs w:val="20"/>
                <w:lang w:val="en-US"/>
              </w:rPr>
            </w:pPr>
            <w:r w:rsidRPr="0066602A">
              <w:rPr>
                <w:rFonts w:cstheme="minorHAnsi"/>
                <w:color w:val="4E5053"/>
                <w:sz w:val="20"/>
                <w:szCs w:val="20"/>
                <w:lang w:val="en-US"/>
              </w:rPr>
              <w:t>USA</w:t>
            </w:r>
          </w:p>
          <w:p w14:paraId="40A0C4FC" w14:textId="77777777" w:rsidR="00385ACB" w:rsidRPr="0066602A" w:rsidRDefault="00385ACB" w:rsidP="004D1373">
            <w:pPr>
              <w:pStyle w:val="Table-Normal"/>
              <w:rPr>
                <w:rFonts w:cstheme="minorHAnsi"/>
                <w:color w:val="4E5053"/>
                <w:sz w:val="20"/>
                <w:szCs w:val="20"/>
                <w:lang w:val="en-US"/>
              </w:rPr>
            </w:pPr>
            <w:r w:rsidRPr="0066602A">
              <w:rPr>
                <w:rFonts w:cstheme="minorHAnsi"/>
                <w:color w:val="4E5053"/>
                <w:sz w:val="20"/>
                <w:szCs w:val="20"/>
                <w:lang w:val="en-US"/>
              </w:rPr>
              <w:t xml:space="preserve">Focus groups, </w:t>
            </w:r>
            <w:r w:rsidRPr="0066602A">
              <w:rPr>
                <w:rFonts w:cstheme="minorHAnsi"/>
                <w:color w:val="4E5053"/>
                <w:sz w:val="20"/>
                <w:szCs w:val="20"/>
                <w:lang w:val="en-US"/>
              </w:rPr>
              <w:br/>
              <w:t>70-90 minutes</w:t>
            </w:r>
          </w:p>
        </w:tc>
        <w:tc>
          <w:tcPr>
            <w:tcW w:w="556" w:type="pct"/>
          </w:tcPr>
          <w:p w14:paraId="72B1C971" w14:textId="77777777" w:rsidR="00385ACB" w:rsidRPr="0066602A" w:rsidRDefault="00385ACB" w:rsidP="004D1373">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67</w:t>
            </w:r>
          </w:p>
        </w:tc>
        <w:tc>
          <w:tcPr>
            <w:tcW w:w="602" w:type="pct"/>
          </w:tcPr>
          <w:p w14:paraId="2989E259" w14:textId="77777777" w:rsidR="00385ACB" w:rsidRPr="0066602A" w:rsidRDefault="00385ACB" w:rsidP="004D1373">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- 64%</w:t>
            </w:r>
            <w:r w:rsidRPr="0066602A">
              <w:rPr>
                <w:rFonts w:cstheme="minorHAnsi"/>
                <w:color w:val="4E5053"/>
                <w:sz w:val="20"/>
                <w:szCs w:val="20"/>
                <w:lang w:val="en-US"/>
              </w:rPr>
              <w:br/>
              <w:t>Female - 36%</w:t>
            </w:r>
            <w:r w:rsidRPr="0066602A">
              <w:rPr>
                <w:rFonts w:cstheme="minorHAnsi"/>
                <w:color w:val="4E5053"/>
                <w:sz w:val="20"/>
                <w:szCs w:val="20"/>
                <w:lang w:val="en-US"/>
              </w:rPr>
              <w:br/>
              <w:t>Mean - NR</w:t>
            </w:r>
          </w:p>
        </w:tc>
        <w:tc>
          <w:tcPr>
            <w:tcW w:w="694" w:type="pct"/>
          </w:tcPr>
          <w:p w14:paraId="29BD3232" w14:textId="77777777" w:rsidR="00385ACB" w:rsidRPr="0066602A" w:rsidRDefault="00385ACB" w:rsidP="004D1373">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 xml:space="preserve">Pan-cancer </w:t>
            </w:r>
            <w:r w:rsidRPr="0066602A">
              <w:rPr>
                <w:rFonts w:cstheme="minorHAnsi"/>
                <w:color w:val="4E5053"/>
                <w:sz w:val="20"/>
                <w:szCs w:val="20"/>
                <w:lang w:val="en-US"/>
              </w:rPr>
              <w:br/>
              <w:t>Brain: 1 (1%)</w:t>
            </w:r>
            <w:r w:rsidRPr="0066602A">
              <w:rPr>
                <w:rFonts w:cstheme="minorHAnsi"/>
                <w:color w:val="4E5053"/>
                <w:sz w:val="20"/>
                <w:szCs w:val="20"/>
                <w:lang w:val="en-US"/>
              </w:rPr>
              <w:br/>
              <w:t>Breast: 12 (18%)</w:t>
            </w:r>
            <w:r w:rsidRPr="0066602A">
              <w:rPr>
                <w:rFonts w:cstheme="minorHAnsi"/>
                <w:color w:val="4E5053"/>
                <w:sz w:val="20"/>
                <w:szCs w:val="20"/>
                <w:lang w:val="en-US"/>
              </w:rPr>
              <w:br/>
              <w:t>Colorectal: 3 (4%)</w:t>
            </w:r>
            <w:r w:rsidRPr="0066602A">
              <w:rPr>
                <w:rFonts w:cstheme="minorHAnsi"/>
                <w:color w:val="4E5053"/>
                <w:sz w:val="20"/>
                <w:szCs w:val="20"/>
                <w:lang w:val="en-US"/>
              </w:rPr>
              <w:br/>
              <w:t>Gynecologic: 5 (7%)</w:t>
            </w:r>
            <w:r w:rsidRPr="0066602A">
              <w:rPr>
                <w:rFonts w:cstheme="minorHAnsi"/>
                <w:color w:val="4E5053"/>
                <w:sz w:val="20"/>
                <w:szCs w:val="20"/>
                <w:lang w:val="en-US"/>
              </w:rPr>
              <w:br/>
              <w:t>Hematologic: 10 (15%)</w:t>
            </w:r>
            <w:r w:rsidRPr="0066602A">
              <w:rPr>
                <w:rFonts w:cstheme="minorHAnsi"/>
                <w:color w:val="4E5053"/>
                <w:sz w:val="20"/>
                <w:szCs w:val="20"/>
                <w:lang w:val="en-US"/>
              </w:rPr>
              <w:br/>
              <w:t>Lung: 5 (7%)</w:t>
            </w:r>
            <w:r w:rsidRPr="0066602A">
              <w:rPr>
                <w:rFonts w:cstheme="minorHAnsi"/>
                <w:color w:val="4E5053"/>
                <w:sz w:val="20"/>
                <w:szCs w:val="20"/>
                <w:lang w:val="en-US"/>
              </w:rPr>
              <w:br/>
              <w:t>Other GI: 3 (4%)</w:t>
            </w:r>
            <w:r w:rsidRPr="0066602A">
              <w:rPr>
                <w:rFonts w:cstheme="minorHAnsi"/>
                <w:color w:val="4E5053"/>
                <w:sz w:val="20"/>
                <w:szCs w:val="20"/>
                <w:lang w:val="en-US"/>
              </w:rPr>
              <w:br/>
              <w:t>Prostate: 18 (27%)</w:t>
            </w:r>
            <w:r w:rsidRPr="0066602A">
              <w:rPr>
                <w:rFonts w:cstheme="minorHAnsi"/>
                <w:color w:val="4E5053"/>
                <w:sz w:val="20"/>
                <w:szCs w:val="20"/>
                <w:lang w:val="en-US"/>
              </w:rPr>
              <w:br/>
              <w:t>Other: 10 (15%)</w:t>
            </w:r>
          </w:p>
        </w:tc>
        <w:tc>
          <w:tcPr>
            <w:tcW w:w="833" w:type="pct"/>
          </w:tcPr>
          <w:p w14:paraId="5A3B750A" w14:textId="77777777" w:rsidR="00385ACB" w:rsidRPr="0066602A" w:rsidRDefault="00385ACB" w:rsidP="004D1373">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NA</w:t>
            </w:r>
          </w:p>
        </w:tc>
        <w:tc>
          <w:tcPr>
            <w:tcW w:w="1482" w:type="pct"/>
          </w:tcPr>
          <w:p w14:paraId="3605E869" w14:textId="77777777" w:rsidR="00385ACB" w:rsidRPr="0066602A" w:rsidRDefault="00385ACB" w:rsidP="004D1373">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 xml:space="preserve">9/10 groups had worry or fear related to diagnosis, prognosis, or recurrence </w:t>
            </w:r>
          </w:p>
        </w:tc>
      </w:tr>
      <w:tr w:rsidR="00385ACB" w:rsidRPr="0066602A" w14:paraId="48DDBCCF" w14:textId="77777777" w:rsidTr="00685696">
        <w:trPr>
          <w:cnfStyle w:val="000000100000" w:firstRow="0" w:lastRow="0" w:firstColumn="0" w:lastColumn="0" w:oddVBand="0" w:evenVBand="0" w:oddHBand="1" w:evenHBand="0" w:firstRowFirstColumn="0" w:firstRowLastColumn="0" w:lastRowFirstColumn="0" w:lastRowLastColumn="0"/>
          <w:cantSplit/>
          <w:trHeight w:val="963"/>
        </w:trPr>
        <w:tc>
          <w:tcPr>
            <w:cnfStyle w:val="001000000000" w:firstRow="0" w:lastRow="0" w:firstColumn="1" w:lastColumn="0" w:oddVBand="0" w:evenVBand="0" w:oddHBand="0" w:evenHBand="0" w:firstRowFirstColumn="0" w:firstRowLastColumn="0" w:lastRowFirstColumn="0" w:lastRowLastColumn="0"/>
            <w:tcW w:w="833" w:type="pct"/>
          </w:tcPr>
          <w:p w14:paraId="0F285A8B" w14:textId="77777777" w:rsidR="00385ACB" w:rsidRPr="0066602A" w:rsidRDefault="00385ACB" w:rsidP="004D1373">
            <w:pPr>
              <w:pStyle w:val="Table-Normal"/>
              <w:rPr>
                <w:rFonts w:cstheme="minorHAnsi"/>
                <w:bCs/>
                <w:color w:val="4E5053"/>
                <w:sz w:val="20"/>
                <w:szCs w:val="20"/>
                <w:lang w:val="en-US"/>
              </w:rPr>
            </w:pPr>
            <w:r w:rsidRPr="0066602A">
              <w:rPr>
                <w:rFonts w:cstheme="minorHAnsi"/>
                <w:color w:val="4E5053"/>
                <w:sz w:val="20"/>
                <w:szCs w:val="20"/>
                <w:lang w:val="en-US"/>
              </w:rPr>
              <w:t>Ross, 2020</w:t>
            </w:r>
          </w:p>
          <w:p w14:paraId="1A264DAE" w14:textId="77777777" w:rsidR="00385ACB" w:rsidRPr="0066602A" w:rsidRDefault="00385ACB" w:rsidP="004D1373">
            <w:pPr>
              <w:pStyle w:val="Table-Normal"/>
              <w:rPr>
                <w:rFonts w:cstheme="minorHAnsi"/>
                <w:color w:val="4E5053"/>
                <w:sz w:val="20"/>
                <w:szCs w:val="20"/>
                <w:lang w:val="en-US"/>
              </w:rPr>
            </w:pPr>
            <w:r w:rsidRPr="0066602A">
              <w:rPr>
                <w:rFonts w:cstheme="minorHAnsi"/>
                <w:color w:val="4E5053"/>
                <w:sz w:val="20"/>
                <w:szCs w:val="20"/>
                <w:lang w:val="en-US"/>
              </w:rPr>
              <w:t>Australia</w:t>
            </w:r>
          </w:p>
          <w:p w14:paraId="4A7ED51E" w14:textId="77777777" w:rsidR="00385ACB" w:rsidRPr="0066602A" w:rsidRDefault="00385ACB" w:rsidP="004D1373">
            <w:pPr>
              <w:pStyle w:val="Table-Normal"/>
              <w:rPr>
                <w:rFonts w:cstheme="minorHAnsi"/>
                <w:color w:val="4E5053"/>
                <w:sz w:val="20"/>
                <w:szCs w:val="20"/>
                <w:lang w:val="en-US"/>
              </w:rPr>
            </w:pPr>
            <w:r w:rsidRPr="0066602A">
              <w:rPr>
                <w:rFonts w:cstheme="minorHAnsi"/>
                <w:color w:val="4E5053"/>
                <w:sz w:val="20"/>
                <w:szCs w:val="20"/>
                <w:lang w:val="en-US"/>
              </w:rPr>
              <w:t>Prospective, January 2012-April 2015</w:t>
            </w:r>
          </w:p>
        </w:tc>
        <w:tc>
          <w:tcPr>
            <w:tcW w:w="556" w:type="pct"/>
          </w:tcPr>
          <w:p w14:paraId="7EC2AF9E"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894</w:t>
            </w:r>
          </w:p>
        </w:tc>
        <w:tc>
          <w:tcPr>
            <w:tcW w:w="602" w:type="pct"/>
          </w:tcPr>
          <w:p w14:paraId="0DD84ACB"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(at diagnosis) - 60</w:t>
            </w:r>
          </w:p>
        </w:tc>
        <w:tc>
          <w:tcPr>
            <w:tcW w:w="694" w:type="pct"/>
          </w:tcPr>
          <w:p w14:paraId="3DBA141B"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Ovarian: 894 (100%)</w:t>
            </w:r>
          </w:p>
        </w:tc>
        <w:tc>
          <w:tcPr>
            <w:tcW w:w="833" w:type="pct"/>
          </w:tcPr>
          <w:p w14:paraId="26A218CA"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NA</w:t>
            </w:r>
          </w:p>
        </w:tc>
        <w:tc>
          <w:tcPr>
            <w:tcW w:w="1482" w:type="pct"/>
          </w:tcPr>
          <w:p w14:paraId="339DD413" w14:textId="77777777" w:rsidR="00385ACB" w:rsidRPr="0066602A" w:rsidRDefault="00385ACB" w:rsidP="004D1373">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Pre-diagnosis</w:t>
            </w:r>
            <w:r w:rsidRPr="0066602A">
              <w:rPr>
                <w:rFonts w:cstheme="minorHAnsi"/>
                <w:color w:val="4E5053"/>
                <w:sz w:val="20"/>
                <w:szCs w:val="20"/>
                <w:lang w:val="en-US"/>
              </w:rPr>
              <w:t xml:space="preserve"> </w:t>
            </w:r>
            <w:r w:rsidRPr="0066602A">
              <w:rPr>
                <w:rFonts w:cstheme="minorHAnsi"/>
                <w:b/>
                <w:bCs w:val="0"/>
                <w:color w:val="4E5053"/>
                <w:sz w:val="20"/>
                <w:szCs w:val="20"/>
                <w:lang w:val="en-US"/>
              </w:rPr>
              <w:t>(few years before):</w:t>
            </w:r>
            <w:r w:rsidRPr="0066602A">
              <w:rPr>
                <w:rFonts w:cstheme="minorHAnsi"/>
                <w:color w:val="4E5053"/>
                <w:sz w:val="20"/>
                <w:szCs w:val="20"/>
                <w:lang w:val="en-US"/>
              </w:rPr>
              <w:t xml:space="preserve"> 70% </w:t>
            </w:r>
          </w:p>
        </w:tc>
      </w:tr>
    </w:tbl>
    <w:p w14:paraId="56874ABE" w14:textId="6CCBD1EA" w:rsidR="00385ACB" w:rsidRPr="0066602A" w:rsidRDefault="00385ACB" w:rsidP="001A68E4">
      <w:pPr>
        <w:pStyle w:val="EndnoteText"/>
        <w:rPr>
          <w:sz w:val="16"/>
          <w:szCs w:val="18"/>
        </w:rPr>
      </w:pPr>
      <w:r w:rsidRPr="0066602A">
        <w:rPr>
          <w:sz w:val="16"/>
          <w:szCs w:val="18"/>
        </w:rPr>
        <w:t xml:space="preserve">NA: not applicable; NR: not recorded; UK: </w:t>
      </w:r>
      <w:r w:rsidR="009B16F5" w:rsidRPr="0066602A">
        <w:rPr>
          <w:sz w:val="16"/>
          <w:szCs w:val="18"/>
        </w:rPr>
        <w:t>United Kingdom</w:t>
      </w:r>
      <w:r w:rsidRPr="0066602A">
        <w:rPr>
          <w:sz w:val="16"/>
          <w:szCs w:val="18"/>
        </w:rPr>
        <w:t xml:space="preserve">; USA: </w:t>
      </w:r>
      <w:r w:rsidR="009B16F5" w:rsidRPr="0066602A">
        <w:rPr>
          <w:sz w:val="16"/>
          <w:szCs w:val="18"/>
        </w:rPr>
        <w:t>U</w:t>
      </w:r>
      <w:r w:rsidRPr="0066602A">
        <w:rPr>
          <w:sz w:val="16"/>
          <w:szCs w:val="18"/>
        </w:rPr>
        <w:t>nited states of America.</w:t>
      </w:r>
    </w:p>
    <w:p w14:paraId="3B1F3F40" w14:textId="77777777" w:rsidR="00385ACB" w:rsidRPr="0066602A" w:rsidRDefault="00385ACB" w:rsidP="001A68E4">
      <w:pPr>
        <w:pStyle w:val="EndnoteText"/>
        <w:rPr>
          <w:sz w:val="16"/>
          <w:szCs w:val="18"/>
        </w:rPr>
      </w:pPr>
      <w:r w:rsidRPr="0066602A">
        <w:rPr>
          <w:sz w:val="16"/>
          <w:szCs w:val="18"/>
        </w:rPr>
        <w:br w:type="page"/>
      </w:r>
    </w:p>
    <w:p w14:paraId="40FAC9C8" w14:textId="36D77A68" w:rsidR="00F90795" w:rsidRPr="0066602A" w:rsidRDefault="00AD408B" w:rsidP="00F90795">
      <w:pPr>
        <w:pStyle w:val="Heading2"/>
        <w:numPr>
          <w:ilvl w:val="0"/>
          <w:numId w:val="0"/>
        </w:numPr>
        <w:ind w:left="709" w:hanging="709"/>
      </w:pPr>
      <w:r w:rsidRPr="0066602A">
        <w:lastRenderedPageBreak/>
        <w:t xml:space="preserve">Table </w:t>
      </w:r>
      <w:r w:rsidR="009A7DFD" w:rsidRPr="0066602A">
        <w:t>4</w:t>
      </w:r>
      <w:r w:rsidRPr="0066602A">
        <w:t xml:space="preserve">. </w:t>
      </w:r>
      <w:r w:rsidR="009A7DFD" w:rsidRPr="0066602A">
        <w:rPr>
          <w:lang w:val="en-US"/>
        </w:rPr>
        <w:t>Prevalence of insomnia in cancer patients across longitudinal studies</w:t>
      </w:r>
    </w:p>
    <w:p w14:paraId="46292112" w14:textId="34D8DD62" w:rsidR="00F90795" w:rsidRPr="0066602A" w:rsidRDefault="00F90795" w:rsidP="00F90795">
      <w:pPr>
        <w:pStyle w:val="Caption"/>
      </w:pPr>
      <w:bookmarkStart w:id="32" w:name="_Toc132179151"/>
      <w:r w:rsidRPr="0066602A">
        <w:t xml:space="preserve">Table </w:t>
      </w:r>
      <w:r w:rsidR="0066602A" w:rsidRPr="0066602A">
        <w:fldChar w:fldCharType="begin"/>
      </w:r>
      <w:r w:rsidR="0066602A" w:rsidRPr="0066602A">
        <w:instrText xml:space="preserve"> SEQ Table \* ARABIC </w:instrText>
      </w:r>
      <w:r w:rsidR="0066602A" w:rsidRPr="0066602A">
        <w:fldChar w:fldCharType="separate"/>
      </w:r>
      <w:r w:rsidR="009A7DFD" w:rsidRPr="0066602A">
        <w:rPr>
          <w:noProof/>
        </w:rPr>
        <w:t>4</w:t>
      </w:r>
      <w:r w:rsidR="0066602A" w:rsidRPr="0066602A">
        <w:rPr>
          <w:noProof/>
        </w:rPr>
        <w:fldChar w:fldCharType="end"/>
      </w:r>
      <w:r w:rsidRPr="0066602A">
        <w:t>. Prevalence of insomnia in cancer patients in longitudinal studies</w:t>
      </w:r>
      <w:r w:rsidR="00685696" w:rsidRPr="0066602A">
        <w:t xml:space="preserve"> (13</w:t>
      </w:r>
      <w:r w:rsidR="00D31DE7" w:rsidRPr="0066602A">
        <w:t xml:space="preserve"> studies</w:t>
      </w:r>
      <w:r w:rsidR="00685696" w:rsidRPr="0066602A">
        <w:t>)</w:t>
      </w:r>
      <w:bookmarkEnd w:id="32"/>
    </w:p>
    <w:tbl>
      <w:tblPr>
        <w:tblStyle w:val="LightList-Accent61"/>
        <w:tblpPr w:leftFromText="181" w:rightFromText="181" w:vertAnchor="text" w:horzAnchor="margin" w:tblpY="1"/>
        <w:tblW w:w="5000" w:type="pct"/>
        <w:tblLook w:val="04A0" w:firstRow="1" w:lastRow="0" w:firstColumn="1" w:lastColumn="0" w:noHBand="0" w:noVBand="1"/>
      </w:tblPr>
      <w:tblGrid>
        <w:gridCol w:w="2363"/>
        <w:gridCol w:w="1574"/>
        <w:gridCol w:w="1706"/>
        <w:gridCol w:w="2078"/>
        <w:gridCol w:w="2370"/>
        <w:gridCol w:w="4219"/>
      </w:tblGrid>
      <w:tr w:rsidR="00685696" w:rsidRPr="0066602A" w14:paraId="1703E685" w14:textId="77777777" w:rsidTr="00685696">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000" w:firstRow="0" w:lastRow="0" w:firstColumn="1" w:lastColumn="0" w:oddVBand="0" w:evenVBand="0" w:oddHBand="0" w:evenHBand="0" w:firstRowFirstColumn="0" w:firstRowLastColumn="0" w:lastRowFirstColumn="0" w:lastRowLastColumn="0"/>
            <w:tcW w:w="826" w:type="pct"/>
          </w:tcPr>
          <w:p w14:paraId="40664CBC" w14:textId="669E3866" w:rsidR="00685696" w:rsidRPr="0066602A" w:rsidRDefault="00685696" w:rsidP="00685696">
            <w:pPr>
              <w:pStyle w:val="Table-Normal"/>
              <w:rPr>
                <w:rFonts w:cstheme="minorHAnsi"/>
                <w:sz w:val="20"/>
                <w:szCs w:val="20"/>
                <w:lang w:val="en-US"/>
              </w:rPr>
            </w:pPr>
            <w:r w:rsidRPr="0066602A">
              <w:rPr>
                <w:rFonts w:cstheme="minorHAnsi"/>
                <w:sz w:val="20"/>
                <w:szCs w:val="20"/>
                <w:lang w:val="en-US"/>
              </w:rPr>
              <w:t>Study details</w:t>
            </w:r>
          </w:p>
        </w:tc>
        <w:tc>
          <w:tcPr>
            <w:tcW w:w="550" w:type="pct"/>
          </w:tcPr>
          <w:p w14:paraId="2F9A9C71" w14:textId="5EE681A3" w:rsidR="00685696" w:rsidRPr="0066602A" w:rsidRDefault="00685696" w:rsidP="00685696">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Sample size</w:t>
            </w:r>
          </w:p>
        </w:tc>
        <w:tc>
          <w:tcPr>
            <w:tcW w:w="596" w:type="pct"/>
          </w:tcPr>
          <w:p w14:paraId="59707437" w14:textId="4C082939" w:rsidR="00685696" w:rsidRPr="0066602A" w:rsidRDefault="00685696" w:rsidP="00685696">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Sex and age (years)</w:t>
            </w:r>
          </w:p>
        </w:tc>
        <w:tc>
          <w:tcPr>
            <w:tcW w:w="726" w:type="pct"/>
          </w:tcPr>
          <w:p w14:paraId="4A2741AA" w14:textId="702255D5" w:rsidR="00685696" w:rsidRPr="0066602A" w:rsidRDefault="00685696" w:rsidP="00685696">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Tumor type</w:t>
            </w:r>
          </w:p>
        </w:tc>
        <w:tc>
          <w:tcPr>
            <w:tcW w:w="828" w:type="pct"/>
          </w:tcPr>
          <w:p w14:paraId="5F0EEEDF" w14:textId="7043BC52" w:rsidR="00685696" w:rsidRPr="0066602A" w:rsidRDefault="00685696" w:rsidP="00685696">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Cancer treatment type</w:t>
            </w:r>
          </w:p>
        </w:tc>
        <w:tc>
          <w:tcPr>
            <w:tcW w:w="1474" w:type="pct"/>
          </w:tcPr>
          <w:p w14:paraId="5AEED23A" w14:textId="719C7E03" w:rsidR="00685696" w:rsidRPr="0066602A" w:rsidRDefault="00685696" w:rsidP="00685696">
            <w:pPr>
              <w:pStyle w:val="Table-Normal"/>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66602A">
              <w:rPr>
                <w:rFonts w:cstheme="minorHAnsi"/>
                <w:sz w:val="20"/>
                <w:szCs w:val="20"/>
                <w:lang w:val="en-US"/>
              </w:rPr>
              <w:t>Insomnia prevalence</w:t>
            </w:r>
          </w:p>
        </w:tc>
      </w:tr>
      <w:tr w:rsidR="002406D8" w:rsidRPr="0066602A" w14:paraId="10A4CE15"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76D4871A" w14:textId="77777777" w:rsidR="002406D8" w:rsidRPr="0066602A" w:rsidRDefault="002406D8" w:rsidP="00F90795">
            <w:pPr>
              <w:pStyle w:val="Table-Normal"/>
              <w:rPr>
                <w:rFonts w:cstheme="minorHAnsi"/>
                <w:bCs/>
                <w:color w:val="4E5053"/>
                <w:sz w:val="20"/>
                <w:szCs w:val="20"/>
                <w:lang w:val="en-US"/>
              </w:rPr>
            </w:pPr>
            <w:r w:rsidRPr="0066602A">
              <w:rPr>
                <w:rFonts w:cstheme="minorHAnsi"/>
                <w:color w:val="4E5053"/>
                <w:sz w:val="20"/>
                <w:szCs w:val="20"/>
                <w:lang w:val="en-US"/>
              </w:rPr>
              <w:t>Alfaro, 2014</w:t>
            </w:r>
          </w:p>
          <w:p w14:paraId="524FDCDE" w14:textId="77777777" w:rsidR="002406D8" w:rsidRPr="0066602A" w:rsidRDefault="002406D8" w:rsidP="00F90795">
            <w:pPr>
              <w:pStyle w:val="Table-Normal"/>
              <w:rPr>
                <w:rFonts w:cstheme="minorHAnsi"/>
                <w:color w:val="4E5053"/>
                <w:sz w:val="20"/>
                <w:szCs w:val="20"/>
                <w:lang w:val="en-US"/>
              </w:rPr>
            </w:pPr>
            <w:r w:rsidRPr="0066602A">
              <w:rPr>
                <w:rFonts w:cstheme="minorHAnsi"/>
                <w:color w:val="4E5053"/>
                <w:sz w:val="20"/>
                <w:szCs w:val="20"/>
                <w:lang w:val="en-US"/>
              </w:rPr>
              <w:t>USA</w:t>
            </w:r>
          </w:p>
          <w:p w14:paraId="5CD90431" w14:textId="77777777" w:rsidR="002406D8" w:rsidRPr="0066602A" w:rsidRDefault="002406D8" w:rsidP="00F90795">
            <w:pPr>
              <w:pStyle w:val="Table-Normal"/>
              <w:rPr>
                <w:rFonts w:cstheme="minorHAnsi"/>
                <w:color w:val="4E5053"/>
                <w:sz w:val="20"/>
                <w:szCs w:val="20"/>
                <w:lang w:val="en-US"/>
              </w:rPr>
            </w:pPr>
            <w:r w:rsidRPr="0066602A">
              <w:rPr>
                <w:rFonts w:cstheme="minorHAnsi"/>
                <w:color w:val="4E5053"/>
                <w:sz w:val="20"/>
                <w:szCs w:val="20"/>
                <w:lang w:val="en-US"/>
              </w:rPr>
              <w:t>Part of a larger longitudinal study, 6 months</w:t>
            </w:r>
          </w:p>
        </w:tc>
        <w:tc>
          <w:tcPr>
            <w:tcW w:w="550" w:type="pct"/>
          </w:tcPr>
          <w:p w14:paraId="0C82B9F3"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377</w:t>
            </w:r>
          </w:p>
        </w:tc>
        <w:tc>
          <w:tcPr>
            <w:tcW w:w="596" w:type="pct"/>
          </w:tcPr>
          <w:p w14:paraId="0E24533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Female- 100%</w:t>
            </w:r>
          </w:p>
          <w:p w14:paraId="2298C703"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LS mean – 57.7</w:t>
            </w:r>
          </w:p>
          <w:p w14:paraId="5A177EC0"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HS mean: 53.0</w:t>
            </w:r>
          </w:p>
        </w:tc>
        <w:tc>
          <w:tcPr>
            <w:tcW w:w="726" w:type="pct"/>
          </w:tcPr>
          <w:p w14:paraId="5266829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Breast: 377 (100%)</w:t>
            </w:r>
          </w:p>
        </w:tc>
        <w:tc>
          <w:tcPr>
            <w:tcW w:w="828" w:type="pct"/>
          </w:tcPr>
          <w:p w14:paraId="41AC917A"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Chemotherapy during the first 6 months: 126 (33.4%)</w:t>
            </w:r>
            <w:r w:rsidRPr="0066602A">
              <w:rPr>
                <w:rFonts w:cstheme="minorHAnsi"/>
                <w:color w:val="4E5053"/>
                <w:sz w:val="20"/>
                <w:szCs w:val="20"/>
                <w:lang w:val="en-US"/>
              </w:rPr>
              <w:br/>
              <w:t>Radiation therapy during the first 6 months: 216 (57.3%)</w:t>
            </w:r>
            <w:r w:rsidRPr="0066602A">
              <w:rPr>
                <w:rFonts w:cstheme="minorHAnsi"/>
                <w:color w:val="4E5053"/>
                <w:sz w:val="20"/>
                <w:szCs w:val="20"/>
                <w:lang w:val="en-US"/>
              </w:rPr>
              <w:br/>
              <w:t>Neoadjuvant therapy: 75 (19.9%)</w:t>
            </w:r>
            <w:r w:rsidRPr="0066602A">
              <w:rPr>
                <w:rFonts w:cstheme="minorHAnsi"/>
                <w:color w:val="4E5053"/>
                <w:sz w:val="20"/>
                <w:szCs w:val="20"/>
                <w:lang w:val="en-US"/>
              </w:rPr>
              <w:br/>
              <w:t>Breast conservation: 308 (81.7%)</w:t>
            </w:r>
            <w:r w:rsidRPr="0066602A">
              <w:rPr>
                <w:rFonts w:cstheme="minorHAnsi"/>
                <w:color w:val="4E5053"/>
                <w:sz w:val="20"/>
                <w:szCs w:val="20"/>
                <w:lang w:val="en-US"/>
              </w:rPr>
              <w:br/>
              <w:t>Mastectomy: 69 (18.3%)</w:t>
            </w:r>
          </w:p>
        </w:tc>
        <w:tc>
          <w:tcPr>
            <w:tcW w:w="1474" w:type="pct"/>
          </w:tcPr>
          <w:p w14:paraId="1455DF1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A total of 158 (41.9%) patients had low sustained sleep disturbance</w:t>
            </w:r>
          </w:p>
          <w:p w14:paraId="3D5D6E0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A total of 219 (58.1%) patients had high sustained sleep disturbance</w:t>
            </w:r>
          </w:p>
          <w:p w14:paraId="445293C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27 (17.1%) patients had low sustained sleep disturbance following neoadjuvant therapy. [FE p=0.30]</w:t>
            </w:r>
          </w:p>
          <w:p w14:paraId="2EFC0A9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48 (22%) patients had high sustained sleep disturbance following neoadjuvant therapy. [FE p=0.30]</w:t>
            </w:r>
          </w:p>
          <w:p w14:paraId="162F1FC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131 (82.9%) of patients that underwent breast conservation had low sustained sleep disturbance. [FE p=0.69]</w:t>
            </w:r>
          </w:p>
          <w:p w14:paraId="28E2850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177 (80.8%) of patients that underwent breast conservation had high sustained sleep disturbance. [FE p=0.69]</w:t>
            </w:r>
          </w:p>
          <w:p w14:paraId="1516742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27 (17.1%) of patients that underwent mastectomy surgery had low sustained sleep disturbance. [FE p=0.19]</w:t>
            </w:r>
          </w:p>
          <w:p w14:paraId="1972B36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42 (19.2%) of patients that underwent mastectomy surgery had high sustained sleep disturbance. [FE p=0.19]</w:t>
            </w:r>
          </w:p>
          <w:p w14:paraId="6058D82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138 (87.3%) of patients that underwent a sentinel node biopsy had low sustained sleep disturbance [FE p=0.053]</w:t>
            </w:r>
          </w:p>
          <w:p w14:paraId="4B68F4F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174 (79.5%) of patients that underwent a sentinel node biopsy had high sustained sleep disturbance [FE p=0.053]</w:t>
            </w:r>
          </w:p>
          <w:p w14:paraId="148A3BF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52 (32.9%) of patients that underwent an axillary lymph node dissection had low sustained sleep disturbance [FE p=0.053]</w:t>
            </w:r>
          </w:p>
          <w:p w14:paraId="162B27DC"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lastRenderedPageBreak/>
              <w:t>&gt; 92 (42.2%) of patients that underwent an axillary lymph node dissection had high sustained sleep disturbance [FE p=0.053].</w:t>
            </w:r>
          </w:p>
        </w:tc>
      </w:tr>
      <w:tr w:rsidR="002406D8" w:rsidRPr="0066602A" w14:paraId="1D3665C2"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1D82C716"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lastRenderedPageBreak/>
              <w:t>Brunet, 2017</w:t>
            </w:r>
          </w:p>
          <w:p w14:paraId="3D1C4719"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UK</w:t>
            </w:r>
          </w:p>
          <w:p w14:paraId="00E05517"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 xml:space="preserve">Post-hoc analysis (pilot study), 11 weeks </w:t>
            </w:r>
            <w:r w:rsidRPr="0066602A">
              <w:rPr>
                <w:rFonts w:cstheme="minorHAnsi"/>
                <w:color w:val="4E5053"/>
                <w:sz w:val="20"/>
                <w:szCs w:val="20"/>
                <w:lang w:val="en-US"/>
              </w:rPr>
              <w:br/>
            </w:r>
            <w:r w:rsidRPr="0066602A">
              <w:rPr>
                <w:rFonts w:cstheme="minorHAnsi"/>
                <w:color w:val="4E5053"/>
                <w:sz w:val="20"/>
                <w:szCs w:val="20"/>
                <w:lang w:val="en-US"/>
              </w:rPr>
              <w:br/>
              <w:t>Gives data at different timepoints</w:t>
            </w:r>
          </w:p>
        </w:tc>
        <w:tc>
          <w:tcPr>
            <w:tcW w:w="550" w:type="pct"/>
          </w:tcPr>
          <w:p w14:paraId="392D0003"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35</w:t>
            </w:r>
          </w:p>
        </w:tc>
        <w:tc>
          <w:tcPr>
            <w:tcW w:w="596" w:type="pct"/>
          </w:tcPr>
          <w:p w14:paraId="0E6656D3"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64%</w:t>
            </w:r>
          </w:p>
          <w:p w14:paraId="071D9288"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36%</w:t>
            </w:r>
          </w:p>
          <w:p w14:paraId="148B0F86"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64</w:t>
            </w:r>
          </w:p>
          <w:p w14:paraId="35DF504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p>
        </w:tc>
        <w:tc>
          <w:tcPr>
            <w:tcW w:w="726" w:type="pct"/>
          </w:tcPr>
          <w:p w14:paraId="5317DABB"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Rectal cancer: 35 (100%)</w:t>
            </w:r>
          </w:p>
        </w:tc>
        <w:tc>
          <w:tcPr>
            <w:tcW w:w="828" w:type="pct"/>
          </w:tcPr>
          <w:p w14:paraId="552F2C72"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Neoadjuvant chemoradiation therapy: 35 (100%)</w:t>
            </w:r>
          </w:p>
        </w:tc>
        <w:tc>
          <w:tcPr>
            <w:tcW w:w="1474" w:type="pct"/>
          </w:tcPr>
          <w:p w14:paraId="0DC8FC91"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Pre-neoadjuvant chemoradiation therapy:</w:t>
            </w:r>
          </w:p>
          <w:p w14:paraId="728DF068"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All results expressed as median (IQR)</w:t>
            </w:r>
          </w:p>
          <w:p w14:paraId="4A4CCCA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Baseline/timepoint 1, number of patients: total (n=35), control (n=11), intervention (n=24)</w:t>
            </w:r>
          </w:p>
          <w:p w14:paraId="7F53FAB5"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color w:val="4E5053"/>
                <w:sz w:val="20"/>
                <w:szCs w:val="20"/>
                <w:lang w:val="en-US"/>
              </w:rPr>
              <w:t>&gt; Total patients: 33 (0, 67.0)</w:t>
            </w:r>
            <w:r w:rsidRPr="0066602A">
              <w:rPr>
                <w:rFonts w:cstheme="minorHAnsi"/>
                <w:color w:val="4E5053"/>
                <w:sz w:val="20"/>
                <w:szCs w:val="20"/>
                <w:lang w:val="en-US"/>
              </w:rPr>
              <w:br/>
              <w:t>&gt; Control group: 0 (0, 33.0)</w:t>
            </w:r>
            <w:r w:rsidRPr="0066602A">
              <w:rPr>
                <w:rFonts w:cstheme="minorHAnsi"/>
                <w:color w:val="4E5053"/>
                <w:sz w:val="20"/>
                <w:szCs w:val="20"/>
                <w:lang w:val="en-US"/>
              </w:rPr>
              <w:br/>
              <w:t>&gt; Intervention group: 33 (0, 67.0)</w:t>
            </w:r>
            <w:r w:rsidRPr="0066602A">
              <w:rPr>
                <w:rFonts w:cstheme="minorHAnsi"/>
                <w:color w:val="4E5053"/>
                <w:sz w:val="20"/>
                <w:szCs w:val="20"/>
                <w:lang w:val="en-US"/>
              </w:rPr>
              <w:br/>
            </w:r>
            <w:proofErr w:type="gramStart"/>
            <w:r w:rsidRPr="0066602A">
              <w:rPr>
                <w:rFonts w:cstheme="minorHAnsi"/>
                <w:b/>
                <w:bCs w:val="0"/>
                <w:color w:val="4E5053"/>
                <w:sz w:val="20"/>
                <w:szCs w:val="20"/>
                <w:lang w:val="en-US"/>
              </w:rPr>
              <w:t>Post-neoadjuvant</w:t>
            </w:r>
            <w:proofErr w:type="gramEnd"/>
            <w:r w:rsidRPr="0066602A">
              <w:rPr>
                <w:rFonts w:cstheme="minorHAnsi"/>
                <w:b/>
                <w:bCs w:val="0"/>
                <w:color w:val="4E5053"/>
                <w:sz w:val="20"/>
                <w:szCs w:val="20"/>
                <w:lang w:val="en-US"/>
              </w:rPr>
              <w:t xml:space="preserve"> chemoradiation therapy/ pre-exercise intervention:</w:t>
            </w:r>
          </w:p>
          <w:p w14:paraId="53C5DC00"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Timepoint 2, number of patients: total (n=33), control (n=10), intervention (n=23)</w:t>
            </w:r>
            <w:r w:rsidRPr="0066602A">
              <w:rPr>
                <w:rFonts w:cstheme="minorHAnsi"/>
                <w:color w:val="4E5053"/>
                <w:sz w:val="20"/>
                <w:szCs w:val="20"/>
                <w:lang w:val="en-US"/>
              </w:rPr>
              <w:br/>
              <w:t>&gt; Total patients: 33.0 (16.5, 67.0)</w:t>
            </w:r>
            <w:r w:rsidRPr="0066602A">
              <w:rPr>
                <w:rFonts w:cstheme="minorHAnsi"/>
                <w:color w:val="4E5053"/>
                <w:sz w:val="20"/>
                <w:szCs w:val="20"/>
                <w:lang w:val="en-US"/>
              </w:rPr>
              <w:br/>
              <w:t>&gt; Control group: 33.0 (0, 42.5)</w:t>
            </w:r>
            <w:r w:rsidRPr="0066602A">
              <w:rPr>
                <w:rFonts w:cstheme="minorHAnsi"/>
                <w:color w:val="4E5053"/>
                <w:sz w:val="20"/>
                <w:szCs w:val="20"/>
                <w:lang w:val="en-US"/>
              </w:rPr>
              <w:br/>
              <w:t>&gt; Intervention group: 33.0 (33.0, 67.0)</w:t>
            </w:r>
            <w:r w:rsidRPr="0066602A">
              <w:rPr>
                <w:rFonts w:cstheme="minorHAnsi"/>
                <w:color w:val="4E5053"/>
                <w:sz w:val="20"/>
                <w:szCs w:val="20"/>
                <w:lang w:val="en-US"/>
              </w:rPr>
              <w:br/>
            </w:r>
            <w:proofErr w:type="gramStart"/>
            <w:r w:rsidRPr="0066602A">
              <w:rPr>
                <w:rFonts w:cstheme="minorHAnsi"/>
                <w:b/>
                <w:bCs w:val="0"/>
                <w:color w:val="4E5053"/>
                <w:sz w:val="20"/>
                <w:szCs w:val="20"/>
                <w:lang w:val="en-US"/>
              </w:rPr>
              <w:t>Post-exercise</w:t>
            </w:r>
            <w:proofErr w:type="gramEnd"/>
            <w:r w:rsidRPr="0066602A">
              <w:rPr>
                <w:rFonts w:cstheme="minorHAnsi"/>
                <w:b/>
                <w:bCs w:val="0"/>
                <w:color w:val="4E5053"/>
                <w:sz w:val="20"/>
                <w:szCs w:val="20"/>
                <w:lang w:val="en-US"/>
              </w:rPr>
              <w:t xml:space="preserve"> intervention:</w:t>
            </w:r>
          </w:p>
          <w:p w14:paraId="6895DBB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Timepoint 3, number of patients: total (n=32), control (n=10), intervention (n=22)</w:t>
            </w:r>
          </w:p>
          <w:p w14:paraId="581AF503"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Total patients: 16.5 (0, 67.0)</w:t>
            </w:r>
            <w:r w:rsidRPr="0066602A">
              <w:rPr>
                <w:rFonts w:cstheme="minorHAnsi"/>
                <w:color w:val="4E5053"/>
                <w:sz w:val="20"/>
                <w:szCs w:val="20"/>
                <w:lang w:val="en-US"/>
              </w:rPr>
              <w:br/>
              <w:t>&gt; Control patients: 0 (0, 49.8)</w:t>
            </w:r>
            <w:r w:rsidRPr="0066602A">
              <w:rPr>
                <w:rFonts w:cstheme="minorHAnsi"/>
                <w:color w:val="4E5053"/>
                <w:sz w:val="20"/>
                <w:szCs w:val="20"/>
                <w:lang w:val="en-US"/>
              </w:rPr>
              <w:br/>
              <w:t>&gt; Intervention group: 33.0 (0, 67.0).</w:t>
            </w:r>
          </w:p>
        </w:tc>
      </w:tr>
      <w:tr w:rsidR="002406D8" w:rsidRPr="0066602A" w14:paraId="39F463A4"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4AEA8C02"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Chang, 2017</w:t>
            </w:r>
          </w:p>
          <w:p w14:paraId="2309FBF9"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Taiwan</w:t>
            </w:r>
          </w:p>
          <w:p w14:paraId="511451BA"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Longitudinal descriptive study, 48 weeks</w:t>
            </w:r>
          </w:p>
        </w:tc>
        <w:tc>
          <w:tcPr>
            <w:tcW w:w="550" w:type="pct"/>
          </w:tcPr>
          <w:p w14:paraId="1390375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88 patients recruited, 82 enrolled:</w:t>
            </w:r>
            <w:r w:rsidRPr="0066602A">
              <w:rPr>
                <w:rFonts w:cstheme="minorHAnsi"/>
                <w:color w:val="4E5053"/>
                <w:sz w:val="20"/>
                <w:szCs w:val="20"/>
                <w:lang w:val="en-US"/>
              </w:rPr>
              <w:br/>
              <w:t xml:space="preserve">63 patients at week 6 </w:t>
            </w:r>
            <w:r w:rsidRPr="0066602A">
              <w:rPr>
                <w:rFonts w:cstheme="minorHAnsi"/>
                <w:color w:val="4E5053"/>
                <w:sz w:val="20"/>
                <w:szCs w:val="20"/>
                <w:lang w:val="en-US"/>
              </w:rPr>
              <w:br/>
              <w:t>50 patients at week 12</w:t>
            </w:r>
            <w:r w:rsidRPr="0066602A">
              <w:rPr>
                <w:rFonts w:cstheme="minorHAnsi"/>
                <w:color w:val="4E5053"/>
                <w:sz w:val="20"/>
                <w:szCs w:val="20"/>
                <w:lang w:val="en-US"/>
              </w:rPr>
              <w:br/>
              <w:t xml:space="preserve">38 patients at week 24 </w:t>
            </w:r>
            <w:r w:rsidRPr="0066602A">
              <w:rPr>
                <w:rFonts w:cstheme="minorHAnsi"/>
                <w:color w:val="4E5053"/>
                <w:sz w:val="20"/>
                <w:szCs w:val="20"/>
                <w:lang w:val="en-US"/>
              </w:rPr>
              <w:br/>
              <w:t>25 patients at week 48</w:t>
            </w:r>
          </w:p>
        </w:tc>
        <w:tc>
          <w:tcPr>
            <w:tcW w:w="596" w:type="pct"/>
          </w:tcPr>
          <w:p w14:paraId="1EA7FE9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-72%</w:t>
            </w:r>
          </w:p>
          <w:p w14:paraId="2DDEB59B"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28%</w:t>
            </w:r>
          </w:p>
          <w:p w14:paraId="53E9D17A"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66.54</w:t>
            </w:r>
          </w:p>
        </w:tc>
        <w:tc>
          <w:tcPr>
            <w:tcW w:w="726" w:type="pct"/>
          </w:tcPr>
          <w:p w14:paraId="4C160AD0"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Lung: 100%</w:t>
            </w:r>
          </w:p>
        </w:tc>
        <w:tc>
          <w:tcPr>
            <w:tcW w:w="828" w:type="pct"/>
          </w:tcPr>
          <w:p w14:paraId="04A9B112"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Systemic chemotherapy: 31 (37.8%)</w:t>
            </w:r>
            <w:r w:rsidRPr="0066602A">
              <w:rPr>
                <w:rFonts w:cstheme="minorHAnsi"/>
                <w:color w:val="4E5053"/>
                <w:sz w:val="20"/>
                <w:szCs w:val="20"/>
                <w:lang w:val="en-US"/>
              </w:rPr>
              <w:br/>
              <w:t>Oral targeted therapy/ chemotherapy: 31 (37.8%)</w:t>
            </w:r>
            <w:r w:rsidRPr="0066602A">
              <w:rPr>
                <w:rFonts w:cstheme="minorHAnsi"/>
                <w:color w:val="4E5053"/>
                <w:sz w:val="20"/>
                <w:szCs w:val="20"/>
                <w:lang w:val="en-US"/>
              </w:rPr>
              <w:br/>
              <w:t>CCRT: 9 (11.0%)</w:t>
            </w:r>
            <w:r w:rsidRPr="0066602A">
              <w:rPr>
                <w:rFonts w:cstheme="minorHAnsi"/>
                <w:color w:val="4E5053"/>
                <w:sz w:val="20"/>
                <w:szCs w:val="20"/>
                <w:lang w:val="en-US"/>
              </w:rPr>
              <w:br/>
              <w:t>Surgery: 8 (9.7%)</w:t>
            </w:r>
            <w:r w:rsidRPr="0066602A">
              <w:rPr>
                <w:rFonts w:cstheme="minorHAnsi"/>
                <w:color w:val="4E5053"/>
                <w:sz w:val="20"/>
                <w:szCs w:val="20"/>
                <w:lang w:val="en-US"/>
              </w:rPr>
              <w:br/>
              <w:t>RT alone: 3 (3.7%)</w:t>
            </w:r>
          </w:p>
        </w:tc>
        <w:tc>
          <w:tcPr>
            <w:tcW w:w="1474" w:type="pct"/>
          </w:tcPr>
          <w:p w14:paraId="7CFABB67"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Timepoint 1- prior to treatment; Timepoint 2- week 6 (2</w:t>
            </w:r>
            <w:r w:rsidRPr="0066602A">
              <w:rPr>
                <w:rFonts w:cstheme="minorHAnsi"/>
                <w:color w:val="4E5053"/>
                <w:sz w:val="20"/>
                <w:szCs w:val="20"/>
                <w:vertAlign w:val="superscript"/>
                <w:lang w:val="en-US"/>
              </w:rPr>
              <w:t>nd</w:t>
            </w:r>
            <w:r w:rsidRPr="0066602A">
              <w:rPr>
                <w:rFonts w:cstheme="minorHAnsi"/>
                <w:color w:val="4E5053"/>
                <w:sz w:val="20"/>
                <w:szCs w:val="20"/>
                <w:lang w:val="en-US"/>
              </w:rPr>
              <w:t xml:space="preserve"> assessment) (during treatment); Timepoint 3- week 12 (3</w:t>
            </w:r>
            <w:r w:rsidRPr="0066602A">
              <w:rPr>
                <w:rFonts w:cstheme="minorHAnsi"/>
                <w:color w:val="4E5053"/>
                <w:sz w:val="20"/>
                <w:szCs w:val="20"/>
                <w:vertAlign w:val="superscript"/>
                <w:lang w:val="en-US"/>
              </w:rPr>
              <w:t>rd</w:t>
            </w:r>
            <w:r w:rsidRPr="0066602A">
              <w:rPr>
                <w:rFonts w:cstheme="minorHAnsi"/>
                <w:color w:val="4E5053"/>
                <w:sz w:val="20"/>
                <w:szCs w:val="20"/>
                <w:lang w:val="en-US"/>
              </w:rPr>
              <w:t xml:space="preserve"> assessment) (during treatment);Timepoint 4- week 24 (4</w:t>
            </w:r>
            <w:r w:rsidRPr="0066602A">
              <w:rPr>
                <w:rFonts w:cstheme="minorHAnsi"/>
                <w:color w:val="4E5053"/>
                <w:sz w:val="20"/>
                <w:szCs w:val="20"/>
                <w:vertAlign w:val="superscript"/>
                <w:lang w:val="en-US"/>
              </w:rPr>
              <w:t>th</w:t>
            </w:r>
            <w:r w:rsidRPr="0066602A">
              <w:rPr>
                <w:rFonts w:cstheme="minorHAnsi"/>
                <w:color w:val="4E5053"/>
                <w:sz w:val="20"/>
                <w:szCs w:val="20"/>
                <w:lang w:val="en-US"/>
              </w:rPr>
              <w:t xml:space="preserve"> assessment) (post-treatment); Timepoint 5- week 48 (5</w:t>
            </w:r>
            <w:r w:rsidRPr="0066602A">
              <w:rPr>
                <w:rFonts w:cstheme="minorHAnsi"/>
                <w:color w:val="4E5053"/>
                <w:sz w:val="20"/>
                <w:szCs w:val="20"/>
                <w:vertAlign w:val="superscript"/>
                <w:lang w:val="en-US"/>
              </w:rPr>
              <w:t>th</w:t>
            </w:r>
            <w:r w:rsidRPr="0066602A">
              <w:rPr>
                <w:rFonts w:cstheme="minorHAnsi"/>
                <w:color w:val="4E5053"/>
                <w:sz w:val="20"/>
                <w:szCs w:val="20"/>
                <w:lang w:val="en-US"/>
              </w:rPr>
              <w:t xml:space="preserve"> assessment) (post-treatment)</w:t>
            </w:r>
            <w:r w:rsidRPr="0066602A">
              <w:rPr>
                <w:rFonts w:cstheme="minorHAnsi"/>
                <w:color w:val="4E5053"/>
                <w:sz w:val="20"/>
                <w:szCs w:val="20"/>
                <w:lang w:val="en-US"/>
              </w:rPr>
              <w:br/>
              <w:t xml:space="preserve"> </w:t>
            </w:r>
            <w:r w:rsidRPr="0066602A">
              <w:rPr>
                <w:rFonts w:cstheme="minorHAnsi"/>
                <w:b/>
                <w:bCs w:val="0"/>
                <w:color w:val="4E5053"/>
                <w:sz w:val="20"/>
                <w:szCs w:val="20"/>
                <w:lang w:val="en-US"/>
              </w:rPr>
              <w:t>Sleep-wake rhythm parameter (I &lt; O):</w:t>
            </w:r>
            <w:r w:rsidRPr="0066602A">
              <w:rPr>
                <w:rFonts w:cstheme="minorHAnsi"/>
                <w:color w:val="4E5053"/>
                <w:sz w:val="20"/>
                <w:szCs w:val="20"/>
                <w:lang w:val="en-US"/>
              </w:rPr>
              <w:br/>
              <w:t xml:space="preserve">Week 6a: 0.70 </w:t>
            </w:r>
            <w:r w:rsidRPr="0066602A">
              <w:rPr>
                <w:rFonts w:cstheme="minorHAnsi"/>
                <w:color w:val="4E5053"/>
                <w:sz w:val="20"/>
                <w:szCs w:val="20"/>
                <w:lang w:val="en-US"/>
              </w:rPr>
              <w:br/>
              <w:t>Week 12a: 2.88</w:t>
            </w:r>
            <w:r w:rsidRPr="0066602A">
              <w:rPr>
                <w:rFonts w:cstheme="minorHAnsi"/>
                <w:color w:val="4E5053"/>
                <w:sz w:val="20"/>
                <w:szCs w:val="20"/>
                <w:lang w:val="en-US"/>
              </w:rPr>
              <w:br/>
              <w:t>Week 24a: 1.39</w:t>
            </w:r>
            <w:r w:rsidRPr="0066602A">
              <w:rPr>
                <w:rFonts w:cstheme="minorHAnsi"/>
                <w:color w:val="4E5053"/>
                <w:sz w:val="20"/>
                <w:szCs w:val="20"/>
                <w:lang w:val="en-US"/>
              </w:rPr>
              <w:br/>
              <w:t>Week 48a: 7.52 ( p&lt;0.05)</w:t>
            </w:r>
            <w:r w:rsidRPr="0066602A">
              <w:rPr>
                <w:rFonts w:cstheme="minorHAnsi"/>
                <w:color w:val="4E5053"/>
                <w:sz w:val="20"/>
                <w:szCs w:val="20"/>
                <w:lang w:val="en-US"/>
              </w:rPr>
              <w:br/>
            </w:r>
            <w:r w:rsidRPr="0066602A">
              <w:rPr>
                <w:rFonts w:cstheme="minorHAnsi"/>
                <w:b/>
                <w:bCs w:val="0"/>
                <w:color w:val="4E5053"/>
                <w:sz w:val="20"/>
                <w:szCs w:val="20"/>
                <w:lang w:val="en-US"/>
              </w:rPr>
              <w:lastRenderedPageBreak/>
              <w:t>Pittsburgh Sleep Quality Index (PSQI):</w:t>
            </w:r>
            <w:r w:rsidRPr="0066602A">
              <w:rPr>
                <w:rFonts w:cstheme="minorHAnsi"/>
                <w:color w:val="4E5053"/>
                <w:sz w:val="20"/>
                <w:szCs w:val="20"/>
                <w:lang w:val="en-US"/>
              </w:rPr>
              <w:br/>
              <w:t>Week 6a: 0.75</w:t>
            </w:r>
            <w:r w:rsidRPr="0066602A">
              <w:rPr>
                <w:rFonts w:cstheme="minorHAnsi"/>
                <w:color w:val="4E5053"/>
                <w:sz w:val="20"/>
                <w:szCs w:val="20"/>
                <w:lang w:val="en-US"/>
              </w:rPr>
              <w:br/>
              <w:t>Week 12a: −0.56</w:t>
            </w:r>
            <w:r w:rsidRPr="0066602A">
              <w:rPr>
                <w:rFonts w:cstheme="minorHAnsi"/>
                <w:color w:val="4E5053"/>
                <w:sz w:val="20"/>
                <w:szCs w:val="20"/>
                <w:lang w:val="en-US"/>
              </w:rPr>
              <w:br/>
              <w:t>Week 24a: −0.66</w:t>
            </w:r>
            <w:r w:rsidRPr="0066602A">
              <w:rPr>
                <w:rFonts w:cstheme="minorHAnsi"/>
                <w:color w:val="4E5053"/>
                <w:sz w:val="20"/>
                <w:szCs w:val="20"/>
                <w:lang w:val="en-US"/>
              </w:rPr>
              <w:br/>
              <w:t>Week 48a: 0.40</w:t>
            </w:r>
            <w:r w:rsidRPr="0066602A">
              <w:rPr>
                <w:rFonts w:cstheme="minorHAnsi"/>
                <w:color w:val="4E5053"/>
                <w:sz w:val="20"/>
                <w:szCs w:val="20"/>
                <w:lang w:val="en-US"/>
              </w:rPr>
              <w:br/>
            </w:r>
            <w:proofErr w:type="spellStart"/>
            <w:r w:rsidRPr="0066602A">
              <w:rPr>
                <w:rFonts w:cstheme="minorHAnsi"/>
                <w:color w:val="4E5053"/>
                <w:sz w:val="20"/>
                <w:szCs w:val="20"/>
                <w:lang w:val="en-US"/>
              </w:rPr>
              <w:t>aBaseline</w:t>
            </w:r>
            <w:proofErr w:type="spellEnd"/>
            <w:r w:rsidRPr="0066602A">
              <w:rPr>
                <w:rFonts w:cstheme="minorHAnsi"/>
                <w:color w:val="4E5053"/>
                <w:sz w:val="20"/>
                <w:szCs w:val="20"/>
                <w:lang w:val="en-US"/>
              </w:rPr>
              <w:t xml:space="preserve"> values used controls.</w:t>
            </w:r>
          </w:p>
        </w:tc>
      </w:tr>
      <w:tr w:rsidR="002406D8" w:rsidRPr="0066602A" w14:paraId="2FA1950A"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6F9F62EA"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lastRenderedPageBreak/>
              <w:t>Chen, 2020</w:t>
            </w:r>
          </w:p>
          <w:p w14:paraId="50A2B121"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USA</w:t>
            </w:r>
          </w:p>
          <w:p w14:paraId="0C721E3A"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Prospective observational study, 6 Months (4 timepoints), Enrolled January 2008 – June 2012</w:t>
            </w:r>
          </w:p>
        </w:tc>
        <w:tc>
          <w:tcPr>
            <w:tcW w:w="550" w:type="pct"/>
          </w:tcPr>
          <w:p w14:paraId="10FE4561"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54 cancer patients and their partners (n=108)</w:t>
            </w:r>
          </w:p>
        </w:tc>
        <w:tc>
          <w:tcPr>
            <w:tcW w:w="596" w:type="pct"/>
          </w:tcPr>
          <w:p w14:paraId="05B85775"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Patient</w:t>
            </w:r>
          </w:p>
          <w:p w14:paraId="0BFFE658"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65%</w:t>
            </w:r>
          </w:p>
          <w:p w14:paraId="7334725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35%</w:t>
            </w:r>
          </w:p>
          <w:p w14:paraId="3E13728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62</w:t>
            </w:r>
          </w:p>
          <w:p w14:paraId="0B1DC03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Caregiver</w:t>
            </w:r>
          </w:p>
          <w:p w14:paraId="0F640501"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-29%</w:t>
            </w:r>
          </w:p>
          <w:p w14:paraId="0B20B6FB"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71%</w:t>
            </w:r>
          </w:p>
          <w:p w14:paraId="011876D5"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 xml:space="preserve">Mean – 55 </w:t>
            </w:r>
          </w:p>
        </w:tc>
        <w:tc>
          <w:tcPr>
            <w:tcW w:w="726" w:type="pct"/>
          </w:tcPr>
          <w:p w14:paraId="22936CF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Hepatocellular or </w:t>
            </w:r>
            <w:proofErr w:type="spellStart"/>
            <w:r w:rsidRPr="0066602A">
              <w:rPr>
                <w:rFonts w:cstheme="minorHAnsi"/>
                <w:color w:val="4E5053"/>
                <w:sz w:val="20"/>
                <w:szCs w:val="20"/>
                <w:lang w:val="en-US"/>
              </w:rPr>
              <w:t>Cholangio</w:t>
            </w:r>
            <w:proofErr w:type="spellEnd"/>
            <w:r w:rsidRPr="0066602A">
              <w:rPr>
                <w:rFonts w:cstheme="minorHAnsi"/>
                <w:color w:val="4E5053"/>
                <w:sz w:val="20"/>
                <w:szCs w:val="20"/>
                <w:lang w:val="en-US"/>
              </w:rPr>
              <w:t xml:space="preserve"> Carcinoma: 36 (67%)</w:t>
            </w:r>
            <w:r w:rsidRPr="0066602A">
              <w:rPr>
                <w:rFonts w:cstheme="minorHAnsi"/>
                <w:color w:val="4E5053"/>
                <w:sz w:val="20"/>
                <w:szCs w:val="20"/>
                <w:lang w:val="en-US"/>
              </w:rPr>
              <w:br/>
              <w:t>Colorectal with liver metastases: 6 (11%)</w:t>
            </w:r>
            <w:r w:rsidRPr="0066602A">
              <w:rPr>
                <w:rFonts w:cstheme="minorHAnsi"/>
                <w:color w:val="4E5053"/>
                <w:sz w:val="20"/>
                <w:szCs w:val="20"/>
                <w:lang w:val="en-US"/>
              </w:rPr>
              <w:br/>
              <w:t>Other: 12 (22%)</w:t>
            </w:r>
          </w:p>
        </w:tc>
        <w:tc>
          <w:tcPr>
            <w:tcW w:w="828" w:type="pct"/>
          </w:tcPr>
          <w:p w14:paraId="0CC84AA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Regional chemo/90Y (radiation): 41 (76%)</w:t>
            </w:r>
            <w:r w:rsidRPr="0066602A">
              <w:rPr>
                <w:rFonts w:cstheme="minorHAnsi"/>
                <w:color w:val="4E5053"/>
                <w:sz w:val="20"/>
                <w:szCs w:val="20"/>
                <w:lang w:val="en-US"/>
              </w:rPr>
              <w:br/>
              <w:t>Radiofrequency ablation/resection: 13 (24%)</w:t>
            </w:r>
          </w:p>
        </w:tc>
        <w:tc>
          <w:tcPr>
            <w:tcW w:w="1474" w:type="pct"/>
          </w:tcPr>
          <w:p w14:paraId="7AE49E80"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&gt; Global sleep quality:</w:t>
            </w:r>
            <w:r w:rsidRPr="0066602A">
              <w:rPr>
                <w:rFonts w:cstheme="minorHAnsi"/>
                <w:color w:val="4E5053"/>
                <w:sz w:val="20"/>
                <w:szCs w:val="20"/>
                <w:lang w:val="en-US"/>
              </w:rPr>
              <w:br/>
              <w:t>Time 1: 0.18</w:t>
            </w:r>
            <w:r w:rsidRPr="0066602A">
              <w:rPr>
                <w:rFonts w:cstheme="minorHAnsi"/>
                <w:color w:val="4E5053"/>
                <w:sz w:val="20"/>
                <w:szCs w:val="20"/>
                <w:lang w:val="en-US"/>
              </w:rPr>
              <w:br/>
              <w:t>Time 2: -0.25</w:t>
            </w:r>
            <w:r w:rsidRPr="0066602A">
              <w:rPr>
                <w:rFonts w:cstheme="minorHAnsi"/>
                <w:color w:val="4E5053"/>
                <w:sz w:val="20"/>
                <w:szCs w:val="20"/>
                <w:lang w:val="en-US"/>
              </w:rPr>
              <w:br/>
              <w:t>Time 3: 0.12</w:t>
            </w:r>
            <w:r w:rsidRPr="0066602A">
              <w:rPr>
                <w:rFonts w:cstheme="minorHAnsi"/>
                <w:color w:val="4E5053"/>
                <w:sz w:val="20"/>
                <w:szCs w:val="20"/>
                <w:lang w:val="en-US"/>
              </w:rPr>
              <w:br/>
              <w:t>Time 4: 0.31</w:t>
            </w:r>
            <w:r w:rsidRPr="0066602A">
              <w:rPr>
                <w:rFonts w:cstheme="minorHAnsi"/>
                <w:color w:val="4E5053"/>
                <w:sz w:val="20"/>
                <w:szCs w:val="20"/>
                <w:lang w:val="en-US"/>
              </w:rPr>
              <w:br/>
              <w:t xml:space="preserve">&gt; The patients reported a mean sleep duration of 6.47 h (SD=2.1) and an average sleep latency of 21.9 min (SD=25.9); 12% reported a sleep latency of &gt;30 min three or more times per week. </w:t>
            </w:r>
          </w:p>
        </w:tc>
      </w:tr>
      <w:tr w:rsidR="002406D8" w:rsidRPr="0066602A" w14:paraId="267622EF"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64DF7E84"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Clevenger, 2013</w:t>
            </w:r>
          </w:p>
          <w:p w14:paraId="6D057EA5"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NR</w:t>
            </w:r>
          </w:p>
          <w:p w14:paraId="06D860FA"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Prospective, Longitudinal study, 1 year</w:t>
            </w:r>
          </w:p>
        </w:tc>
        <w:tc>
          <w:tcPr>
            <w:tcW w:w="550" w:type="pct"/>
          </w:tcPr>
          <w:p w14:paraId="360D12FD"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Before surgery: 173</w:t>
            </w:r>
          </w:p>
          <w:p w14:paraId="2E9E4848"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sz w:val="20"/>
                <w:szCs w:val="20"/>
                <w:lang w:val="en-US"/>
              </w:rPr>
              <w:t>6-month follow-up: 119</w:t>
            </w:r>
            <w:r w:rsidRPr="0066602A">
              <w:rPr>
                <w:sz w:val="20"/>
                <w:szCs w:val="20"/>
                <w:lang w:val="en-US"/>
              </w:rPr>
              <w:br/>
              <w:t>1-year follow-up: 108</w:t>
            </w:r>
          </w:p>
        </w:tc>
        <w:tc>
          <w:tcPr>
            <w:tcW w:w="596" w:type="pct"/>
          </w:tcPr>
          <w:p w14:paraId="0947B9DE"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1FB2269C"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59.39</w:t>
            </w:r>
          </w:p>
        </w:tc>
        <w:tc>
          <w:tcPr>
            <w:tcW w:w="726" w:type="pct"/>
          </w:tcPr>
          <w:p w14:paraId="107FE18D"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Ovarian: 173 (100%)</w:t>
            </w:r>
          </w:p>
        </w:tc>
        <w:tc>
          <w:tcPr>
            <w:tcW w:w="828" w:type="pct"/>
          </w:tcPr>
          <w:p w14:paraId="14FC9E84"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color w:val="4E5053"/>
                <w:sz w:val="20"/>
                <w:szCs w:val="20"/>
                <w:lang w:val="en-US"/>
              </w:rPr>
              <w:t>Medication use before surgery</w:t>
            </w:r>
            <w:r w:rsidRPr="0066602A">
              <w:rPr>
                <w:rFonts w:cstheme="minorHAnsi"/>
                <w:color w:val="4E5053"/>
                <w:sz w:val="20"/>
                <w:szCs w:val="20"/>
                <w:lang w:val="en-US"/>
              </w:rPr>
              <w:br/>
              <w:t>Hypnotics: 11.8%</w:t>
            </w:r>
            <w:r w:rsidRPr="0066602A">
              <w:rPr>
                <w:rFonts w:cstheme="minorHAnsi"/>
                <w:color w:val="4E5053"/>
                <w:sz w:val="20"/>
                <w:szCs w:val="20"/>
                <w:lang w:val="en-US"/>
              </w:rPr>
              <w:br/>
              <w:t>Antidepressants: 22.6%</w:t>
            </w:r>
            <w:r w:rsidRPr="0066602A">
              <w:rPr>
                <w:rFonts w:cstheme="minorHAnsi"/>
                <w:color w:val="4E5053"/>
                <w:sz w:val="20"/>
                <w:szCs w:val="20"/>
                <w:lang w:val="en-US"/>
              </w:rPr>
              <w:br/>
              <w:t>Anxiolytics: 12.4%</w:t>
            </w:r>
            <w:r w:rsidRPr="0066602A">
              <w:rPr>
                <w:rFonts w:cstheme="minorHAnsi"/>
                <w:color w:val="4E5053"/>
                <w:sz w:val="20"/>
                <w:szCs w:val="20"/>
                <w:lang w:val="en-US"/>
              </w:rPr>
              <w:br/>
              <w:t>Pain medications: 23.1%</w:t>
            </w:r>
            <w:r w:rsidRPr="0066602A">
              <w:rPr>
                <w:rFonts w:cstheme="minorHAnsi"/>
                <w:color w:val="4E5053"/>
                <w:sz w:val="20"/>
                <w:szCs w:val="20"/>
                <w:lang w:val="en-US"/>
              </w:rPr>
              <w:br/>
            </w:r>
            <w:r w:rsidRPr="0066602A">
              <w:rPr>
                <w:rFonts w:cstheme="minorHAnsi"/>
                <w:b/>
                <w:bCs w:val="0"/>
                <w:color w:val="4E5053"/>
                <w:sz w:val="20"/>
                <w:szCs w:val="20"/>
                <w:lang w:val="en-US"/>
              </w:rPr>
              <w:t>Medication use at 6 months</w:t>
            </w:r>
            <w:r w:rsidRPr="0066602A">
              <w:rPr>
                <w:rFonts w:cstheme="minorHAnsi"/>
                <w:b/>
                <w:bCs w:val="0"/>
                <w:color w:val="4E5053"/>
                <w:sz w:val="20"/>
                <w:szCs w:val="20"/>
                <w:lang w:val="en-US"/>
              </w:rPr>
              <w:br/>
            </w:r>
            <w:r w:rsidRPr="0066602A">
              <w:rPr>
                <w:rFonts w:cstheme="minorHAnsi"/>
                <w:color w:val="4E5053"/>
                <w:sz w:val="20"/>
                <w:szCs w:val="20"/>
                <w:lang w:val="en-US"/>
              </w:rPr>
              <w:t>Hypnotics: 11.3%</w:t>
            </w:r>
            <w:r w:rsidRPr="0066602A">
              <w:rPr>
                <w:rFonts w:cstheme="minorHAnsi"/>
                <w:color w:val="4E5053"/>
                <w:sz w:val="20"/>
                <w:szCs w:val="20"/>
                <w:lang w:val="en-US"/>
              </w:rPr>
              <w:br/>
              <w:t>Antidepressants: 12.9%</w:t>
            </w:r>
            <w:r w:rsidRPr="0066602A">
              <w:rPr>
                <w:rFonts w:cstheme="minorHAnsi"/>
                <w:color w:val="4E5053"/>
                <w:sz w:val="20"/>
                <w:szCs w:val="20"/>
                <w:lang w:val="en-US"/>
              </w:rPr>
              <w:br/>
              <w:t>Anxiolytics: 8.6%</w:t>
            </w:r>
            <w:r w:rsidRPr="0066602A">
              <w:rPr>
                <w:rFonts w:cstheme="minorHAnsi"/>
                <w:color w:val="4E5053"/>
                <w:sz w:val="20"/>
                <w:szCs w:val="20"/>
                <w:lang w:val="en-US"/>
              </w:rPr>
              <w:br/>
              <w:t>Pain medications: 17.7%</w:t>
            </w:r>
            <w:r w:rsidRPr="0066602A">
              <w:rPr>
                <w:rFonts w:cstheme="minorHAnsi"/>
                <w:color w:val="4E5053"/>
                <w:sz w:val="20"/>
                <w:szCs w:val="20"/>
                <w:lang w:val="en-US"/>
              </w:rPr>
              <w:br/>
            </w:r>
            <w:r w:rsidRPr="0066602A">
              <w:rPr>
                <w:rFonts w:cstheme="minorHAnsi"/>
                <w:b/>
                <w:bCs w:val="0"/>
                <w:color w:val="4E5053"/>
                <w:sz w:val="20"/>
                <w:szCs w:val="20"/>
                <w:lang w:val="en-US"/>
              </w:rPr>
              <w:t>Medication use at 1 year</w:t>
            </w:r>
            <w:r w:rsidRPr="0066602A">
              <w:rPr>
                <w:rFonts w:cstheme="minorHAnsi"/>
                <w:color w:val="4E5053"/>
                <w:sz w:val="20"/>
                <w:szCs w:val="20"/>
                <w:lang w:val="en-US"/>
              </w:rPr>
              <w:br/>
              <w:t>Hypnotics: 9.3%</w:t>
            </w:r>
            <w:r w:rsidRPr="0066602A">
              <w:rPr>
                <w:rFonts w:cstheme="minorHAnsi"/>
                <w:color w:val="4E5053"/>
                <w:sz w:val="20"/>
                <w:szCs w:val="20"/>
                <w:lang w:val="en-US"/>
              </w:rPr>
              <w:br/>
              <w:t>Antidepressants: 25.8%</w:t>
            </w:r>
            <w:r w:rsidRPr="0066602A">
              <w:rPr>
                <w:rFonts w:cstheme="minorHAnsi"/>
                <w:color w:val="4E5053"/>
                <w:sz w:val="20"/>
                <w:szCs w:val="20"/>
                <w:lang w:val="en-US"/>
              </w:rPr>
              <w:br/>
              <w:t>Anxiolytics: 13.4%</w:t>
            </w:r>
            <w:r w:rsidRPr="0066602A">
              <w:rPr>
                <w:rFonts w:cstheme="minorHAnsi"/>
                <w:color w:val="4E5053"/>
                <w:sz w:val="20"/>
                <w:szCs w:val="20"/>
                <w:lang w:val="en-US"/>
              </w:rPr>
              <w:br/>
              <w:t>Pain medications: 28.9%</w:t>
            </w:r>
          </w:p>
        </w:tc>
        <w:tc>
          <w:tcPr>
            <w:tcW w:w="1474" w:type="pct"/>
          </w:tcPr>
          <w:p w14:paraId="3A59DB9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 xml:space="preserve">&gt; </w:t>
            </w:r>
            <w:r w:rsidRPr="0066602A">
              <w:rPr>
                <w:rFonts w:cstheme="minorHAnsi"/>
                <w:b/>
                <w:bCs w:val="0"/>
                <w:color w:val="4E5053"/>
                <w:sz w:val="20"/>
                <w:szCs w:val="20"/>
                <w:lang w:val="en-US"/>
              </w:rPr>
              <w:t>Prior to surgery,</w:t>
            </w:r>
            <w:r w:rsidRPr="0066602A">
              <w:rPr>
                <w:rFonts w:cstheme="minorHAnsi"/>
                <w:color w:val="4E5053"/>
                <w:sz w:val="20"/>
                <w:szCs w:val="20"/>
                <w:lang w:val="en-US"/>
              </w:rPr>
              <w:t xml:space="preserve"> 70.7% of patients reported disturbed global sleep (PSQI &gt;5); of these patients, 24.3% reported global sleep poor enough to be rated “clinically impaired” (PSQI ≥10). </w:t>
            </w:r>
            <w:r w:rsidRPr="0066602A">
              <w:rPr>
                <w:rFonts w:cstheme="minorHAnsi"/>
                <w:color w:val="4E5053"/>
                <w:sz w:val="20"/>
                <w:szCs w:val="20"/>
                <w:lang w:val="en-US"/>
              </w:rPr>
              <w:br/>
              <w:t xml:space="preserve">&gt; </w:t>
            </w:r>
            <w:r w:rsidRPr="0066602A">
              <w:rPr>
                <w:rFonts w:cstheme="minorHAnsi"/>
                <w:b/>
                <w:bCs w:val="0"/>
                <w:color w:val="4E5053"/>
                <w:sz w:val="20"/>
                <w:szCs w:val="20"/>
                <w:lang w:val="en-US"/>
              </w:rPr>
              <w:t>6 months after surgery</w:t>
            </w:r>
            <w:r w:rsidRPr="0066602A">
              <w:rPr>
                <w:rFonts w:cstheme="minorHAnsi"/>
                <w:color w:val="4E5053"/>
                <w:sz w:val="20"/>
                <w:szCs w:val="20"/>
                <w:lang w:val="en-US"/>
              </w:rPr>
              <w:t xml:space="preserve"> PSQI &gt;5: 58%PSQI ≥10: 14.3%. </w:t>
            </w:r>
            <w:r w:rsidRPr="0066602A">
              <w:rPr>
                <w:rFonts w:cstheme="minorHAnsi"/>
                <w:color w:val="4E5053"/>
                <w:sz w:val="20"/>
                <w:szCs w:val="20"/>
                <w:lang w:val="en-US"/>
              </w:rPr>
              <w:br/>
              <w:t xml:space="preserve">&gt; </w:t>
            </w:r>
            <w:r w:rsidRPr="0066602A">
              <w:rPr>
                <w:rFonts w:cstheme="minorHAnsi"/>
                <w:b/>
                <w:bCs w:val="0"/>
                <w:color w:val="4E5053"/>
                <w:sz w:val="20"/>
                <w:szCs w:val="20"/>
                <w:lang w:val="en-US"/>
              </w:rPr>
              <w:t>1 year after surgery,</w:t>
            </w:r>
          </w:p>
          <w:p w14:paraId="2449D4B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PSQI &gt;5: 64.8%</w:t>
            </w:r>
          </w:p>
          <w:p w14:paraId="3F727EC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PSQI ≥10: 19.4% </w:t>
            </w:r>
          </w:p>
        </w:tc>
      </w:tr>
      <w:tr w:rsidR="002406D8" w:rsidRPr="0066602A" w14:paraId="26D81CCC"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1D26FCB9"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lastRenderedPageBreak/>
              <w:t>Dean, 2015</w:t>
            </w:r>
          </w:p>
          <w:p w14:paraId="7BBA0D23"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USA</w:t>
            </w:r>
          </w:p>
          <w:p w14:paraId="2B96DFF1"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Prospective, longitudinal design, ~21 days</w:t>
            </w:r>
          </w:p>
        </w:tc>
        <w:tc>
          <w:tcPr>
            <w:tcW w:w="550" w:type="pct"/>
          </w:tcPr>
          <w:p w14:paraId="5619ED80"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29</w:t>
            </w:r>
          </w:p>
        </w:tc>
        <w:tc>
          <w:tcPr>
            <w:tcW w:w="596" w:type="pct"/>
          </w:tcPr>
          <w:p w14:paraId="3BB9363F"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62%</w:t>
            </w:r>
          </w:p>
          <w:p w14:paraId="4B62D432"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38%</w:t>
            </w:r>
          </w:p>
          <w:p w14:paraId="29735CAE"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66.6</w:t>
            </w:r>
          </w:p>
        </w:tc>
        <w:tc>
          <w:tcPr>
            <w:tcW w:w="726" w:type="pct"/>
          </w:tcPr>
          <w:p w14:paraId="49B742DF"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Lung: 29 (100%)</w:t>
            </w:r>
          </w:p>
        </w:tc>
        <w:tc>
          <w:tcPr>
            <w:tcW w:w="828" w:type="pct"/>
          </w:tcPr>
          <w:p w14:paraId="168D3FAE"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Chemotherapy: 29 (100%)</w:t>
            </w:r>
            <w:r w:rsidRPr="0066602A">
              <w:rPr>
                <w:rFonts w:cstheme="minorHAnsi"/>
                <w:color w:val="4E5053"/>
                <w:sz w:val="20"/>
                <w:szCs w:val="20"/>
                <w:lang w:val="en-US"/>
              </w:rPr>
              <w:br/>
              <w:t>Radiation therapy: 15 (51.7%)</w:t>
            </w:r>
          </w:p>
        </w:tc>
        <w:tc>
          <w:tcPr>
            <w:tcW w:w="1474" w:type="pct"/>
          </w:tcPr>
          <w:p w14:paraId="43D0A172"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Sleep duration less than 6 hours:</w:t>
            </w:r>
          </w:p>
          <w:p w14:paraId="35CE64D6"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Baseline: 45%</w:t>
            </w:r>
          </w:p>
          <w:p w14:paraId="49FF381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Pre-second chemotherapy: 35%</w:t>
            </w:r>
          </w:p>
          <w:p w14:paraId="5F1795BB"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pre-third chemotherapy: 37% </w:t>
            </w:r>
          </w:p>
        </w:tc>
      </w:tr>
      <w:tr w:rsidR="002406D8" w:rsidRPr="0066602A" w14:paraId="1DFA8A66"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4BD58D3C"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Fleming, 2019</w:t>
            </w:r>
          </w:p>
          <w:p w14:paraId="5A980971"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Scotland</w:t>
            </w:r>
          </w:p>
          <w:p w14:paraId="15AF1B4E"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A prospective observational quantitative study, 12 months</w:t>
            </w:r>
          </w:p>
        </w:tc>
        <w:tc>
          <w:tcPr>
            <w:tcW w:w="550" w:type="pct"/>
          </w:tcPr>
          <w:p w14:paraId="79B73E5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173</w:t>
            </w:r>
          </w:p>
        </w:tc>
        <w:tc>
          <w:tcPr>
            <w:tcW w:w="596" w:type="pct"/>
          </w:tcPr>
          <w:p w14:paraId="05DFD352"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76BAB558"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58</w:t>
            </w:r>
          </w:p>
        </w:tc>
        <w:tc>
          <w:tcPr>
            <w:tcW w:w="726" w:type="pct"/>
          </w:tcPr>
          <w:p w14:paraId="73CBF8E3"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cancer: 173 (100%)</w:t>
            </w:r>
          </w:p>
        </w:tc>
        <w:tc>
          <w:tcPr>
            <w:tcW w:w="828" w:type="pct"/>
          </w:tcPr>
          <w:p w14:paraId="7318097C"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NA</w:t>
            </w:r>
          </w:p>
        </w:tc>
        <w:tc>
          <w:tcPr>
            <w:tcW w:w="1474" w:type="pct"/>
          </w:tcPr>
          <w:p w14:paraId="7C30BEF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 xml:space="preserve"> </w:t>
            </w:r>
            <w:r w:rsidRPr="0066602A">
              <w:rPr>
                <w:rFonts w:cstheme="minorHAnsi"/>
                <w:b/>
                <w:bCs w:val="0"/>
                <w:color w:val="4E5053"/>
                <w:sz w:val="20"/>
                <w:szCs w:val="20"/>
                <w:lang w:val="en-US"/>
              </w:rPr>
              <w:t>Pre-diagnosis (n=173):</w:t>
            </w:r>
          </w:p>
          <w:p w14:paraId="751B4A12"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syndrome= 8.1%, symptoms: 16.8%</w:t>
            </w:r>
          </w:p>
          <w:p w14:paraId="32F578D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Month 0 (n=78):</w:t>
            </w:r>
          </w:p>
          <w:p w14:paraId="0E2ABEE2"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syndrome: 17.9%, symptoms: 28.2%</w:t>
            </w:r>
            <w:r w:rsidRPr="0066602A">
              <w:rPr>
                <w:rFonts w:cstheme="minorHAnsi"/>
                <w:color w:val="4E5053"/>
                <w:sz w:val="20"/>
                <w:szCs w:val="20"/>
                <w:lang w:val="en-US"/>
              </w:rPr>
              <w:br/>
            </w:r>
            <w:r w:rsidRPr="0066602A">
              <w:rPr>
                <w:rFonts w:cstheme="minorHAnsi"/>
                <w:b/>
                <w:bCs w:val="0"/>
                <w:color w:val="4E5053"/>
                <w:sz w:val="20"/>
                <w:szCs w:val="20"/>
                <w:lang w:val="en-US"/>
              </w:rPr>
              <w:t>Month 1 (n=76):</w:t>
            </w:r>
          </w:p>
          <w:p w14:paraId="18E99C9A"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color w:val="4E5053"/>
                <w:sz w:val="20"/>
                <w:szCs w:val="20"/>
                <w:lang w:val="en-US"/>
              </w:rPr>
              <w:t>syndrome: 19.7%, symptoms: 32.9%</w:t>
            </w:r>
            <w:r w:rsidRPr="0066602A">
              <w:rPr>
                <w:rFonts w:cstheme="minorHAnsi"/>
                <w:color w:val="4E5053"/>
                <w:sz w:val="20"/>
                <w:szCs w:val="20"/>
                <w:lang w:val="en-US"/>
              </w:rPr>
              <w:br/>
            </w:r>
            <w:r w:rsidRPr="0066602A">
              <w:rPr>
                <w:rFonts w:cstheme="minorHAnsi"/>
                <w:b/>
                <w:bCs w:val="0"/>
                <w:color w:val="4E5053"/>
                <w:sz w:val="20"/>
                <w:szCs w:val="20"/>
                <w:lang w:val="en-US"/>
              </w:rPr>
              <w:t>Month 7 (n=164)</w:t>
            </w:r>
          </w:p>
          <w:p w14:paraId="552971C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color w:val="4E5053"/>
                <w:sz w:val="20"/>
                <w:szCs w:val="20"/>
                <w:lang w:val="en-US"/>
              </w:rPr>
              <w:t>syndrome: 20.4%, symptoms: 32.3%</w:t>
            </w:r>
          </w:p>
          <w:p w14:paraId="31FE8AC1"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Month 12 (n=162):</w:t>
            </w:r>
          </w:p>
          <w:p w14:paraId="0D1DCF14"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color w:val="4E5053"/>
                <w:sz w:val="20"/>
                <w:szCs w:val="20"/>
                <w:lang w:val="en-US"/>
              </w:rPr>
              <w:t>syndrome: 18.5%, symptoms: 28.4%.</w:t>
            </w:r>
          </w:p>
          <w:p w14:paraId="4B9DF840"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color w:val="4E5053"/>
                <w:sz w:val="20"/>
                <w:szCs w:val="20"/>
                <w:lang w:val="en-US"/>
              </w:rPr>
              <w:t xml:space="preserve">&gt; In terms of incidence, 64.7% (n=44) reported being good sleeper (GS) at pre-diagnosis. However, 77.3% (6.3%) of these had a first incidence of insomnia (where ISI score &gt; 7) at some point during the 12-month study period. </w:t>
            </w:r>
            <w:r w:rsidRPr="0066602A">
              <w:rPr>
                <w:rFonts w:cstheme="minorHAnsi"/>
                <w:color w:val="4E5053"/>
                <w:sz w:val="20"/>
                <w:szCs w:val="20"/>
                <w:lang w:val="en-US"/>
              </w:rPr>
              <w:br/>
              <w:t>&gt; In terms of remission, 55.9% of the total cohort (n=38) developed insomnia at some point over the assessment period (inc. the pre-diagnosis assessment</w:t>
            </w:r>
            <w:proofErr w:type="gramStart"/>
            <w:r w:rsidRPr="0066602A">
              <w:rPr>
                <w:rFonts w:cstheme="minorHAnsi"/>
                <w:color w:val="4E5053"/>
                <w:sz w:val="20"/>
                <w:szCs w:val="20"/>
                <w:lang w:val="en-US"/>
              </w:rPr>
              <w:t>).Of</w:t>
            </w:r>
            <w:proofErr w:type="gramEnd"/>
            <w:r w:rsidRPr="0066602A">
              <w:rPr>
                <w:rFonts w:cstheme="minorHAnsi"/>
                <w:color w:val="4E5053"/>
                <w:sz w:val="20"/>
                <w:szCs w:val="20"/>
                <w:lang w:val="en-US"/>
              </w:rPr>
              <w:t xml:space="preserve"> these patients, 44.8% (8.1%) experienced a subsequent insomnia remission. </w:t>
            </w:r>
            <w:r w:rsidRPr="0066602A">
              <w:rPr>
                <w:rFonts w:cstheme="minorHAnsi"/>
                <w:color w:val="4E5053"/>
                <w:sz w:val="20"/>
                <w:szCs w:val="20"/>
                <w:lang w:val="en-US"/>
              </w:rPr>
              <w:br/>
              <w:t xml:space="preserve">&gt; Of these, 106 developed </w:t>
            </w:r>
            <w:proofErr w:type="gramStart"/>
            <w:r w:rsidRPr="0066602A">
              <w:rPr>
                <w:rFonts w:cstheme="minorHAnsi"/>
                <w:color w:val="4E5053"/>
                <w:sz w:val="20"/>
                <w:szCs w:val="20"/>
                <w:lang w:val="en-US"/>
              </w:rPr>
              <w:t>insomnia</w:t>
            </w:r>
            <w:proofErr w:type="gramEnd"/>
            <w:r w:rsidRPr="0066602A">
              <w:rPr>
                <w:rFonts w:cstheme="minorHAnsi"/>
                <w:color w:val="4E5053"/>
                <w:sz w:val="20"/>
                <w:szCs w:val="20"/>
                <w:lang w:val="en-US"/>
              </w:rPr>
              <w:t xml:space="preserve"> at some point and insomnia persisted for a median of 4 months (95% confidence interval [CI] 2–6 months). </w:t>
            </w:r>
            <w:r w:rsidRPr="0066602A">
              <w:rPr>
                <w:rFonts w:cstheme="minorHAnsi"/>
                <w:color w:val="4E5053"/>
                <w:sz w:val="20"/>
                <w:szCs w:val="20"/>
                <w:lang w:val="en-US"/>
              </w:rPr>
              <w:br/>
              <w:t xml:space="preserve">&gt; 71 (54%) patients experienced insomnia remission at some point during the study. Median remission duration: 9 months (95% CI 2–9 months). </w:t>
            </w:r>
            <w:r w:rsidRPr="0066602A">
              <w:rPr>
                <w:rFonts w:cstheme="minorHAnsi"/>
                <w:color w:val="4E5053"/>
                <w:sz w:val="20"/>
                <w:szCs w:val="20"/>
                <w:lang w:val="en-US"/>
              </w:rPr>
              <w:br/>
              <w:t xml:space="preserve">&gt; At every time interval, except of pre-diagnosis to month 0, the most common sleep status </w:t>
            </w:r>
            <w:r w:rsidRPr="0066602A">
              <w:rPr>
                <w:rFonts w:cstheme="minorHAnsi"/>
                <w:color w:val="4E5053"/>
                <w:sz w:val="20"/>
                <w:szCs w:val="20"/>
                <w:lang w:val="en-US"/>
              </w:rPr>
              <w:lastRenderedPageBreak/>
              <w:t>transitions are either to persist with insomnia or to remain a good sleeper.</w:t>
            </w:r>
            <w:r w:rsidRPr="0066602A">
              <w:rPr>
                <w:rFonts w:cstheme="minorHAnsi"/>
                <w:color w:val="4E5053"/>
                <w:sz w:val="20"/>
                <w:szCs w:val="20"/>
                <w:lang w:val="en-US"/>
              </w:rPr>
              <w:br/>
            </w:r>
          </w:p>
          <w:p w14:paraId="06497BC1"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Key: (%) (SE)</w:t>
            </w:r>
          </w:p>
          <w:p w14:paraId="4C1D600C"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 xml:space="preserve">Rates for remaining a good sleeper (range) </w:t>
            </w:r>
            <w:r w:rsidRPr="0066602A">
              <w:rPr>
                <w:rFonts w:cstheme="minorHAnsi"/>
                <w:color w:val="4E5053"/>
                <w:sz w:val="20"/>
                <w:szCs w:val="20"/>
                <w:lang w:val="en-US"/>
              </w:rPr>
              <w:t xml:space="preserve">34.2% (5.4%) to 49.0% (4.0%). </w:t>
            </w:r>
            <w:r w:rsidRPr="0066602A">
              <w:rPr>
                <w:rFonts w:cstheme="minorHAnsi"/>
                <w:color w:val="4E5053"/>
                <w:sz w:val="20"/>
                <w:szCs w:val="20"/>
                <w:lang w:val="en-US"/>
              </w:rPr>
              <w:br/>
            </w:r>
            <w:r w:rsidRPr="0066602A">
              <w:rPr>
                <w:rFonts w:cstheme="minorHAnsi"/>
                <w:b/>
                <w:bCs w:val="0"/>
                <w:color w:val="4E5053"/>
                <w:sz w:val="20"/>
                <w:szCs w:val="20"/>
                <w:lang w:val="en-US"/>
              </w:rPr>
              <w:t xml:space="preserve">Rates for insomnia persistence (range) </w:t>
            </w:r>
            <w:r w:rsidRPr="0066602A">
              <w:rPr>
                <w:rFonts w:cstheme="minorHAnsi"/>
                <w:color w:val="4E5053"/>
                <w:sz w:val="20"/>
                <w:szCs w:val="20"/>
                <w:lang w:val="en-US"/>
              </w:rPr>
              <w:t xml:space="preserve">23.1% (4.8%) to 46.1% (3.9%) (from 40% (5.7%) to 46.1% excluding the pre-diagnosis to month 0 transition). </w:t>
            </w:r>
            <w:r w:rsidRPr="0066602A">
              <w:rPr>
                <w:rFonts w:cstheme="minorHAnsi"/>
                <w:color w:val="4E5053"/>
                <w:sz w:val="20"/>
                <w:szCs w:val="20"/>
                <w:lang w:val="en-US"/>
              </w:rPr>
              <w:br/>
            </w:r>
            <w:r w:rsidRPr="0066602A">
              <w:rPr>
                <w:rFonts w:cstheme="minorHAnsi"/>
                <w:b/>
                <w:bCs w:val="0"/>
                <w:color w:val="4E5053"/>
                <w:sz w:val="20"/>
                <w:szCs w:val="20"/>
                <w:lang w:val="en-US"/>
              </w:rPr>
              <w:t xml:space="preserve">Insomnia incidence rates (range) </w:t>
            </w:r>
            <w:r w:rsidRPr="0066602A">
              <w:rPr>
                <w:rFonts w:cstheme="minorHAnsi"/>
                <w:color w:val="4E5053"/>
                <w:sz w:val="20"/>
                <w:szCs w:val="20"/>
                <w:lang w:val="en-US"/>
              </w:rPr>
              <w:t xml:space="preserve">4.5% (1.7%) to 23.1% (4.8%) (from 4.8% (1.7%) to13.2% (3.9%) excluding the pre-diagnosis to month 0 transition) </w:t>
            </w:r>
            <w:r w:rsidRPr="0066602A">
              <w:rPr>
                <w:rFonts w:cstheme="minorHAnsi"/>
                <w:color w:val="4E5053"/>
                <w:sz w:val="20"/>
                <w:szCs w:val="20"/>
                <w:lang w:val="en-US"/>
              </w:rPr>
              <w:br/>
            </w:r>
            <w:r w:rsidRPr="0066602A">
              <w:rPr>
                <w:rFonts w:cstheme="minorHAnsi"/>
                <w:b/>
                <w:bCs w:val="0"/>
                <w:color w:val="4E5053"/>
                <w:sz w:val="20"/>
                <w:szCs w:val="20"/>
                <w:lang w:val="en-US"/>
              </w:rPr>
              <w:t xml:space="preserve">Rates for insomnia remission (range) </w:t>
            </w:r>
            <w:r w:rsidRPr="0066602A">
              <w:rPr>
                <w:rFonts w:cstheme="minorHAnsi"/>
                <w:color w:val="4E5053"/>
                <w:sz w:val="20"/>
                <w:szCs w:val="20"/>
                <w:lang w:val="en-US"/>
              </w:rPr>
              <w:t>3.8% (1.5%) to 11.2% (2.6%).</w:t>
            </w:r>
          </w:p>
        </w:tc>
      </w:tr>
      <w:tr w:rsidR="002406D8" w:rsidRPr="0066602A" w14:paraId="7147E6BA"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2F9C1CF5" w14:textId="77777777" w:rsidR="002406D8" w:rsidRPr="0066602A" w:rsidRDefault="002406D8" w:rsidP="00F90795">
            <w:pPr>
              <w:pStyle w:val="Table-Normal"/>
              <w:rPr>
                <w:rFonts w:cstheme="minorHAnsi"/>
                <w:bCs/>
                <w:sz w:val="20"/>
                <w:szCs w:val="20"/>
                <w:lang w:val="en-US"/>
              </w:rPr>
            </w:pPr>
            <w:proofErr w:type="spellStart"/>
            <w:r w:rsidRPr="0066602A">
              <w:rPr>
                <w:rFonts w:cstheme="minorHAnsi"/>
                <w:color w:val="4E5053"/>
                <w:sz w:val="20"/>
                <w:szCs w:val="20"/>
                <w:lang w:val="en-US"/>
              </w:rPr>
              <w:lastRenderedPageBreak/>
              <w:t>Mansano-Schosslet</w:t>
            </w:r>
            <w:proofErr w:type="spellEnd"/>
            <w:r w:rsidRPr="0066602A">
              <w:rPr>
                <w:rFonts w:cstheme="minorHAnsi"/>
                <w:color w:val="4E5053"/>
                <w:sz w:val="20"/>
                <w:szCs w:val="20"/>
                <w:lang w:val="en-US"/>
              </w:rPr>
              <w:t>, 2017</w:t>
            </w:r>
          </w:p>
          <w:p w14:paraId="130FBBCC"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Brazil</w:t>
            </w:r>
          </w:p>
          <w:p w14:paraId="5DA43DF3"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Longitudinal study, 2013-2014</w:t>
            </w:r>
          </w:p>
        </w:tc>
        <w:tc>
          <w:tcPr>
            <w:tcW w:w="550" w:type="pct"/>
          </w:tcPr>
          <w:p w14:paraId="00E98001"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114</w:t>
            </w:r>
          </w:p>
        </w:tc>
        <w:tc>
          <w:tcPr>
            <w:tcW w:w="596" w:type="pct"/>
          </w:tcPr>
          <w:p w14:paraId="18E048FC"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6F5C9BE0"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- 55.9</w:t>
            </w:r>
          </w:p>
        </w:tc>
        <w:tc>
          <w:tcPr>
            <w:tcW w:w="726" w:type="pct"/>
          </w:tcPr>
          <w:p w14:paraId="4ED4CBC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cancer: 100%</w:t>
            </w:r>
          </w:p>
        </w:tc>
        <w:tc>
          <w:tcPr>
            <w:tcW w:w="828" w:type="pct"/>
          </w:tcPr>
          <w:p w14:paraId="549AB35D"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Full mastectomy: 57.9% </w:t>
            </w:r>
          </w:p>
        </w:tc>
        <w:tc>
          <w:tcPr>
            <w:tcW w:w="1474" w:type="pct"/>
          </w:tcPr>
          <w:p w14:paraId="4DDFCC5A"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&gt; Data was collected from the medical records when the patient returned for clinical treatment (chemotherapy or radiation), with a mean follow-up period of 15 months.</w:t>
            </w:r>
            <w:r w:rsidRPr="0066602A">
              <w:rPr>
                <w:rFonts w:cstheme="minorHAnsi"/>
                <w:color w:val="4E5053"/>
                <w:sz w:val="20"/>
                <w:szCs w:val="20"/>
                <w:lang w:val="en-US"/>
              </w:rPr>
              <w:br/>
            </w:r>
            <w:r w:rsidRPr="0066602A">
              <w:rPr>
                <w:rFonts w:cstheme="minorHAnsi"/>
                <w:b/>
                <w:bCs w:val="0"/>
                <w:color w:val="4E5053"/>
                <w:sz w:val="20"/>
                <w:szCs w:val="20"/>
                <w:lang w:val="en-US"/>
              </w:rPr>
              <w:t>Sleep duration (mean):</w:t>
            </w:r>
            <w:r w:rsidRPr="0066602A">
              <w:rPr>
                <w:rFonts w:cstheme="minorHAnsi"/>
                <w:color w:val="4E5053"/>
                <w:sz w:val="20"/>
                <w:szCs w:val="20"/>
                <w:lang w:val="en-US"/>
              </w:rPr>
              <w:t xml:space="preserve"> 6.5 </w:t>
            </w:r>
            <w:proofErr w:type="spellStart"/>
            <w:r w:rsidRPr="0066602A">
              <w:rPr>
                <w:rFonts w:cstheme="minorHAnsi"/>
                <w:color w:val="4E5053"/>
                <w:sz w:val="20"/>
                <w:szCs w:val="20"/>
                <w:lang w:val="en-US"/>
              </w:rPr>
              <w:t>hrs</w:t>
            </w:r>
            <w:proofErr w:type="spellEnd"/>
            <w:r w:rsidRPr="0066602A">
              <w:rPr>
                <w:rFonts w:cstheme="minorHAnsi"/>
                <w:color w:val="4E5053"/>
                <w:sz w:val="20"/>
                <w:szCs w:val="20"/>
                <w:lang w:val="en-US"/>
              </w:rPr>
              <w:t xml:space="preserve"> (SD: 1.9, median: 7.0)</w:t>
            </w:r>
          </w:p>
          <w:p w14:paraId="1DAF832C"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color w:val="4E5053"/>
                <w:sz w:val="20"/>
                <w:szCs w:val="20"/>
                <w:lang w:val="en-US"/>
              </w:rPr>
              <w:t xml:space="preserve">&lt;6 </w:t>
            </w:r>
            <w:proofErr w:type="spellStart"/>
            <w:r w:rsidRPr="0066602A">
              <w:rPr>
                <w:rFonts w:cstheme="minorHAnsi"/>
                <w:b/>
                <w:bCs w:val="0"/>
                <w:color w:val="4E5053"/>
                <w:sz w:val="20"/>
                <w:szCs w:val="20"/>
                <w:lang w:val="en-US"/>
              </w:rPr>
              <w:t>hrs</w:t>
            </w:r>
            <w:proofErr w:type="spellEnd"/>
            <w:r w:rsidRPr="0066602A">
              <w:rPr>
                <w:rFonts w:cstheme="minorHAnsi"/>
                <w:b/>
                <w:bCs w:val="0"/>
                <w:color w:val="4E5053"/>
                <w:sz w:val="20"/>
                <w:szCs w:val="20"/>
                <w:lang w:val="en-US"/>
              </w:rPr>
              <w:t xml:space="preserve"> or ≥9 </w:t>
            </w:r>
            <w:proofErr w:type="spellStart"/>
            <w:r w:rsidRPr="0066602A">
              <w:rPr>
                <w:rFonts w:cstheme="minorHAnsi"/>
                <w:b/>
                <w:bCs w:val="0"/>
                <w:color w:val="4E5053"/>
                <w:sz w:val="20"/>
                <w:szCs w:val="20"/>
                <w:lang w:val="en-US"/>
              </w:rPr>
              <w:t>hrs</w:t>
            </w:r>
            <w:proofErr w:type="spellEnd"/>
            <w:r w:rsidRPr="0066602A">
              <w:rPr>
                <w:rFonts w:cstheme="minorHAnsi"/>
                <w:b/>
                <w:bCs w:val="0"/>
                <w:color w:val="4E5053"/>
                <w:sz w:val="20"/>
                <w:szCs w:val="20"/>
                <w:lang w:val="en-US"/>
              </w:rPr>
              <w:t xml:space="preserve"> sleep:</w:t>
            </w:r>
            <w:r w:rsidRPr="0066602A">
              <w:rPr>
                <w:rFonts w:cstheme="minorHAnsi"/>
                <w:color w:val="4E5053"/>
                <w:sz w:val="20"/>
                <w:szCs w:val="20"/>
                <w:lang w:val="en-US"/>
              </w:rPr>
              <w:t xml:space="preserve"> 33.3% (38/114)</w:t>
            </w:r>
            <w:r w:rsidRPr="0066602A">
              <w:rPr>
                <w:rFonts w:cstheme="minorHAnsi"/>
                <w:color w:val="4E5053"/>
                <w:sz w:val="20"/>
                <w:szCs w:val="20"/>
                <w:lang w:val="en-US"/>
              </w:rPr>
              <w:br/>
              <w:t xml:space="preserve">Sleep quality, according to the PSQI-BR, was </w:t>
            </w:r>
            <w:r w:rsidRPr="0066602A">
              <w:rPr>
                <w:rFonts w:cstheme="minorHAnsi"/>
                <w:b/>
                <w:bCs w:val="0"/>
                <w:color w:val="4E5053"/>
                <w:sz w:val="20"/>
                <w:szCs w:val="20"/>
                <w:lang w:val="en-US"/>
              </w:rPr>
              <w:t xml:space="preserve">poor </w:t>
            </w:r>
            <w:r w:rsidRPr="0066602A">
              <w:rPr>
                <w:rFonts w:cstheme="minorHAnsi"/>
                <w:color w:val="4E5053"/>
                <w:sz w:val="20"/>
                <w:szCs w:val="20"/>
                <w:lang w:val="en-US"/>
              </w:rPr>
              <w:t>for 56.1% of the women (64/114)</w:t>
            </w:r>
          </w:p>
        </w:tc>
      </w:tr>
      <w:tr w:rsidR="002406D8" w:rsidRPr="0066602A" w14:paraId="7D06530B"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6E6B732A" w14:textId="57F4538E"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 xml:space="preserve">Matthews, </w:t>
            </w:r>
            <w:r w:rsidR="00FC15D3" w:rsidRPr="0066602A">
              <w:rPr>
                <w:rFonts w:cstheme="minorHAnsi"/>
                <w:color w:val="4E5053"/>
                <w:sz w:val="20"/>
                <w:szCs w:val="20"/>
                <w:lang w:val="en-US"/>
              </w:rPr>
              <w:t>2014</w:t>
            </w:r>
          </w:p>
          <w:p w14:paraId="2B2E0D5E"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USA</w:t>
            </w:r>
          </w:p>
          <w:p w14:paraId="20C39369" w14:textId="55668371"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 xml:space="preserve">Prospective, longitudinal, </w:t>
            </w:r>
            <w:r w:rsidR="00A21B88" w:rsidRPr="0066602A">
              <w:rPr>
                <w:rFonts w:cstheme="minorHAnsi"/>
                <w:color w:val="4E5053"/>
                <w:sz w:val="20"/>
                <w:szCs w:val="20"/>
                <w:lang w:val="en-US"/>
              </w:rPr>
              <w:t>RCT</w:t>
            </w:r>
            <w:r w:rsidRPr="0066602A">
              <w:rPr>
                <w:rFonts w:cstheme="minorHAnsi"/>
                <w:color w:val="4E5053"/>
                <w:sz w:val="20"/>
                <w:szCs w:val="20"/>
                <w:lang w:val="en-US"/>
              </w:rPr>
              <w:t>, NR</w:t>
            </w:r>
          </w:p>
        </w:tc>
        <w:tc>
          <w:tcPr>
            <w:tcW w:w="550" w:type="pct"/>
          </w:tcPr>
          <w:p w14:paraId="09FAE8D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56</w:t>
            </w:r>
          </w:p>
        </w:tc>
        <w:tc>
          <w:tcPr>
            <w:tcW w:w="596" w:type="pct"/>
          </w:tcPr>
          <w:p w14:paraId="79C2E401"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44B1F62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- 52</w:t>
            </w:r>
          </w:p>
        </w:tc>
        <w:tc>
          <w:tcPr>
            <w:tcW w:w="726" w:type="pct"/>
          </w:tcPr>
          <w:p w14:paraId="7A3CC5FA"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56 (100%)</w:t>
            </w:r>
          </w:p>
        </w:tc>
        <w:tc>
          <w:tcPr>
            <w:tcW w:w="828" w:type="pct"/>
          </w:tcPr>
          <w:p w14:paraId="0883EE2D"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color w:val="4E5053"/>
                <w:sz w:val="20"/>
                <w:szCs w:val="20"/>
                <w:lang w:val="en-US"/>
              </w:rPr>
              <w:t>All patients had completed their primary treatment</w:t>
            </w:r>
            <w:r w:rsidRPr="0066602A">
              <w:rPr>
                <w:rFonts w:cstheme="minorHAnsi"/>
                <w:color w:val="4E5053"/>
                <w:sz w:val="20"/>
                <w:szCs w:val="20"/>
                <w:lang w:val="en-US"/>
              </w:rPr>
              <w:br/>
              <w:t>Chemotherapy: 39 (69.6%)</w:t>
            </w:r>
          </w:p>
        </w:tc>
        <w:tc>
          <w:tcPr>
            <w:tcW w:w="1474" w:type="pct"/>
          </w:tcPr>
          <w:p w14:paraId="4854EC9E"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&gt; Baseline means for sleep efficiency (SE) of less than 80%, sleep latency (SL) of 25–37 minutes, and wake after sleep onset (WASO) of greater than 38 minutes suggested substantial onset and maintenance insomnia in both groups.</w:t>
            </w:r>
          </w:p>
        </w:tc>
      </w:tr>
      <w:tr w:rsidR="002406D8" w:rsidRPr="0066602A" w14:paraId="3E451EC4"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76ACD18B"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Ross, 2020</w:t>
            </w:r>
          </w:p>
          <w:p w14:paraId="5EEFA7C6"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NR</w:t>
            </w:r>
          </w:p>
          <w:p w14:paraId="2B042E86"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lastRenderedPageBreak/>
              <w:t xml:space="preserve">Prospective cohort study, January </w:t>
            </w:r>
            <w:proofErr w:type="gramStart"/>
            <w:r w:rsidRPr="0066602A">
              <w:rPr>
                <w:rFonts w:cstheme="minorHAnsi"/>
                <w:color w:val="4E5053"/>
                <w:sz w:val="20"/>
                <w:szCs w:val="20"/>
                <w:lang w:val="en-US"/>
              </w:rPr>
              <w:t>2012</w:t>
            </w:r>
            <w:proofErr w:type="gramEnd"/>
            <w:r w:rsidRPr="0066602A">
              <w:rPr>
                <w:rFonts w:cstheme="minorHAnsi"/>
                <w:color w:val="4E5053"/>
                <w:sz w:val="20"/>
                <w:szCs w:val="20"/>
                <w:lang w:val="en-US"/>
              </w:rPr>
              <w:t xml:space="preserve"> and April 2015</w:t>
            </w:r>
          </w:p>
        </w:tc>
        <w:tc>
          <w:tcPr>
            <w:tcW w:w="550" w:type="pct"/>
          </w:tcPr>
          <w:p w14:paraId="5A798B1E"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lastRenderedPageBreak/>
              <w:t>894</w:t>
            </w:r>
          </w:p>
        </w:tc>
        <w:tc>
          <w:tcPr>
            <w:tcW w:w="596" w:type="pct"/>
          </w:tcPr>
          <w:p w14:paraId="03DADFD5"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7EC9B15C"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- 60</w:t>
            </w:r>
          </w:p>
        </w:tc>
        <w:tc>
          <w:tcPr>
            <w:tcW w:w="726" w:type="pct"/>
          </w:tcPr>
          <w:p w14:paraId="1AA62576"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Ovarian cancer: 894 (100%)</w:t>
            </w:r>
          </w:p>
        </w:tc>
        <w:tc>
          <w:tcPr>
            <w:tcW w:w="828" w:type="pct"/>
          </w:tcPr>
          <w:p w14:paraId="72F7F043"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color w:val="4E5053"/>
                <w:sz w:val="20"/>
                <w:szCs w:val="20"/>
                <w:lang w:val="en-US"/>
              </w:rPr>
              <w:t>All patients were receiving surgery and chemotherapy:</w:t>
            </w:r>
            <w:r w:rsidRPr="0066602A">
              <w:rPr>
                <w:rFonts w:cstheme="minorHAnsi"/>
                <w:color w:val="4E5053"/>
                <w:sz w:val="20"/>
                <w:szCs w:val="20"/>
                <w:lang w:val="en-US"/>
              </w:rPr>
              <w:t xml:space="preserve"> 894 (100%)</w:t>
            </w:r>
            <w:r w:rsidRPr="0066602A">
              <w:rPr>
                <w:rFonts w:cstheme="minorHAnsi"/>
                <w:color w:val="4E5053"/>
                <w:sz w:val="20"/>
                <w:szCs w:val="20"/>
                <w:lang w:val="en-US"/>
              </w:rPr>
              <w:br/>
            </w:r>
            <w:r w:rsidRPr="0066602A">
              <w:rPr>
                <w:rFonts w:cstheme="minorHAnsi"/>
                <w:color w:val="4E5053"/>
                <w:sz w:val="20"/>
                <w:szCs w:val="20"/>
                <w:lang w:val="en-US"/>
              </w:rPr>
              <w:lastRenderedPageBreak/>
              <w:t xml:space="preserve">Surgery &amp; 0–2 cycles of chemotherapy: 60 (7%) </w:t>
            </w:r>
            <w:r w:rsidRPr="0066602A">
              <w:rPr>
                <w:rFonts w:cstheme="minorHAnsi"/>
                <w:color w:val="4E5053"/>
                <w:sz w:val="20"/>
                <w:szCs w:val="20"/>
                <w:lang w:val="en-US"/>
              </w:rPr>
              <w:br/>
              <w:t xml:space="preserve">Surgery &amp; ≥3 cycles of adjuvant chemotherapy: 538 (60%) </w:t>
            </w:r>
            <w:r w:rsidRPr="0066602A">
              <w:rPr>
                <w:rFonts w:cstheme="minorHAnsi"/>
                <w:color w:val="4E5053"/>
                <w:sz w:val="20"/>
                <w:szCs w:val="20"/>
                <w:lang w:val="en-US"/>
              </w:rPr>
              <w:br/>
              <w:t>Neoadjuvant chemotherapy ± surgery: 295 (33%)</w:t>
            </w:r>
          </w:p>
        </w:tc>
        <w:tc>
          <w:tcPr>
            <w:tcW w:w="1474" w:type="pct"/>
          </w:tcPr>
          <w:p w14:paraId="2CC936B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lastRenderedPageBreak/>
              <w:t xml:space="preserve">&gt; The proportion of women with insomnia symptoms was highest at three months after diagnosis when 92% of women were receiving chemotherapy: </w:t>
            </w:r>
            <w:r w:rsidRPr="0066602A">
              <w:rPr>
                <w:rFonts w:cstheme="minorHAnsi"/>
                <w:b/>
                <w:bCs w:val="0"/>
                <w:color w:val="4E5053"/>
                <w:sz w:val="20"/>
                <w:szCs w:val="20"/>
                <w:lang w:val="en-US"/>
              </w:rPr>
              <w:t>14%</w:t>
            </w:r>
            <w:r w:rsidRPr="0066602A">
              <w:rPr>
                <w:rFonts w:cstheme="minorHAnsi"/>
                <w:color w:val="4E5053"/>
                <w:sz w:val="20"/>
                <w:szCs w:val="20"/>
                <w:lang w:val="en-US"/>
              </w:rPr>
              <w:t xml:space="preserve"> </w:t>
            </w:r>
            <w:r w:rsidRPr="0066602A">
              <w:rPr>
                <w:rFonts w:cstheme="minorHAnsi"/>
                <w:b/>
                <w:bCs w:val="0"/>
                <w:color w:val="4E5053"/>
                <w:sz w:val="20"/>
                <w:szCs w:val="20"/>
                <w:lang w:val="en-US"/>
              </w:rPr>
              <w:t>clinical</w:t>
            </w:r>
            <w:r w:rsidRPr="0066602A">
              <w:rPr>
                <w:rFonts w:cstheme="minorHAnsi"/>
                <w:color w:val="4E5053"/>
                <w:sz w:val="20"/>
                <w:szCs w:val="20"/>
                <w:lang w:val="en-US"/>
              </w:rPr>
              <w:t xml:space="preserve"> and </w:t>
            </w:r>
            <w:r w:rsidRPr="0066602A">
              <w:rPr>
                <w:rFonts w:cstheme="minorHAnsi"/>
                <w:b/>
                <w:bCs w:val="0"/>
                <w:color w:val="4E5053"/>
                <w:sz w:val="20"/>
                <w:szCs w:val="20"/>
                <w:lang w:val="en-US"/>
              </w:rPr>
              <w:t>28%</w:t>
            </w:r>
            <w:r w:rsidRPr="0066602A">
              <w:rPr>
                <w:rFonts w:cstheme="minorHAnsi"/>
                <w:color w:val="4E5053"/>
                <w:sz w:val="20"/>
                <w:szCs w:val="20"/>
                <w:lang w:val="en-US"/>
              </w:rPr>
              <w:t xml:space="preserve"> </w:t>
            </w:r>
            <w:r w:rsidRPr="0066602A">
              <w:rPr>
                <w:rFonts w:cstheme="minorHAnsi"/>
                <w:b/>
                <w:bCs w:val="0"/>
                <w:color w:val="4E5053"/>
                <w:sz w:val="20"/>
                <w:szCs w:val="20"/>
                <w:lang w:val="en-US"/>
              </w:rPr>
              <w:t xml:space="preserve">subclinical </w:t>
            </w:r>
            <w:r w:rsidRPr="0066602A">
              <w:rPr>
                <w:rFonts w:cstheme="minorHAnsi"/>
                <w:color w:val="4E5053"/>
                <w:sz w:val="20"/>
                <w:szCs w:val="20"/>
                <w:lang w:val="en-US"/>
              </w:rPr>
              <w:lastRenderedPageBreak/>
              <w:t>insomnia.</w:t>
            </w:r>
            <w:r w:rsidRPr="0066602A">
              <w:rPr>
                <w:rFonts w:cstheme="minorHAnsi"/>
                <w:color w:val="4E5053"/>
                <w:sz w:val="20"/>
                <w:szCs w:val="20"/>
                <w:lang w:val="en-US"/>
              </w:rPr>
              <w:br/>
              <w:t xml:space="preserve">&gt; After three months fewer women (5–28%) were on chemotherapy and the proportion with clinical insomnia declined: </w:t>
            </w:r>
            <w:r w:rsidRPr="0066602A">
              <w:rPr>
                <w:rFonts w:cstheme="minorHAnsi"/>
                <w:b/>
                <w:bCs w:val="0"/>
                <w:color w:val="4E5053"/>
                <w:sz w:val="20"/>
                <w:szCs w:val="20"/>
                <w:lang w:val="en-US"/>
              </w:rPr>
              <w:t xml:space="preserve">9% </w:t>
            </w:r>
            <w:r w:rsidRPr="0066602A">
              <w:rPr>
                <w:rFonts w:cstheme="minorHAnsi"/>
                <w:color w:val="4E5053"/>
                <w:sz w:val="20"/>
                <w:szCs w:val="20"/>
                <w:lang w:val="en-US"/>
              </w:rPr>
              <w:t xml:space="preserve">by 24 months. </w:t>
            </w:r>
            <w:r w:rsidRPr="0066602A">
              <w:rPr>
                <w:rFonts w:cstheme="minorHAnsi"/>
                <w:color w:val="4E5053"/>
                <w:sz w:val="20"/>
                <w:szCs w:val="20"/>
                <w:lang w:val="en-US"/>
              </w:rPr>
              <w:br/>
            </w:r>
            <w:r w:rsidRPr="0066602A">
              <w:rPr>
                <w:rFonts w:cstheme="minorHAnsi"/>
                <w:b/>
                <w:bCs w:val="0"/>
                <w:color w:val="4E5053"/>
                <w:sz w:val="20"/>
                <w:szCs w:val="20"/>
                <w:lang w:val="en-US"/>
              </w:rPr>
              <w:t>Clinical insomnia at some time over the first three years after diagnosis:</w:t>
            </w:r>
            <w:r w:rsidRPr="0066602A">
              <w:rPr>
                <w:rFonts w:cstheme="minorHAnsi"/>
                <w:color w:val="4E5053"/>
                <w:sz w:val="20"/>
                <w:szCs w:val="20"/>
                <w:lang w:val="en-US"/>
              </w:rPr>
              <w:t xml:space="preserve"> 25% </w:t>
            </w:r>
          </w:p>
        </w:tc>
      </w:tr>
      <w:tr w:rsidR="002406D8" w:rsidRPr="0066602A" w14:paraId="3AC576BC"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7CBA0A95"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lastRenderedPageBreak/>
              <w:t>Sanford, 2013</w:t>
            </w:r>
          </w:p>
          <w:p w14:paraId="0834FDFA"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USA</w:t>
            </w:r>
          </w:p>
          <w:p w14:paraId="74001F6E"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Secondary analysis of a Longitudinal Prospective study, pre-chemotheray-6-month follow-up</w:t>
            </w:r>
          </w:p>
        </w:tc>
        <w:tc>
          <w:tcPr>
            <w:tcW w:w="550" w:type="pct"/>
          </w:tcPr>
          <w:p w14:paraId="43C2C75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80</w:t>
            </w:r>
          </w:p>
        </w:tc>
        <w:tc>
          <w:tcPr>
            <w:tcW w:w="596" w:type="pct"/>
          </w:tcPr>
          <w:p w14:paraId="2265D1D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w:t>
            </w:r>
          </w:p>
          <w:p w14:paraId="372FBCE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- 98%</w:t>
            </w:r>
          </w:p>
          <w:p w14:paraId="3D6FED8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- 49.7</w:t>
            </w:r>
          </w:p>
        </w:tc>
        <w:tc>
          <w:tcPr>
            <w:tcW w:w="726" w:type="pct"/>
          </w:tcPr>
          <w:p w14:paraId="09F7F936"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cancer: 80 (100%)</w:t>
            </w:r>
          </w:p>
        </w:tc>
        <w:tc>
          <w:tcPr>
            <w:tcW w:w="828" w:type="pct"/>
          </w:tcPr>
          <w:p w14:paraId="092043B1"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Chemotherapy: 80 (100%)</w:t>
            </w:r>
          </w:p>
        </w:tc>
        <w:tc>
          <w:tcPr>
            <w:tcW w:w="1474" w:type="pct"/>
          </w:tcPr>
          <w:p w14:paraId="35D1A42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Global PSQI score &gt;5:</w:t>
            </w:r>
          </w:p>
          <w:p w14:paraId="46947278"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Pre-treatment:</w:t>
            </w:r>
            <w:r w:rsidRPr="0066602A">
              <w:rPr>
                <w:rFonts w:cstheme="minorHAnsi"/>
                <w:color w:val="4E5053"/>
                <w:sz w:val="20"/>
                <w:szCs w:val="20"/>
                <w:lang w:val="en-US"/>
              </w:rPr>
              <w:t xml:space="preserve"> 65.8%</w:t>
            </w:r>
          </w:p>
          <w:p w14:paraId="47F845CD"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Day 1:</w:t>
            </w:r>
            <w:r w:rsidRPr="0066602A">
              <w:rPr>
                <w:rFonts w:cstheme="minorHAnsi"/>
                <w:color w:val="4E5053"/>
                <w:sz w:val="20"/>
                <w:szCs w:val="20"/>
                <w:lang w:val="en-US"/>
              </w:rPr>
              <w:t xml:space="preserve"> 60.5 %</w:t>
            </w:r>
          </w:p>
          <w:p w14:paraId="1A9AAC02"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6 months:</w:t>
            </w:r>
            <w:r w:rsidRPr="0066602A">
              <w:rPr>
                <w:rFonts w:cstheme="minorHAnsi"/>
                <w:color w:val="4E5053"/>
                <w:sz w:val="20"/>
                <w:szCs w:val="20"/>
                <w:lang w:val="en-US"/>
              </w:rPr>
              <w:t xml:space="preserve"> 48.5 %</w:t>
            </w:r>
          </w:p>
        </w:tc>
      </w:tr>
      <w:tr w:rsidR="002406D8" w:rsidRPr="0066602A" w14:paraId="6773F2B4" w14:textId="77777777" w:rsidTr="00685696">
        <w:trPr>
          <w:cnfStyle w:val="000000010000" w:firstRow="0" w:lastRow="0" w:firstColumn="0" w:lastColumn="0" w:oddVBand="0" w:evenVBand="0" w:oddHBand="0" w:evenHBand="1"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4468D201"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Savard, 2013</w:t>
            </w:r>
          </w:p>
          <w:p w14:paraId="044D43B0"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Canada</w:t>
            </w:r>
          </w:p>
          <w:p w14:paraId="232A69D1"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 xml:space="preserve">Longitudinal, controlled non-randomized comparison design, June </w:t>
            </w:r>
            <w:proofErr w:type="gramStart"/>
            <w:r w:rsidRPr="0066602A">
              <w:rPr>
                <w:rFonts w:cstheme="minorHAnsi"/>
                <w:color w:val="4E5053"/>
                <w:sz w:val="20"/>
                <w:szCs w:val="20"/>
                <w:lang w:val="en-US"/>
              </w:rPr>
              <w:t>2004</w:t>
            </w:r>
            <w:proofErr w:type="gramEnd"/>
            <w:r w:rsidRPr="0066602A">
              <w:rPr>
                <w:rFonts w:cstheme="minorHAnsi"/>
                <w:color w:val="4E5053"/>
                <w:sz w:val="20"/>
                <w:szCs w:val="20"/>
                <w:lang w:val="en-US"/>
              </w:rPr>
              <w:t xml:space="preserve"> and February 2006</w:t>
            </w:r>
          </w:p>
        </w:tc>
        <w:tc>
          <w:tcPr>
            <w:tcW w:w="550" w:type="pct"/>
          </w:tcPr>
          <w:p w14:paraId="2D2A3737"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60</w:t>
            </w:r>
          </w:p>
        </w:tc>
        <w:tc>
          <w:tcPr>
            <w:tcW w:w="596" w:type="pct"/>
          </w:tcPr>
          <w:p w14:paraId="47950CFA"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w:t>
            </w:r>
          </w:p>
          <w:p w14:paraId="3C1F9E0D"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- 98%</w:t>
            </w:r>
          </w:p>
          <w:p w14:paraId="23FF1A49"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- 49.7</w:t>
            </w:r>
          </w:p>
        </w:tc>
        <w:tc>
          <w:tcPr>
            <w:tcW w:w="726" w:type="pct"/>
          </w:tcPr>
          <w:p w14:paraId="0CA039E4"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Prostate cancer: 100%</w:t>
            </w:r>
          </w:p>
        </w:tc>
        <w:tc>
          <w:tcPr>
            <w:tcW w:w="828" w:type="pct"/>
          </w:tcPr>
          <w:p w14:paraId="79D98B5C" w14:textId="6840D71E"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Androgen deprivation therapy (ADT)+ </w:t>
            </w:r>
            <w:r w:rsidR="00480763" w:rsidRPr="0066602A">
              <w:rPr>
                <w:rFonts w:cstheme="minorHAnsi"/>
                <w:color w:val="4E5053"/>
                <w:sz w:val="20"/>
                <w:szCs w:val="20"/>
                <w:lang w:val="en-US"/>
              </w:rPr>
              <w:t xml:space="preserve">Radiation </w:t>
            </w:r>
            <w:r w:rsidRPr="0066602A">
              <w:rPr>
                <w:rFonts w:cstheme="minorHAnsi"/>
                <w:color w:val="4E5053"/>
                <w:sz w:val="20"/>
                <w:szCs w:val="20"/>
                <w:lang w:val="en-US"/>
              </w:rPr>
              <w:t>therapy (RTH) or RTH alone</w:t>
            </w:r>
            <w:r w:rsidRPr="0066602A">
              <w:rPr>
                <w:rFonts w:cstheme="minorHAnsi"/>
                <w:color w:val="4E5053"/>
                <w:sz w:val="20"/>
                <w:szCs w:val="20"/>
                <w:lang w:val="en-US"/>
              </w:rPr>
              <w:br/>
            </w:r>
            <w:r w:rsidRPr="0066602A">
              <w:rPr>
                <w:rFonts w:cstheme="minorHAnsi"/>
                <w:color w:val="4E5053"/>
                <w:sz w:val="20"/>
                <w:szCs w:val="20"/>
                <w:lang w:val="en-US"/>
              </w:rPr>
              <w:br/>
              <w:t xml:space="preserve">ADT initiated with bicalutamide for 4 weeks. Then with </w:t>
            </w:r>
            <w:proofErr w:type="spellStart"/>
            <w:r w:rsidRPr="0066602A">
              <w:rPr>
                <w:rFonts w:cstheme="minorHAnsi"/>
                <w:color w:val="4E5053"/>
                <w:sz w:val="20"/>
                <w:szCs w:val="20"/>
                <w:lang w:val="en-US"/>
              </w:rPr>
              <w:t>goserelin</w:t>
            </w:r>
            <w:proofErr w:type="spellEnd"/>
            <w:r w:rsidRPr="0066602A">
              <w:rPr>
                <w:rFonts w:cstheme="minorHAnsi"/>
                <w:color w:val="4E5053"/>
                <w:sz w:val="20"/>
                <w:szCs w:val="20"/>
                <w:lang w:val="en-US"/>
              </w:rPr>
              <w:t xml:space="preserve"> repeated every 3 mo</w:t>
            </w:r>
            <w:r w:rsidR="000433D3" w:rsidRPr="0066602A">
              <w:rPr>
                <w:rFonts w:cstheme="minorHAnsi"/>
                <w:color w:val="4E5053"/>
                <w:sz w:val="20"/>
                <w:szCs w:val="20"/>
                <w:lang w:val="en-US"/>
              </w:rPr>
              <w:t>nths</w:t>
            </w:r>
          </w:p>
        </w:tc>
        <w:tc>
          <w:tcPr>
            <w:tcW w:w="1474" w:type="pct"/>
          </w:tcPr>
          <w:p w14:paraId="29C436B8" w14:textId="77777777" w:rsidR="002406D8" w:rsidRPr="0066602A" w:rsidRDefault="002406D8" w:rsidP="00F90795">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&gt; Significant interaction effect was found indicating an increase in insomnia scores in androgen deprivation therapy (ADT)– radiation therapy (RTH) patients at 2, 4, and 6 months, as compared with baseline, and stable scores in RTH patients. </w:t>
            </w:r>
            <w:r w:rsidRPr="0066602A">
              <w:rPr>
                <w:rFonts w:cstheme="minorHAnsi"/>
                <w:color w:val="4E5053"/>
                <w:sz w:val="20"/>
                <w:szCs w:val="20"/>
                <w:lang w:val="en-US"/>
              </w:rPr>
              <w:br/>
              <w:t>&gt; A significant mediating role of hot flashes and night sweats was found in the relationship between ADT and insomnia symptoms.</w:t>
            </w:r>
          </w:p>
        </w:tc>
      </w:tr>
      <w:tr w:rsidR="002406D8" w:rsidRPr="0066602A" w14:paraId="621887A6" w14:textId="77777777" w:rsidTr="00685696">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826" w:type="pct"/>
          </w:tcPr>
          <w:p w14:paraId="6632D6A1" w14:textId="77777777" w:rsidR="002406D8" w:rsidRPr="0066602A" w:rsidRDefault="002406D8" w:rsidP="00F90795">
            <w:pPr>
              <w:pStyle w:val="Table-Normal"/>
              <w:rPr>
                <w:rFonts w:cstheme="minorHAnsi"/>
                <w:bCs/>
                <w:sz w:val="20"/>
                <w:szCs w:val="20"/>
                <w:lang w:val="en-US"/>
              </w:rPr>
            </w:pPr>
            <w:r w:rsidRPr="0066602A">
              <w:rPr>
                <w:rFonts w:cstheme="minorHAnsi"/>
                <w:color w:val="4E5053"/>
                <w:sz w:val="20"/>
                <w:szCs w:val="20"/>
                <w:lang w:val="en-US"/>
              </w:rPr>
              <w:t>Savard, 2011</w:t>
            </w:r>
          </w:p>
          <w:p w14:paraId="4760C644"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Canada</w:t>
            </w:r>
          </w:p>
          <w:p w14:paraId="66A2E821" w14:textId="77777777" w:rsidR="002406D8" w:rsidRPr="0066602A" w:rsidRDefault="002406D8" w:rsidP="00F90795">
            <w:pPr>
              <w:pStyle w:val="Table-Normal"/>
              <w:rPr>
                <w:rFonts w:cstheme="minorHAnsi"/>
                <w:sz w:val="20"/>
                <w:szCs w:val="20"/>
                <w:lang w:val="en-US"/>
              </w:rPr>
            </w:pPr>
            <w:r w:rsidRPr="0066602A">
              <w:rPr>
                <w:rFonts w:cstheme="minorHAnsi"/>
                <w:color w:val="4E5053"/>
                <w:sz w:val="20"/>
                <w:szCs w:val="20"/>
                <w:lang w:val="en-US"/>
              </w:rPr>
              <w:t>Longitudinal, observational study, 2002-2005</w:t>
            </w:r>
          </w:p>
        </w:tc>
        <w:tc>
          <w:tcPr>
            <w:tcW w:w="550" w:type="pct"/>
          </w:tcPr>
          <w:p w14:paraId="12B03A7E"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58</w:t>
            </w:r>
          </w:p>
        </w:tc>
        <w:tc>
          <w:tcPr>
            <w:tcW w:w="596" w:type="pct"/>
          </w:tcPr>
          <w:p w14:paraId="0DC0BAF5"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35D111E9"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- 54.6</w:t>
            </w:r>
          </w:p>
        </w:tc>
        <w:tc>
          <w:tcPr>
            <w:tcW w:w="726" w:type="pct"/>
          </w:tcPr>
          <w:p w14:paraId="30A8E75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cancer: 58 (100%)</w:t>
            </w:r>
          </w:p>
        </w:tc>
        <w:tc>
          <w:tcPr>
            <w:tcW w:w="828" w:type="pct"/>
          </w:tcPr>
          <w:p w14:paraId="5AC0E52D" w14:textId="2865F199"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Patients were included if they were scheduled to receive standard adjuvant treatment of </w:t>
            </w:r>
            <w:r w:rsidR="00480763" w:rsidRPr="0066602A">
              <w:rPr>
                <w:rFonts w:cstheme="minorHAnsi"/>
                <w:color w:val="4E5053"/>
                <w:sz w:val="20"/>
                <w:szCs w:val="20"/>
                <w:lang w:val="en-US"/>
              </w:rPr>
              <w:t xml:space="preserve">radiation </w:t>
            </w:r>
            <w:r w:rsidRPr="0066602A">
              <w:rPr>
                <w:rFonts w:cstheme="minorHAnsi"/>
                <w:color w:val="4E5053"/>
                <w:sz w:val="20"/>
                <w:szCs w:val="20"/>
                <w:lang w:val="en-US"/>
              </w:rPr>
              <w:t>therapy, chemotherapy (or both), as well as hormone therapy (e.g., tamoxifen, anastrozole)</w:t>
            </w:r>
            <w:r w:rsidRPr="0066602A">
              <w:rPr>
                <w:rFonts w:cstheme="minorHAnsi"/>
                <w:color w:val="4E5053"/>
                <w:sz w:val="20"/>
                <w:szCs w:val="20"/>
                <w:lang w:val="en-US"/>
              </w:rPr>
              <w:br/>
              <w:t xml:space="preserve">22% to 29% were using another psychotropic medication at each time </w:t>
            </w:r>
            <w:r w:rsidRPr="0066602A">
              <w:rPr>
                <w:rFonts w:cstheme="minorHAnsi"/>
                <w:color w:val="4E5053"/>
                <w:sz w:val="20"/>
                <w:szCs w:val="20"/>
                <w:lang w:val="en-US"/>
              </w:rPr>
              <w:lastRenderedPageBreak/>
              <w:t>assessment, mainly benzodiazepines</w:t>
            </w:r>
          </w:p>
        </w:tc>
        <w:tc>
          <w:tcPr>
            <w:tcW w:w="1474" w:type="pct"/>
          </w:tcPr>
          <w:p w14:paraId="3524DBFF" w14:textId="77777777" w:rsidR="002406D8" w:rsidRPr="0066602A" w:rsidRDefault="002406D8" w:rsidP="00F90795">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color w:val="4E5053"/>
                <w:sz w:val="20"/>
                <w:szCs w:val="20"/>
                <w:lang w:val="en-US"/>
              </w:rPr>
              <w:lastRenderedPageBreak/>
              <w:t>Increase in insomnia symptoms:</w:t>
            </w:r>
            <w:r w:rsidRPr="0066602A">
              <w:rPr>
                <w:rFonts w:cstheme="minorHAnsi"/>
                <w:color w:val="4E5053"/>
                <w:sz w:val="20"/>
                <w:szCs w:val="20"/>
                <w:lang w:val="en-US"/>
              </w:rPr>
              <w:t xml:space="preserve"> 11.0%–30.4% </w:t>
            </w:r>
            <w:r w:rsidRPr="0066602A">
              <w:rPr>
                <w:rFonts w:cstheme="minorHAnsi"/>
                <w:color w:val="4E5053"/>
                <w:sz w:val="20"/>
                <w:szCs w:val="20"/>
                <w:lang w:val="en-US"/>
              </w:rPr>
              <w:br/>
            </w:r>
            <w:r w:rsidRPr="0066602A">
              <w:rPr>
                <w:rFonts w:cstheme="minorHAnsi"/>
                <w:b/>
                <w:bCs w:val="0"/>
                <w:color w:val="4E5053"/>
                <w:sz w:val="20"/>
                <w:szCs w:val="20"/>
                <w:lang w:val="en-US"/>
              </w:rPr>
              <w:t>Exacerbation of insomnia symptoms from post-treatment to the 3-month follow-up:</w:t>
            </w:r>
            <w:r w:rsidRPr="0066602A">
              <w:rPr>
                <w:rFonts w:cstheme="minorHAnsi"/>
                <w:color w:val="4E5053"/>
                <w:sz w:val="20"/>
                <w:szCs w:val="20"/>
                <w:lang w:val="en-US"/>
              </w:rPr>
              <w:t xml:space="preserve"> 11.8%–19.6% </w:t>
            </w:r>
            <w:r w:rsidRPr="0066602A">
              <w:rPr>
                <w:rFonts w:cstheme="minorHAnsi"/>
                <w:color w:val="4E5053"/>
                <w:sz w:val="20"/>
                <w:szCs w:val="20"/>
                <w:lang w:val="en-US"/>
              </w:rPr>
              <w:br/>
            </w:r>
            <w:r w:rsidRPr="0066602A">
              <w:rPr>
                <w:rFonts w:cstheme="minorHAnsi"/>
                <w:b/>
                <w:bCs w:val="0"/>
                <w:color w:val="4E5053"/>
                <w:sz w:val="20"/>
                <w:szCs w:val="20"/>
                <w:lang w:val="en-US"/>
              </w:rPr>
              <w:t>Changes in ISI scores</w:t>
            </w:r>
            <w:r w:rsidRPr="0066602A">
              <w:rPr>
                <w:rFonts w:cstheme="minorHAnsi"/>
                <w:color w:val="4E5053"/>
                <w:sz w:val="20"/>
                <w:szCs w:val="20"/>
                <w:lang w:val="en-US"/>
              </w:rPr>
              <w:t>: 23% observed between the post-treatment and the 3-month follow-up.</w:t>
            </w:r>
          </w:p>
        </w:tc>
      </w:tr>
    </w:tbl>
    <w:p w14:paraId="478DD5AE" w14:textId="0E617EA5" w:rsidR="00F90795" w:rsidRPr="0066602A" w:rsidRDefault="002406D8" w:rsidP="001A68E4">
      <w:pPr>
        <w:pStyle w:val="EndnoteText"/>
        <w:rPr>
          <w:sz w:val="16"/>
          <w:szCs w:val="18"/>
        </w:rPr>
        <w:sectPr w:rsidR="00F90795" w:rsidRPr="0066602A" w:rsidSect="008550C0">
          <w:pgSz w:w="16839" w:h="11907" w:orient="landscape" w:code="9"/>
          <w:pgMar w:top="1440" w:right="1385" w:bottom="1417" w:left="1134" w:header="568" w:footer="431" w:gutter="0"/>
          <w:cols w:space="720"/>
          <w:docGrid w:linePitch="360"/>
        </w:sectPr>
      </w:pPr>
      <w:bookmarkStart w:id="33" w:name="_Hlk129698377"/>
      <w:r w:rsidRPr="0066602A">
        <w:rPr>
          <w:sz w:val="16"/>
          <w:szCs w:val="18"/>
        </w:rPr>
        <w:t>ADT: androgen deprivation therapy</w:t>
      </w:r>
      <w:r w:rsidR="000433D3" w:rsidRPr="0066602A">
        <w:rPr>
          <w:sz w:val="16"/>
          <w:szCs w:val="18"/>
        </w:rPr>
        <w:t>; C</w:t>
      </w:r>
      <w:r w:rsidRPr="0066602A">
        <w:rPr>
          <w:sz w:val="16"/>
          <w:szCs w:val="18"/>
        </w:rPr>
        <w:t>CRT: concurrent chemo-</w:t>
      </w:r>
      <w:r w:rsidR="00480763" w:rsidRPr="0066602A">
        <w:rPr>
          <w:sz w:val="16"/>
          <w:szCs w:val="18"/>
        </w:rPr>
        <w:t xml:space="preserve">radiation </w:t>
      </w:r>
      <w:r w:rsidRPr="0066602A">
        <w:rPr>
          <w:sz w:val="16"/>
          <w:szCs w:val="18"/>
        </w:rPr>
        <w:t>therapy; CI: confidence interval</w:t>
      </w:r>
      <w:r w:rsidR="000433D3" w:rsidRPr="0066602A">
        <w:rPr>
          <w:sz w:val="16"/>
          <w:szCs w:val="18"/>
        </w:rPr>
        <w:t xml:space="preserve">; F: f-test; </w:t>
      </w:r>
      <w:r w:rsidRPr="0066602A">
        <w:rPr>
          <w:sz w:val="16"/>
          <w:szCs w:val="18"/>
        </w:rPr>
        <w:t>FE: fisher’s exact test; GS: good sleeper; Hrs: hours; IQR: interquartile range;</w:t>
      </w:r>
      <w:r w:rsidR="007F2783" w:rsidRPr="0066602A">
        <w:rPr>
          <w:sz w:val="16"/>
          <w:szCs w:val="18"/>
        </w:rPr>
        <w:t xml:space="preserve"> HS: high sustained;</w:t>
      </w:r>
      <w:r w:rsidRPr="0066602A">
        <w:rPr>
          <w:sz w:val="16"/>
          <w:szCs w:val="18"/>
        </w:rPr>
        <w:t xml:space="preserve"> ISI: insomnia severity index; </w:t>
      </w:r>
      <w:r w:rsidR="007F2783" w:rsidRPr="0066602A">
        <w:rPr>
          <w:sz w:val="16"/>
          <w:szCs w:val="18"/>
        </w:rPr>
        <w:t>LS: low sustained;</w:t>
      </w:r>
      <w:r w:rsidRPr="0066602A">
        <w:rPr>
          <w:sz w:val="16"/>
          <w:szCs w:val="18"/>
        </w:rPr>
        <w:t xml:space="preserve">; N: number; NA: not applicable; NR: not recorded; </w:t>
      </w:r>
      <w:r w:rsidR="007F2783" w:rsidRPr="0066602A">
        <w:rPr>
          <w:sz w:val="16"/>
          <w:szCs w:val="18"/>
        </w:rPr>
        <w:t xml:space="preserve">P: probability value; </w:t>
      </w:r>
      <w:r w:rsidRPr="0066602A">
        <w:rPr>
          <w:sz w:val="16"/>
          <w:szCs w:val="18"/>
        </w:rPr>
        <w:t xml:space="preserve">PSQI: </w:t>
      </w:r>
      <w:r w:rsidR="00416712" w:rsidRPr="0066602A">
        <w:rPr>
          <w:sz w:val="16"/>
          <w:szCs w:val="18"/>
        </w:rPr>
        <w:t>Pittsburgh</w:t>
      </w:r>
      <w:r w:rsidRPr="0066602A">
        <w:rPr>
          <w:sz w:val="16"/>
          <w:szCs w:val="18"/>
        </w:rPr>
        <w:t xml:space="preserve"> sleep quality index; PSQI-BR: </w:t>
      </w:r>
      <w:r w:rsidR="00416712" w:rsidRPr="0066602A">
        <w:rPr>
          <w:sz w:val="16"/>
          <w:szCs w:val="18"/>
        </w:rPr>
        <w:t>Pittsburgh</w:t>
      </w:r>
      <w:r w:rsidRPr="0066602A">
        <w:rPr>
          <w:sz w:val="16"/>
          <w:szCs w:val="18"/>
        </w:rPr>
        <w:t xml:space="preserve"> sleep quality index validated in Brazil; RCT: randomized controlled trial; RT: radiotherapy; RTH: radiation therapy; SD: standard deviation; SE: standard error; SL: sleep latency; UK: </w:t>
      </w:r>
      <w:r w:rsidR="009463EB" w:rsidRPr="0066602A">
        <w:rPr>
          <w:sz w:val="16"/>
          <w:szCs w:val="18"/>
        </w:rPr>
        <w:t>U</w:t>
      </w:r>
      <w:r w:rsidRPr="0066602A">
        <w:rPr>
          <w:sz w:val="16"/>
          <w:szCs w:val="18"/>
        </w:rPr>
        <w:t xml:space="preserve">nited </w:t>
      </w:r>
      <w:r w:rsidR="009463EB" w:rsidRPr="0066602A">
        <w:rPr>
          <w:sz w:val="16"/>
          <w:szCs w:val="18"/>
        </w:rPr>
        <w:t>K</w:t>
      </w:r>
      <w:r w:rsidRPr="0066602A">
        <w:rPr>
          <w:sz w:val="16"/>
          <w:szCs w:val="18"/>
        </w:rPr>
        <w:t xml:space="preserve">ingdom; USA: </w:t>
      </w:r>
      <w:r w:rsidR="009463EB" w:rsidRPr="0066602A">
        <w:rPr>
          <w:sz w:val="16"/>
          <w:szCs w:val="18"/>
        </w:rPr>
        <w:t>U</w:t>
      </w:r>
      <w:r w:rsidRPr="0066602A">
        <w:rPr>
          <w:sz w:val="16"/>
          <w:szCs w:val="18"/>
        </w:rPr>
        <w:t xml:space="preserve">nited </w:t>
      </w:r>
      <w:r w:rsidR="009463EB" w:rsidRPr="0066602A">
        <w:rPr>
          <w:sz w:val="16"/>
          <w:szCs w:val="18"/>
        </w:rPr>
        <w:t>S</w:t>
      </w:r>
      <w:r w:rsidRPr="0066602A">
        <w:rPr>
          <w:sz w:val="16"/>
          <w:szCs w:val="18"/>
        </w:rPr>
        <w:t xml:space="preserve">tates of </w:t>
      </w:r>
      <w:r w:rsidR="009463EB" w:rsidRPr="0066602A">
        <w:rPr>
          <w:sz w:val="16"/>
          <w:szCs w:val="18"/>
        </w:rPr>
        <w:t>A</w:t>
      </w:r>
      <w:r w:rsidRPr="0066602A">
        <w:rPr>
          <w:sz w:val="16"/>
          <w:szCs w:val="18"/>
        </w:rPr>
        <w:t>merica; WASO: wake after sleep onset</w:t>
      </w:r>
      <w:bookmarkStart w:id="34" w:name="_Toc129008667"/>
      <w:bookmarkEnd w:id="2"/>
      <w:bookmarkEnd w:id="33"/>
      <w:r w:rsidR="00A21B88" w:rsidRPr="0066602A">
        <w:rPr>
          <w:sz w:val="16"/>
          <w:szCs w:val="18"/>
        </w:rPr>
        <w:t>.</w:t>
      </w:r>
    </w:p>
    <w:p w14:paraId="6D83F4B4" w14:textId="192AF23F" w:rsidR="009A7DFD" w:rsidRPr="0066602A" w:rsidRDefault="009A7DFD" w:rsidP="009A7DFD">
      <w:pPr>
        <w:pStyle w:val="Heading2"/>
        <w:numPr>
          <w:ilvl w:val="0"/>
          <w:numId w:val="0"/>
        </w:numPr>
        <w:ind w:left="709" w:hanging="709"/>
        <w:rPr>
          <w:lang w:val="en-US"/>
        </w:rPr>
      </w:pPr>
      <w:bookmarkStart w:id="35" w:name="_Ref125386432"/>
      <w:bookmarkStart w:id="36" w:name="_Toc128725851"/>
      <w:bookmarkEnd w:id="34"/>
      <w:r w:rsidRPr="0066602A">
        <w:rPr>
          <w:lang w:val="en-US"/>
        </w:rPr>
        <w:lastRenderedPageBreak/>
        <w:t>Table 5. The impact of insomnia in cancer patients.</w:t>
      </w:r>
    </w:p>
    <w:p w14:paraId="58A84048" w14:textId="6D86F578" w:rsidR="00B9384A" w:rsidRPr="0066602A" w:rsidRDefault="00823E33" w:rsidP="003A152C">
      <w:pPr>
        <w:keepNext/>
        <w:spacing w:before="0" w:after="0" w:line="240" w:lineRule="auto"/>
        <w:rPr>
          <w:b/>
          <w:bCs/>
          <w:lang w:val="en-US"/>
        </w:rPr>
      </w:pPr>
      <w:bookmarkStart w:id="37" w:name="_Toc132179152"/>
      <w:r w:rsidRPr="0066602A">
        <w:rPr>
          <w:b/>
          <w:bCs/>
          <w:lang w:val="en-US"/>
        </w:rPr>
        <w:t xml:space="preserve">Table </w:t>
      </w:r>
      <w:r w:rsidRPr="0066602A">
        <w:rPr>
          <w:b/>
          <w:bCs/>
          <w:lang w:val="en-US"/>
        </w:rPr>
        <w:fldChar w:fldCharType="begin"/>
      </w:r>
      <w:r w:rsidRPr="0066602A">
        <w:rPr>
          <w:b/>
          <w:bCs/>
          <w:lang w:val="en-US"/>
        </w:rPr>
        <w:instrText xml:space="preserve"> SEQ Table \* ARABIC </w:instrText>
      </w:r>
      <w:r w:rsidRPr="0066602A">
        <w:rPr>
          <w:b/>
          <w:bCs/>
          <w:lang w:val="en-US"/>
        </w:rPr>
        <w:fldChar w:fldCharType="separate"/>
      </w:r>
      <w:r w:rsidR="009A7DFD" w:rsidRPr="0066602A">
        <w:rPr>
          <w:b/>
          <w:bCs/>
          <w:noProof/>
          <w:lang w:val="en-US"/>
        </w:rPr>
        <w:t>5</w:t>
      </w:r>
      <w:r w:rsidRPr="0066602A">
        <w:rPr>
          <w:b/>
          <w:bCs/>
          <w:noProof/>
          <w:lang w:val="en-US"/>
        </w:rPr>
        <w:fldChar w:fldCharType="end"/>
      </w:r>
      <w:bookmarkEnd w:id="35"/>
      <w:r w:rsidRPr="0066602A">
        <w:rPr>
          <w:b/>
          <w:bCs/>
          <w:lang w:val="en-US"/>
        </w:rPr>
        <w:t xml:space="preserve">. </w:t>
      </w:r>
      <w:r w:rsidR="00B9384A" w:rsidRPr="0066602A">
        <w:rPr>
          <w:b/>
          <w:bCs/>
          <w:lang w:val="en-US"/>
        </w:rPr>
        <w:t>The impact of insomnia in cancer patients.</w:t>
      </w:r>
      <w:bookmarkEnd w:id="36"/>
      <w:bookmarkEnd w:id="37"/>
    </w:p>
    <w:tbl>
      <w:tblPr>
        <w:tblStyle w:val="LightList-Accent61"/>
        <w:tblW w:w="5000" w:type="pct"/>
        <w:tblLook w:val="04A0" w:firstRow="1" w:lastRow="0" w:firstColumn="1" w:lastColumn="0" w:noHBand="0" w:noVBand="1"/>
      </w:tblPr>
      <w:tblGrid>
        <w:gridCol w:w="1423"/>
        <w:gridCol w:w="1332"/>
        <w:gridCol w:w="1198"/>
        <w:gridCol w:w="2025"/>
        <w:gridCol w:w="3248"/>
        <w:gridCol w:w="5084"/>
      </w:tblGrid>
      <w:tr w:rsidR="009A7DFD" w:rsidRPr="0066602A" w14:paraId="2E9DB84C" w14:textId="77777777" w:rsidTr="00A049DF">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458" w:type="pct"/>
            <w:noWrap/>
          </w:tcPr>
          <w:p w14:paraId="23483775" w14:textId="77777777" w:rsidR="009A7DFD" w:rsidRPr="0066602A" w:rsidRDefault="009A7DFD" w:rsidP="001E304D">
            <w:pPr>
              <w:pStyle w:val="Table-Normal"/>
              <w:rPr>
                <w:rFonts w:eastAsia="Times New Roman"/>
                <w:sz w:val="20"/>
                <w:szCs w:val="20"/>
                <w:lang w:val="en-US" w:eastAsia="en-GB"/>
              </w:rPr>
            </w:pPr>
            <w:r w:rsidRPr="0066602A">
              <w:rPr>
                <w:sz w:val="20"/>
                <w:szCs w:val="20"/>
                <w:lang w:val="en-US"/>
              </w:rPr>
              <w:t>Study details</w:t>
            </w:r>
          </w:p>
        </w:tc>
        <w:tc>
          <w:tcPr>
            <w:tcW w:w="498" w:type="pct"/>
          </w:tcPr>
          <w:p w14:paraId="24844E82" w14:textId="77777777" w:rsidR="009A7DFD" w:rsidRPr="0066602A" w:rsidRDefault="009A7DFD" w:rsidP="001E304D">
            <w:pPr>
              <w:pStyle w:val="Table-Normal"/>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Sample size</w:t>
            </w:r>
          </w:p>
        </w:tc>
        <w:tc>
          <w:tcPr>
            <w:tcW w:w="451" w:type="pct"/>
          </w:tcPr>
          <w:p w14:paraId="02C4A440" w14:textId="77777777" w:rsidR="009A7DFD" w:rsidRPr="0066602A" w:rsidRDefault="009A7DFD" w:rsidP="001E304D">
            <w:pPr>
              <w:pStyle w:val="Table-Normal"/>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Sex and age (years)</w:t>
            </w:r>
          </w:p>
        </w:tc>
        <w:tc>
          <w:tcPr>
            <w:tcW w:w="740" w:type="pct"/>
          </w:tcPr>
          <w:p w14:paraId="4CDDE89E" w14:textId="77777777" w:rsidR="009A7DFD" w:rsidRPr="0066602A" w:rsidRDefault="009A7DFD" w:rsidP="001E304D">
            <w:pPr>
              <w:pStyle w:val="Table-Normal"/>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Tumor type</w:t>
            </w:r>
          </w:p>
        </w:tc>
        <w:tc>
          <w:tcPr>
            <w:tcW w:w="1044" w:type="pct"/>
          </w:tcPr>
          <w:p w14:paraId="7831C62C" w14:textId="77777777" w:rsidR="009A7DFD" w:rsidRPr="0066602A" w:rsidRDefault="009A7DFD" w:rsidP="001E304D">
            <w:pPr>
              <w:pStyle w:val="Table-Normal"/>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Cancer treatment type</w:t>
            </w:r>
          </w:p>
        </w:tc>
        <w:tc>
          <w:tcPr>
            <w:tcW w:w="1809" w:type="pct"/>
          </w:tcPr>
          <w:p w14:paraId="288C6F7C" w14:textId="77777777" w:rsidR="009A7DFD" w:rsidRPr="0066602A" w:rsidRDefault="009A7DFD" w:rsidP="001E304D">
            <w:pPr>
              <w:pStyle w:val="Table-Normal"/>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Impact of insomnia</w:t>
            </w:r>
          </w:p>
        </w:tc>
      </w:tr>
      <w:tr w:rsidR="009A7DFD" w:rsidRPr="0066602A" w14:paraId="5BFE6D19"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ED6FF" w:themeFill="accent6" w:themeFillTint="33"/>
          </w:tcPr>
          <w:p w14:paraId="73B403B0" w14:textId="7F670DBC" w:rsidR="009A7DFD" w:rsidRPr="0066602A" w:rsidRDefault="009A7DFD" w:rsidP="001E304D">
            <w:pPr>
              <w:pStyle w:val="Table-Normal"/>
              <w:rPr>
                <w:rFonts w:cstheme="minorHAnsi"/>
                <w:sz w:val="20"/>
                <w:szCs w:val="20"/>
                <w:lang w:val="en-US"/>
              </w:rPr>
            </w:pPr>
            <w:r w:rsidRPr="0066602A">
              <w:rPr>
                <w:bCs/>
                <w:color w:val="4E5053"/>
                <w:sz w:val="20"/>
                <w:szCs w:val="20"/>
                <w:lang w:val="en-US"/>
              </w:rPr>
              <w:t>Quality of life (42</w:t>
            </w:r>
            <w:r w:rsidR="00D31DE7" w:rsidRPr="0066602A">
              <w:rPr>
                <w:bCs/>
                <w:color w:val="4E5053"/>
                <w:sz w:val="20"/>
                <w:szCs w:val="20"/>
                <w:lang w:val="en-US"/>
              </w:rPr>
              <w:t xml:space="preserve"> studies</w:t>
            </w:r>
            <w:r w:rsidRPr="0066602A">
              <w:rPr>
                <w:bCs/>
                <w:color w:val="4E5053"/>
                <w:sz w:val="20"/>
                <w:szCs w:val="20"/>
                <w:lang w:val="en-US"/>
              </w:rPr>
              <w:t>)</w:t>
            </w:r>
          </w:p>
        </w:tc>
      </w:tr>
      <w:tr w:rsidR="009A7DFD" w:rsidRPr="0066602A" w14:paraId="04440FA1"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AAC4327"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Bagheri-</w:t>
            </w:r>
            <w:proofErr w:type="spellStart"/>
            <w:r w:rsidRPr="0066602A">
              <w:rPr>
                <w:rFonts w:cstheme="minorHAnsi"/>
                <w:sz w:val="20"/>
                <w:szCs w:val="20"/>
                <w:lang w:val="en-US"/>
              </w:rPr>
              <w:t>Nesami</w:t>
            </w:r>
            <w:proofErr w:type="spellEnd"/>
            <w:r w:rsidRPr="0066602A">
              <w:rPr>
                <w:rFonts w:cstheme="minorHAnsi"/>
                <w:sz w:val="20"/>
                <w:szCs w:val="20"/>
                <w:lang w:val="en-US"/>
              </w:rPr>
              <w:t>, 2016</w:t>
            </w:r>
          </w:p>
          <w:p w14:paraId="4D991EA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Iran</w:t>
            </w:r>
          </w:p>
          <w:p w14:paraId="063A1E0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June 2015- September 2015</w:t>
            </w:r>
          </w:p>
        </w:tc>
        <w:tc>
          <w:tcPr>
            <w:tcW w:w="498" w:type="pct"/>
          </w:tcPr>
          <w:p w14:paraId="7E9EA3D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100</w:t>
            </w:r>
          </w:p>
        </w:tc>
        <w:tc>
          <w:tcPr>
            <w:tcW w:w="451" w:type="pct"/>
          </w:tcPr>
          <w:p w14:paraId="2700833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- 47%</w:t>
            </w:r>
            <w:r w:rsidRPr="0066602A">
              <w:rPr>
                <w:rFonts w:cstheme="minorHAnsi"/>
                <w:color w:val="4E5053"/>
                <w:sz w:val="20"/>
                <w:szCs w:val="20"/>
                <w:lang w:val="en-US"/>
              </w:rPr>
              <w:br/>
              <w:t>Female - 53%</w:t>
            </w:r>
            <w:r w:rsidRPr="0066602A">
              <w:rPr>
                <w:rFonts w:cstheme="minorHAnsi"/>
                <w:color w:val="4E5053"/>
                <w:sz w:val="20"/>
                <w:szCs w:val="20"/>
                <w:lang w:val="en-US"/>
              </w:rPr>
              <w:br/>
              <w:t>Mean - 44.08</w:t>
            </w:r>
          </w:p>
        </w:tc>
        <w:tc>
          <w:tcPr>
            <w:tcW w:w="740" w:type="pct"/>
          </w:tcPr>
          <w:p w14:paraId="59B7990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Leukemia: 100 (100%)</w:t>
            </w:r>
          </w:p>
        </w:tc>
        <w:tc>
          <w:tcPr>
            <w:tcW w:w="1044" w:type="pct"/>
          </w:tcPr>
          <w:p w14:paraId="73772BA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Chemotherapy: 100 (100%)</w:t>
            </w:r>
          </w:p>
        </w:tc>
        <w:tc>
          <w:tcPr>
            <w:tcW w:w="1809" w:type="pct"/>
          </w:tcPr>
          <w:p w14:paraId="3DD3DFF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sz w:val="20"/>
                <w:szCs w:val="20"/>
                <w:lang w:val="en-US"/>
              </w:rPr>
              <w:t xml:space="preserve">Bad daytime dysfunction: </w:t>
            </w:r>
            <w:r w:rsidRPr="0066602A">
              <w:rPr>
                <w:rFonts w:cstheme="minorHAnsi"/>
                <w:sz w:val="20"/>
                <w:szCs w:val="20"/>
                <w:lang w:val="en-US"/>
              </w:rPr>
              <w:t xml:space="preserve">19 (19%) </w:t>
            </w:r>
          </w:p>
        </w:tc>
      </w:tr>
      <w:tr w:rsidR="009A7DFD" w:rsidRPr="0066602A" w14:paraId="384A37E4"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218417F"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Cha, 2017</w:t>
            </w:r>
          </w:p>
          <w:p w14:paraId="37956CD8"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Korea</w:t>
            </w:r>
          </w:p>
          <w:p w14:paraId="7A7D6DC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descriptive study, NA</w:t>
            </w:r>
          </w:p>
        </w:tc>
        <w:tc>
          <w:tcPr>
            <w:tcW w:w="498" w:type="pct"/>
          </w:tcPr>
          <w:p w14:paraId="38E9B7A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208</w:t>
            </w:r>
          </w:p>
        </w:tc>
        <w:tc>
          <w:tcPr>
            <w:tcW w:w="451" w:type="pct"/>
          </w:tcPr>
          <w:p w14:paraId="7936357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- 21%</w:t>
            </w:r>
            <w:r w:rsidRPr="0066602A">
              <w:rPr>
                <w:rFonts w:cstheme="minorHAnsi"/>
                <w:color w:val="4E5053"/>
                <w:sz w:val="20"/>
                <w:szCs w:val="20"/>
                <w:lang w:val="en-US"/>
              </w:rPr>
              <w:br/>
              <w:t>Female - 79%</w:t>
            </w:r>
            <w:r w:rsidRPr="0066602A">
              <w:rPr>
                <w:rFonts w:cstheme="minorHAnsi"/>
                <w:color w:val="4E5053"/>
                <w:sz w:val="20"/>
                <w:szCs w:val="20"/>
                <w:lang w:val="en-US"/>
              </w:rPr>
              <w:br/>
              <w:t>Mean- 50.72</w:t>
            </w:r>
          </w:p>
        </w:tc>
        <w:tc>
          <w:tcPr>
            <w:tcW w:w="740" w:type="pct"/>
          </w:tcPr>
          <w:p w14:paraId="2FAED76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Breast: 91 (43.8%) </w:t>
            </w:r>
            <w:r w:rsidRPr="0066602A">
              <w:rPr>
                <w:rFonts w:cstheme="minorHAnsi"/>
                <w:sz w:val="20"/>
                <w:szCs w:val="20"/>
                <w:lang w:val="en-US"/>
              </w:rPr>
              <w:br/>
              <w:t xml:space="preserve">Gi: 35 (16.8%) </w:t>
            </w:r>
            <w:r w:rsidRPr="0066602A">
              <w:rPr>
                <w:rFonts w:cstheme="minorHAnsi"/>
                <w:sz w:val="20"/>
                <w:szCs w:val="20"/>
                <w:lang w:val="en-US"/>
              </w:rPr>
              <w:br/>
              <w:t xml:space="preserve">Hepatobiliary: 8 (3.8%) </w:t>
            </w:r>
            <w:r w:rsidRPr="0066602A">
              <w:rPr>
                <w:rFonts w:cstheme="minorHAnsi"/>
                <w:sz w:val="20"/>
                <w:szCs w:val="20"/>
                <w:lang w:val="en-US"/>
              </w:rPr>
              <w:br/>
              <w:t xml:space="preserve">Gynecological: 34 (16.3%) </w:t>
            </w:r>
            <w:r w:rsidRPr="0066602A">
              <w:rPr>
                <w:rFonts w:cstheme="minorHAnsi"/>
                <w:sz w:val="20"/>
                <w:szCs w:val="20"/>
                <w:lang w:val="en-US"/>
              </w:rPr>
              <w:br/>
              <w:t xml:space="preserve">Lung: 14 (6.7%) </w:t>
            </w:r>
            <w:r w:rsidRPr="0066602A">
              <w:rPr>
                <w:rFonts w:cstheme="minorHAnsi"/>
                <w:sz w:val="20"/>
                <w:szCs w:val="20"/>
                <w:lang w:val="en-US"/>
              </w:rPr>
              <w:br/>
              <w:t xml:space="preserve">Hematologic: 7 (3.4%) </w:t>
            </w:r>
            <w:r w:rsidRPr="0066602A">
              <w:rPr>
                <w:rFonts w:cstheme="minorHAnsi"/>
                <w:sz w:val="20"/>
                <w:szCs w:val="20"/>
                <w:lang w:val="en-US"/>
              </w:rPr>
              <w:br/>
              <w:t>Thyroid: 4 (1.9%)</w:t>
            </w:r>
            <w:r w:rsidRPr="0066602A">
              <w:rPr>
                <w:rFonts w:cstheme="minorHAnsi"/>
                <w:sz w:val="20"/>
                <w:szCs w:val="20"/>
                <w:lang w:val="en-US"/>
              </w:rPr>
              <w:br/>
              <w:t>Other: 15 (7.3%)</w:t>
            </w:r>
          </w:p>
        </w:tc>
        <w:tc>
          <w:tcPr>
            <w:tcW w:w="1044" w:type="pct"/>
          </w:tcPr>
          <w:p w14:paraId="61894521" w14:textId="4E8EE95C"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Surgery: 160 (76.9%)</w:t>
            </w:r>
            <w:r w:rsidRPr="0066602A">
              <w:rPr>
                <w:rFonts w:cstheme="minorHAnsi"/>
                <w:sz w:val="20"/>
                <w:szCs w:val="20"/>
                <w:lang w:val="en-US"/>
              </w:rPr>
              <w:br/>
              <w:t>Chemotherapy: 121 (58.2%)</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95: (45.6%)</w:t>
            </w:r>
            <w:r w:rsidRPr="0066602A">
              <w:rPr>
                <w:rFonts w:cstheme="minorHAnsi"/>
                <w:sz w:val="20"/>
                <w:szCs w:val="20"/>
                <w:lang w:val="en-US"/>
              </w:rPr>
              <w:br/>
              <w:t>Hormone therapy: 43 (20.7%)</w:t>
            </w:r>
          </w:p>
        </w:tc>
        <w:tc>
          <w:tcPr>
            <w:tcW w:w="1809" w:type="pct"/>
          </w:tcPr>
          <w:p w14:paraId="6A2DF93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sz w:val="20"/>
                <w:szCs w:val="20"/>
                <w:lang w:val="en-US"/>
              </w:rPr>
              <w:t>Depression:</w:t>
            </w:r>
            <w:r w:rsidRPr="0066602A">
              <w:rPr>
                <w:rFonts w:cstheme="minorHAnsi"/>
                <w:sz w:val="20"/>
                <w:szCs w:val="20"/>
                <w:lang w:val="en-US"/>
              </w:rPr>
              <w:t xml:space="preserve"> 119 (57.2%)</w:t>
            </w:r>
          </w:p>
          <w:p w14:paraId="00BEF1AD"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sz w:val="20"/>
                <w:szCs w:val="20"/>
                <w:lang w:val="en-US"/>
              </w:rPr>
              <w:t>Anxiety:</w:t>
            </w:r>
            <w:r w:rsidRPr="0066602A">
              <w:rPr>
                <w:rFonts w:cstheme="minorHAnsi"/>
                <w:sz w:val="20"/>
                <w:szCs w:val="20"/>
                <w:lang w:val="en-US"/>
              </w:rPr>
              <w:t xml:space="preserve"> 170 (81.7%) </w:t>
            </w:r>
            <w:r w:rsidRPr="0066602A">
              <w:rPr>
                <w:rFonts w:cstheme="minorHAnsi"/>
                <w:sz w:val="20"/>
                <w:szCs w:val="20"/>
                <w:lang w:val="en-US"/>
              </w:rPr>
              <w:br/>
            </w:r>
            <w:r w:rsidRPr="0066602A">
              <w:rPr>
                <w:rFonts w:cstheme="minorHAnsi"/>
                <w:b/>
                <w:bCs w:val="0"/>
                <w:sz w:val="20"/>
                <w:szCs w:val="20"/>
                <w:lang w:val="en-US"/>
              </w:rPr>
              <w:t>High levels of depression and insomnia:</w:t>
            </w:r>
            <w:r w:rsidRPr="0066602A">
              <w:rPr>
                <w:rFonts w:cstheme="minorHAnsi"/>
                <w:sz w:val="20"/>
                <w:szCs w:val="20"/>
                <w:lang w:val="en-US"/>
              </w:rPr>
              <w:t xml:space="preserve"> 40% </w:t>
            </w:r>
          </w:p>
        </w:tc>
      </w:tr>
      <w:tr w:rsidR="009A7DFD" w:rsidRPr="0066602A" w14:paraId="45244292"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24EE898"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Chen, 2020</w:t>
            </w:r>
          </w:p>
          <w:p w14:paraId="783DC816"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7531EF06"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observational study, 6 Months (4 timepoints), Enrolled January 2008 - June 2012</w:t>
            </w:r>
          </w:p>
        </w:tc>
        <w:tc>
          <w:tcPr>
            <w:tcW w:w="498" w:type="pct"/>
          </w:tcPr>
          <w:p w14:paraId="17AB9CE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54 cancer patients and their partners (n=108)</w:t>
            </w:r>
          </w:p>
        </w:tc>
        <w:tc>
          <w:tcPr>
            <w:tcW w:w="451" w:type="pct"/>
          </w:tcPr>
          <w:p w14:paraId="2DAF677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- 65%</w:t>
            </w:r>
            <w:r w:rsidRPr="0066602A">
              <w:rPr>
                <w:rFonts w:cstheme="minorHAnsi"/>
                <w:color w:val="4E5053"/>
                <w:sz w:val="20"/>
                <w:szCs w:val="20"/>
                <w:lang w:val="en-US"/>
              </w:rPr>
              <w:br/>
              <w:t>Female - 35%</w:t>
            </w:r>
            <w:r w:rsidRPr="0066602A">
              <w:rPr>
                <w:rFonts w:cstheme="minorHAnsi"/>
                <w:color w:val="4E5053"/>
                <w:sz w:val="20"/>
                <w:szCs w:val="20"/>
                <w:lang w:val="en-US"/>
              </w:rPr>
              <w:br/>
              <w:t>Mean - 62</w:t>
            </w:r>
          </w:p>
        </w:tc>
        <w:tc>
          <w:tcPr>
            <w:tcW w:w="740" w:type="pct"/>
          </w:tcPr>
          <w:p w14:paraId="3D22263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Hepatocellular or </w:t>
            </w:r>
            <w:proofErr w:type="spellStart"/>
            <w:r w:rsidRPr="0066602A">
              <w:rPr>
                <w:rFonts w:cstheme="minorHAnsi"/>
                <w:sz w:val="20"/>
                <w:szCs w:val="20"/>
                <w:lang w:val="en-US"/>
              </w:rPr>
              <w:t>Cholangio</w:t>
            </w:r>
            <w:proofErr w:type="spellEnd"/>
            <w:r w:rsidRPr="0066602A">
              <w:rPr>
                <w:rFonts w:cstheme="minorHAnsi"/>
                <w:sz w:val="20"/>
                <w:szCs w:val="20"/>
                <w:lang w:val="en-US"/>
              </w:rPr>
              <w:t xml:space="preserve"> Carcinoma: 36 (67%)</w:t>
            </w:r>
            <w:r w:rsidRPr="0066602A">
              <w:rPr>
                <w:rFonts w:cstheme="minorHAnsi"/>
                <w:sz w:val="20"/>
                <w:szCs w:val="20"/>
                <w:lang w:val="en-US"/>
              </w:rPr>
              <w:br/>
              <w:t>Colorectal with liver metastases: 6 (11%)</w:t>
            </w:r>
            <w:r w:rsidRPr="0066602A">
              <w:rPr>
                <w:rFonts w:cstheme="minorHAnsi"/>
                <w:sz w:val="20"/>
                <w:szCs w:val="20"/>
                <w:lang w:val="en-US"/>
              </w:rPr>
              <w:br/>
              <w:t>Other: 12 (22%)</w:t>
            </w:r>
          </w:p>
        </w:tc>
        <w:tc>
          <w:tcPr>
            <w:tcW w:w="1044" w:type="pct"/>
          </w:tcPr>
          <w:p w14:paraId="6221C75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Regional chemo/90Y (radiation): 41 (76%)</w:t>
            </w:r>
            <w:r w:rsidRPr="0066602A">
              <w:rPr>
                <w:rFonts w:cstheme="minorHAnsi"/>
                <w:sz w:val="20"/>
                <w:szCs w:val="20"/>
                <w:lang w:val="en-US"/>
              </w:rPr>
              <w:br/>
              <w:t>Radiofrequency ablation/resection: 13 (24%)</w:t>
            </w:r>
          </w:p>
        </w:tc>
        <w:tc>
          <w:tcPr>
            <w:tcW w:w="1809" w:type="pct"/>
          </w:tcPr>
          <w:p w14:paraId="44E9B5B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No significant relationships were found between the caregivers’ sleep (PSQI) and depression.</w:t>
            </w:r>
          </w:p>
          <w:p w14:paraId="54EC13A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F stands for F-test</w:t>
            </w:r>
            <w:r w:rsidRPr="0066602A">
              <w:rPr>
                <w:rFonts w:cstheme="minorHAnsi"/>
                <w:sz w:val="20"/>
                <w:szCs w:val="20"/>
                <w:lang w:val="en-US"/>
              </w:rPr>
              <w:br/>
            </w:r>
            <w:r w:rsidRPr="0066602A">
              <w:rPr>
                <w:rFonts w:cstheme="minorHAnsi"/>
                <w:b/>
                <w:bCs w:val="0"/>
                <w:sz w:val="20"/>
                <w:szCs w:val="20"/>
                <w:lang w:val="en-US"/>
              </w:rPr>
              <w:t>Sleep duration</w:t>
            </w:r>
            <w:r w:rsidRPr="0066602A">
              <w:rPr>
                <w:rFonts w:cstheme="minorHAnsi"/>
                <w:sz w:val="20"/>
                <w:szCs w:val="20"/>
                <w:lang w:val="en-US"/>
              </w:rPr>
              <w:t xml:space="preserve"> [</w:t>
            </w:r>
            <w:proofErr w:type="gramStart"/>
            <w:r w:rsidRPr="0066602A">
              <w:rPr>
                <w:rFonts w:cstheme="minorHAnsi"/>
                <w:sz w:val="20"/>
                <w:szCs w:val="20"/>
                <w:lang w:val="en-US"/>
              </w:rPr>
              <w:t>F(</w:t>
            </w:r>
            <w:proofErr w:type="gramEnd"/>
            <w:r w:rsidRPr="0066602A">
              <w:rPr>
                <w:rFonts w:cstheme="minorHAnsi"/>
                <w:sz w:val="20"/>
                <w:szCs w:val="20"/>
                <w:lang w:val="en-US"/>
              </w:rPr>
              <w:t>1,26) = 0.646, p=0.533]</w:t>
            </w:r>
          </w:p>
          <w:p w14:paraId="7FBACB0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sz w:val="20"/>
                <w:szCs w:val="20"/>
                <w:lang w:val="en-US"/>
              </w:rPr>
              <w:t>Sleep latency</w:t>
            </w:r>
            <w:r w:rsidRPr="0066602A">
              <w:rPr>
                <w:rFonts w:cstheme="minorHAnsi"/>
                <w:sz w:val="20"/>
                <w:szCs w:val="20"/>
                <w:lang w:val="en-US"/>
              </w:rPr>
              <w:t xml:space="preserve"> [</w:t>
            </w:r>
            <w:proofErr w:type="gramStart"/>
            <w:r w:rsidRPr="0066602A">
              <w:rPr>
                <w:rFonts w:cstheme="minorHAnsi"/>
                <w:sz w:val="20"/>
                <w:szCs w:val="20"/>
                <w:lang w:val="en-US"/>
              </w:rPr>
              <w:t>F(</w:t>
            </w:r>
            <w:proofErr w:type="gramEnd"/>
            <w:r w:rsidRPr="0066602A">
              <w:rPr>
                <w:rFonts w:cstheme="minorHAnsi"/>
                <w:sz w:val="20"/>
                <w:szCs w:val="20"/>
                <w:lang w:val="en-US"/>
              </w:rPr>
              <w:t>1,25) = 1.824, p=0.184]</w:t>
            </w:r>
          </w:p>
          <w:p w14:paraId="3C0BB1D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sz w:val="20"/>
                <w:szCs w:val="20"/>
                <w:lang w:val="en-US"/>
              </w:rPr>
              <w:t>Sleep quality</w:t>
            </w:r>
            <w:r w:rsidRPr="0066602A">
              <w:rPr>
                <w:rFonts w:cstheme="minorHAnsi"/>
                <w:sz w:val="20"/>
                <w:szCs w:val="20"/>
                <w:lang w:val="en-US"/>
              </w:rPr>
              <w:t xml:space="preserve"> [</w:t>
            </w:r>
            <w:proofErr w:type="gramStart"/>
            <w:r w:rsidRPr="0066602A">
              <w:rPr>
                <w:rFonts w:cstheme="minorHAnsi"/>
                <w:sz w:val="20"/>
                <w:szCs w:val="20"/>
                <w:lang w:val="en-US"/>
              </w:rPr>
              <w:t>F(</w:t>
            </w:r>
            <w:proofErr w:type="gramEnd"/>
            <w:r w:rsidRPr="0066602A">
              <w:rPr>
                <w:rFonts w:cstheme="minorHAnsi"/>
                <w:sz w:val="20"/>
                <w:szCs w:val="20"/>
                <w:lang w:val="en-US"/>
              </w:rPr>
              <w:t xml:space="preserve">1,26) = 0.681, p=0.573] </w:t>
            </w:r>
          </w:p>
          <w:p w14:paraId="27B19CE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None were related to depressive symptoms. </w:t>
            </w:r>
            <w:r w:rsidRPr="0066602A">
              <w:rPr>
                <w:rFonts w:cstheme="minorHAnsi"/>
                <w:sz w:val="20"/>
                <w:szCs w:val="20"/>
                <w:lang w:val="en-US"/>
              </w:rPr>
              <w:br/>
              <w:t>&gt; No significant relationships between the following aspects and depressive symptoms in the advanced cancer patients:</w:t>
            </w:r>
          </w:p>
          <w:p w14:paraId="63DC4A8A" w14:textId="77777777" w:rsidR="009A7DFD" w:rsidRPr="0066602A" w:rsidRDefault="009A7DFD" w:rsidP="00D31DE7">
            <w:pPr>
              <w:pStyle w:val="Table-Normal"/>
              <w:cnfStyle w:val="000000010000" w:firstRow="0" w:lastRow="0" w:firstColumn="0" w:lastColumn="0" w:oddVBand="0" w:evenVBand="0" w:oddHBand="0" w:evenHBand="1" w:firstRowFirstColumn="0" w:firstRowLastColumn="0" w:lastRowFirstColumn="0" w:lastRowLastColumn="0"/>
              <w:rPr>
                <w:lang w:val="en-US"/>
              </w:rPr>
            </w:pPr>
            <w:r w:rsidRPr="0066602A">
              <w:rPr>
                <w:b/>
                <w:lang w:val="en-US"/>
              </w:rPr>
              <w:t>Sleep duration</w:t>
            </w:r>
            <w:r w:rsidRPr="0066602A">
              <w:rPr>
                <w:lang w:val="en-US"/>
              </w:rPr>
              <w:t xml:space="preserve"> [</w:t>
            </w:r>
            <w:proofErr w:type="gramStart"/>
            <w:r w:rsidRPr="0066602A">
              <w:rPr>
                <w:lang w:val="en-US"/>
              </w:rPr>
              <w:t>F(</w:t>
            </w:r>
            <w:proofErr w:type="gramEnd"/>
            <w:r w:rsidRPr="0066602A">
              <w:rPr>
                <w:lang w:val="en-US"/>
              </w:rPr>
              <w:t>1,19) = 1.543, p=0.242]</w:t>
            </w:r>
          </w:p>
          <w:p w14:paraId="15247211" w14:textId="77777777" w:rsidR="009A7DFD" w:rsidRPr="0066602A" w:rsidRDefault="009A7DFD" w:rsidP="00D31DE7">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sz w:val="20"/>
                <w:szCs w:val="20"/>
                <w:lang w:val="en-US"/>
              </w:rPr>
              <w:lastRenderedPageBreak/>
              <w:t>Sleep latency</w:t>
            </w:r>
            <w:r w:rsidRPr="0066602A">
              <w:rPr>
                <w:rFonts w:cstheme="minorHAnsi"/>
                <w:sz w:val="20"/>
                <w:szCs w:val="20"/>
                <w:lang w:val="en-US"/>
              </w:rPr>
              <w:t xml:space="preserve"> [</w:t>
            </w:r>
            <w:proofErr w:type="gramStart"/>
            <w:r w:rsidRPr="0066602A">
              <w:rPr>
                <w:rFonts w:cstheme="minorHAnsi"/>
                <w:sz w:val="20"/>
                <w:szCs w:val="20"/>
                <w:lang w:val="en-US"/>
              </w:rPr>
              <w:t>F(</w:t>
            </w:r>
            <w:proofErr w:type="gramEnd"/>
            <w:r w:rsidRPr="0066602A">
              <w:rPr>
                <w:rFonts w:cstheme="minorHAnsi"/>
                <w:sz w:val="20"/>
                <w:szCs w:val="20"/>
                <w:lang w:val="en-US"/>
              </w:rPr>
              <w:t>1,18) = 0.546, p=0.590]</w:t>
            </w:r>
          </w:p>
          <w:p w14:paraId="3238B92A" w14:textId="77777777" w:rsidR="009A7DFD" w:rsidRPr="0066602A" w:rsidRDefault="009A7DFD" w:rsidP="00D31DE7">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sz w:val="20"/>
                <w:szCs w:val="20"/>
                <w:lang w:val="en-US"/>
              </w:rPr>
              <w:t>Sleep quality</w:t>
            </w:r>
            <w:r w:rsidRPr="0066602A">
              <w:rPr>
                <w:rFonts w:cstheme="minorHAnsi"/>
                <w:sz w:val="20"/>
                <w:szCs w:val="20"/>
                <w:lang w:val="en-US"/>
              </w:rPr>
              <w:t xml:space="preserve"> [</w:t>
            </w:r>
            <w:proofErr w:type="gramStart"/>
            <w:r w:rsidRPr="0066602A">
              <w:rPr>
                <w:rFonts w:cstheme="minorHAnsi"/>
                <w:sz w:val="20"/>
                <w:szCs w:val="20"/>
                <w:lang w:val="en-US"/>
              </w:rPr>
              <w:t>F(</w:t>
            </w:r>
            <w:proofErr w:type="gramEnd"/>
            <w:r w:rsidRPr="0066602A">
              <w:rPr>
                <w:rFonts w:cstheme="minorHAnsi"/>
                <w:sz w:val="20"/>
                <w:szCs w:val="20"/>
                <w:lang w:val="en-US"/>
              </w:rPr>
              <w:t xml:space="preserve">1,19) = 0.715, p=0.557] </w:t>
            </w:r>
          </w:p>
        </w:tc>
      </w:tr>
      <w:tr w:rsidR="009A7DFD" w:rsidRPr="0066602A" w14:paraId="143834FA"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B1AAB5D"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Cheng, 2011</w:t>
            </w:r>
          </w:p>
          <w:p w14:paraId="692CDDD5"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China</w:t>
            </w:r>
          </w:p>
          <w:p w14:paraId="7947266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descriptive study, NA</w:t>
            </w:r>
          </w:p>
        </w:tc>
        <w:tc>
          <w:tcPr>
            <w:tcW w:w="498" w:type="pct"/>
          </w:tcPr>
          <w:p w14:paraId="3999C23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120</w:t>
            </w:r>
          </w:p>
        </w:tc>
        <w:tc>
          <w:tcPr>
            <w:tcW w:w="451" w:type="pct"/>
          </w:tcPr>
          <w:p w14:paraId="5ABDA99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- 58%</w:t>
            </w:r>
            <w:r w:rsidRPr="0066602A">
              <w:rPr>
                <w:rFonts w:cstheme="minorHAnsi"/>
                <w:color w:val="4E5053"/>
                <w:sz w:val="20"/>
                <w:szCs w:val="20"/>
                <w:lang w:val="en-US"/>
              </w:rPr>
              <w:br/>
              <w:t>Female - 42%</w:t>
            </w:r>
            <w:r w:rsidRPr="0066602A">
              <w:rPr>
                <w:rFonts w:cstheme="minorHAnsi"/>
                <w:color w:val="4E5053"/>
                <w:sz w:val="20"/>
                <w:szCs w:val="20"/>
                <w:lang w:val="en-US"/>
              </w:rPr>
              <w:br/>
              <w:t>Mean – 68.82</w:t>
            </w:r>
          </w:p>
        </w:tc>
        <w:tc>
          <w:tcPr>
            <w:tcW w:w="740" w:type="pct"/>
          </w:tcPr>
          <w:p w14:paraId="3920540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Head and neck: 19 (15.8%)</w:t>
            </w:r>
            <w:r w:rsidRPr="0066602A">
              <w:rPr>
                <w:rFonts w:cstheme="minorHAnsi"/>
                <w:sz w:val="20"/>
                <w:szCs w:val="20"/>
                <w:lang w:val="en-US"/>
              </w:rPr>
              <w:br/>
              <w:t>Breast: 13 (10.8%)</w:t>
            </w:r>
            <w:r w:rsidRPr="0066602A">
              <w:rPr>
                <w:rFonts w:cstheme="minorHAnsi"/>
                <w:sz w:val="20"/>
                <w:szCs w:val="20"/>
                <w:lang w:val="en-US"/>
              </w:rPr>
              <w:br/>
              <w:t>Lung: 24 (20%)</w:t>
            </w:r>
            <w:r w:rsidRPr="0066602A">
              <w:rPr>
                <w:rFonts w:cstheme="minorHAnsi"/>
                <w:sz w:val="20"/>
                <w:szCs w:val="20"/>
                <w:lang w:val="en-US"/>
              </w:rPr>
              <w:br/>
              <w:t>Colorectal: 38 (31.7%)</w:t>
            </w:r>
            <w:r w:rsidRPr="0066602A">
              <w:rPr>
                <w:rFonts w:cstheme="minorHAnsi"/>
                <w:sz w:val="20"/>
                <w:szCs w:val="20"/>
                <w:lang w:val="en-US"/>
              </w:rPr>
              <w:br/>
              <w:t>Gynecological: 7 (5.8%)</w:t>
            </w:r>
            <w:r w:rsidRPr="0066602A">
              <w:rPr>
                <w:rFonts w:cstheme="minorHAnsi"/>
                <w:sz w:val="20"/>
                <w:szCs w:val="20"/>
                <w:lang w:val="en-US"/>
              </w:rPr>
              <w:br/>
              <w:t>Prostate: 7 (5.8%)</w:t>
            </w:r>
            <w:r w:rsidRPr="0066602A">
              <w:rPr>
                <w:rFonts w:cstheme="minorHAnsi"/>
                <w:sz w:val="20"/>
                <w:szCs w:val="20"/>
                <w:lang w:val="en-US"/>
              </w:rPr>
              <w:br/>
              <w:t>Esophagus: 4 (3.3%)</w:t>
            </w:r>
            <w:r w:rsidRPr="0066602A">
              <w:rPr>
                <w:rFonts w:cstheme="minorHAnsi"/>
                <w:sz w:val="20"/>
                <w:szCs w:val="20"/>
                <w:lang w:val="en-US"/>
              </w:rPr>
              <w:br/>
              <w:t>Others: 8 (6.7%)</w:t>
            </w:r>
          </w:p>
        </w:tc>
        <w:tc>
          <w:tcPr>
            <w:tcW w:w="1044" w:type="pct"/>
          </w:tcPr>
          <w:p w14:paraId="2845987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 49 (40.8%)</w:t>
            </w:r>
            <w:r w:rsidRPr="0066602A">
              <w:rPr>
                <w:rFonts w:cstheme="minorHAnsi"/>
                <w:sz w:val="20"/>
                <w:szCs w:val="20"/>
                <w:lang w:val="en-US"/>
              </w:rPr>
              <w:br/>
              <w:t>Radiotherapy: 39 (32.5%)</w:t>
            </w:r>
            <w:r w:rsidRPr="0066602A">
              <w:rPr>
                <w:rFonts w:cstheme="minorHAnsi"/>
                <w:sz w:val="20"/>
                <w:szCs w:val="20"/>
                <w:lang w:val="en-US"/>
              </w:rPr>
              <w:br/>
              <w:t>Chemo-radiotherapy: 32 (26.7%)</w:t>
            </w:r>
          </w:p>
        </w:tc>
        <w:tc>
          <w:tcPr>
            <w:tcW w:w="1809" w:type="pct"/>
          </w:tcPr>
          <w:p w14:paraId="10F7F9D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Correlation coefficients among pain, fatigue, insomnia, and mood disturbance (N= 120). </w:t>
            </w:r>
            <w:r w:rsidRPr="0066602A">
              <w:rPr>
                <w:rFonts w:cstheme="minorHAnsi"/>
                <w:sz w:val="20"/>
                <w:szCs w:val="20"/>
                <w:lang w:val="en-US"/>
              </w:rPr>
              <w:br/>
            </w:r>
            <w:r w:rsidRPr="0066602A">
              <w:rPr>
                <w:rFonts w:cstheme="minorHAnsi"/>
                <w:b/>
                <w:bCs w:val="0"/>
                <w:sz w:val="20"/>
                <w:szCs w:val="20"/>
                <w:lang w:val="en-US"/>
              </w:rPr>
              <w:t>Symptom Distress Scale (SDS-C):</w:t>
            </w:r>
            <w:r w:rsidRPr="0066602A">
              <w:rPr>
                <w:rFonts w:cstheme="minorHAnsi"/>
                <w:sz w:val="20"/>
                <w:szCs w:val="20"/>
                <w:lang w:val="en-US"/>
              </w:rPr>
              <w:br/>
              <w:t>Insomnia and pain: 0.312 (p&lt;0.001)</w:t>
            </w:r>
            <w:r w:rsidRPr="0066602A">
              <w:rPr>
                <w:rFonts w:cstheme="minorHAnsi"/>
                <w:sz w:val="20"/>
                <w:szCs w:val="20"/>
                <w:lang w:val="en-US"/>
              </w:rPr>
              <w:br/>
              <w:t>Mood disturbance and insomnia: 0.434 (p&lt;0.001)</w:t>
            </w:r>
            <w:r w:rsidRPr="0066602A">
              <w:rPr>
                <w:rFonts w:cstheme="minorHAnsi"/>
                <w:sz w:val="20"/>
                <w:szCs w:val="20"/>
                <w:lang w:val="en-US"/>
              </w:rPr>
              <w:br/>
            </w:r>
            <w:r w:rsidRPr="0066602A">
              <w:rPr>
                <w:rFonts w:cstheme="minorHAnsi"/>
                <w:b/>
                <w:bCs w:val="0"/>
                <w:sz w:val="20"/>
                <w:szCs w:val="20"/>
                <w:lang w:val="en-US"/>
              </w:rPr>
              <w:t>Functional Assessment of Cancer Therapy-General scale (FACT-G)</w:t>
            </w:r>
            <w:r w:rsidRPr="0066602A">
              <w:rPr>
                <w:rFonts w:cstheme="minorHAnsi"/>
                <w:sz w:val="20"/>
                <w:szCs w:val="20"/>
                <w:lang w:val="en-US"/>
              </w:rPr>
              <w:t>:</w:t>
            </w:r>
            <w:r w:rsidRPr="0066602A">
              <w:rPr>
                <w:rFonts w:cstheme="minorHAnsi"/>
                <w:sz w:val="20"/>
                <w:szCs w:val="20"/>
                <w:lang w:val="en-US"/>
              </w:rPr>
              <w:br/>
              <w:t>Insomnia and physical: −0.480 (p&lt;0.001)</w:t>
            </w:r>
            <w:r w:rsidRPr="0066602A">
              <w:rPr>
                <w:rFonts w:cstheme="minorHAnsi"/>
                <w:sz w:val="20"/>
                <w:szCs w:val="20"/>
                <w:lang w:val="en-US"/>
              </w:rPr>
              <w:br/>
              <w:t>Insomnia and social: −0.253 (p&lt;0.01)</w:t>
            </w:r>
            <w:r w:rsidRPr="0066602A">
              <w:rPr>
                <w:rFonts w:cstheme="minorHAnsi"/>
                <w:sz w:val="20"/>
                <w:szCs w:val="20"/>
                <w:lang w:val="en-US"/>
              </w:rPr>
              <w:br/>
              <w:t>Insomnia and emotional: −0.391 (p&lt;0.001)</w:t>
            </w:r>
            <w:r w:rsidRPr="0066602A">
              <w:rPr>
                <w:rFonts w:cstheme="minorHAnsi"/>
                <w:sz w:val="20"/>
                <w:szCs w:val="20"/>
                <w:lang w:val="en-US"/>
              </w:rPr>
              <w:br/>
              <w:t>Insomnia and functional: −0.518 (p&lt;0.001)</w:t>
            </w:r>
          </w:p>
        </w:tc>
      </w:tr>
      <w:tr w:rsidR="009A7DFD" w:rsidRPr="0066602A" w14:paraId="48DAD52B"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B551111"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Clevenger, 2013</w:t>
            </w:r>
          </w:p>
          <w:p w14:paraId="197CA68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5E0C308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Longitudinal study, 1 year</w:t>
            </w:r>
          </w:p>
        </w:tc>
        <w:tc>
          <w:tcPr>
            <w:tcW w:w="498" w:type="pct"/>
          </w:tcPr>
          <w:p w14:paraId="14AD7A9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Before surgery: 173</w:t>
            </w:r>
          </w:p>
          <w:p w14:paraId="5E44AF6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sz w:val="20"/>
                <w:szCs w:val="20"/>
                <w:lang w:val="en-US"/>
              </w:rPr>
              <w:t>6-month follow-up: 119</w:t>
            </w:r>
            <w:r w:rsidRPr="0066602A">
              <w:rPr>
                <w:sz w:val="20"/>
                <w:szCs w:val="20"/>
                <w:lang w:val="en-US"/>
              </w:rPr>
              <w:br/>
              <w:t>1-year follow-up: 108</w:t>
            </w:r>
          </w:p>
        </w:tc>
        <w:tc>
          <w:tcPr>
            <w:tcW w:w="451" w:type="pct"/>
          </w:tcPr>
          <w:p w14:paraId="0C09ACE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- 59.39</w:t>
            </w:r>
          </w:p>
        </w:tc>
        <w:tc>
          <w:tcPr>
            <w:tcW w:w="740" w:type="pct"/>
          </w:tcPr>
          <w:p w14:paraId="6A3AF36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Ovarian: 173 (100%)</w:t>
            </w:r>
          </w:p>
        </w:tc>
        <w:tc>
          <w:tcPr>
            <w:tcW w:w="1044" w:type="pct"/>
          </w:tcPr>
          <w:p w14:paraId="7297CBC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sz w:val="20"/>
                <w:szCs w:val="20"/>
                <w:lang w:val="en-US"/>
              </w:rPr>
              <w:t>Medication use before surgery</w:t>
            </w:r>
            <w:r w:rsidRPr="0066602A">
              <w:rPr>
                <w:rFonts w:cstheme="minorHAnsi"/>
                <w:sz w:val="20"/>
                <w:szCs w:val="20"/>
                <w:lang w:val="en-US"/>
              </w:rPr>
              <w:br/>
              <w:t>Hypnotics: 11.8%</w:t>
            </w:r>
            <w:r w:rsidRPr="0066602A">
              <w:rPr>
                <w:rFonts w:cstheme="minorHAnsi"/>
                <w:sz w:val="20"/>
                <w:szCs w:val="20"/>
                <w:lang w:val="en-US"/>
              </w:rPr>
              <w:br/>
              <w:t>Antidepressants: 22.6%</w:t>
            </w:r>
            <w:r w:rsidRPr="0066602A">
              <w:rPr>
                <w:rFonts w:cstheme="minorHAnsi"/>
                <w:sz w:val="20"/>
                <w:szCs w:val="20"/>
                <w:lang w:val="en-US"/>
              </w:rPr>
              <w:br/>
              <w:t>Anxiolytics: 12.4%</w:t>
            </w:r>
            <w:r w:rsidRPr="0066602A">
              <w:rPr>
                <w:rFonts w:cstheme="minorHAnsi"/>
                <w:sz w:val="20"/>
                <w:szCs w:val="20"/>
                <w:lang w:val="en-US"/>
              </w:rPr>
              <w:br/>
              <w:t>Pain medications: 23.1%</w:t>
            </w:r>
            <w:r w:rsidRPr="0066602A">
              <w:rPr>
                <w:rFonts w:cstheme="minorHAnsi"/>
                <w:sz w:val="20"/>
                <w:szCs w:val="20"/>
                <w:lang w:val="en-US"/>
              </w:rPr>
              <w:br/>
            </w:r>
            <w:r w:rsidRPr="0066602A">
              <w:rPr>
                <w:rFonts w:cstheme="minorHAnsi"/>
                <w:b/>
                <w:bCs w:val="0"/>
                <w:sz w:val="20"/>
                <w:szCs w:val="20"/>
                <w:lang w:val="en-US"/>
              </w:rPr>
              <w:t>Medication use at 6 months</w:t>
            </w:r>
            <w:r w:rsidRPr="0066602A">
              <w:rPr>
                <w:rFonts w:cstheme="minorHAnsi"/>
                <w:sz w:val="20"/>
                <w:szCs w:val="20"/>
                <w:lang w:val="en-US"/>
              </w:rPr>
              <w:br/>
              <w:t>Hypnotics: 11.3%</w:t>
            </w:r>
            <w:r w:rsidRPr="0066602A">
              <w:rPr>
                <w:rFonts w:cstheme="minorHAnsi"/>
                <w:sz w:val="20"/>
                <w:szCs w:val="20"/>
                <w:lang w:val="en-US"/>
              </w:rPr>
              <w:br/>
              <w:t>Antidepressants: 12.9%</w:t>
            </w:r>
            <w:r w:rsidRPr="0066602A">
              <w:rPr>
                <w:rFonts w:cstheme="minorHAnsi"/>
                <w:sz w:val="20"/>
                <w:szCs w:val="20"/>
                <w:lang w:val="en-US"/>
              </w:rPr>
              <w:br/>
              <w:t>Anxiolytics: 8.6%</w:t>
            </w:r>
            <w:r w:rsidRPr="0066602A">
              <w:rPr>
                <w:rFonts w:cstheme="minorHAnsi"/>
                <w:sz w:val="20"/>
                <w:szCs w:val="20"/>
                <w:lang w:val="en-US"/>
              </w:rPr>
              <w:br/>
              <w:t>Pain medications: 17.7%</w:t>
            </w:r>
            <w:r w:rsidRPr="0066602A">
              <w:rPr>
                <w:rFonts w:cstheme="minorHAnsi"/>
                <w:sz w:val="20"/>
                <w:szCs w:val="20"/>
                <w:lang w:val="en-US"/>
              </w:rPr>
              <w:br/>
            </w:r>
            <w:r w:rsidRPr="0066602A">
              <w:rPr>
                <w:rFonts w:cstheme="minorHAnsi"/>
                <w:b/>
                <w:bCs w:val="0"/>
                <w:sz w:val="20"/>
                <w:szCs w:val="20"/>
                <w:lang w:val="en-US"/>
              </w:rPr>
              <w:t>Medication use at 1 year</w:t>
            </w:r>
            <w:r w:rsidRPr="0066602A">
              <w:rPr>
                <w:rFonts w:cstheme="minorHAnsi"/>
                <w:sz w:val="20"/>
                <w:szCs w:val="20"/>
                <w:lang w:val="en-US"/>
              </w:rPr>
              <w:br/>
              <w:t>Hypnotics: 9.3%</w:t>
            </w:r>
            <w:r w:rsidRPr="0066602A">
              <w:rPr>
                <w:rFonts w:cstheme="minorHAnsi"/>
                <w:sz w:val="20"/>
                <w:szCs w:val="20"/>
                <w:lang w:val="en-US"/>
              </w:rPr>
              <w:br/>
              <w:t>Antidepressants: 25.8%</w:t>
            </w:r>
            <w:r w:rsidRPr="0066602A">
              <w:rPr>
                <w:rFonts w:cstheme="minorHAnsi"/>
                <w:sz w:val="20"/>
                <w:szCs w:val="20"/>
                <w:lang w:val="en-US"/>
              </w:rPr>
              <w:br/>
              <w:t>Anxiolytics: 13.4%</w:t>
            </w:r>
            <w:r w:rsidRPr="0066602A">
              <w:rPr>
                <w:rFonts w:cstheme="minorHAnsi"/>
                <w:sz w:val="20"/>
                <w:szCs w:val="20"/>
                <w:lang w:val="en-US"/>
              </w:rPr>
              <w:br/>
              <w:t>Pain medications: 28.9%</w:t>
            </w:r>
          </w:p>
        </w:tc>
        <w:tc>
          <w:tcPr>
            <w:tcW w:w="1809" w:type="pct"/>
          </w:tcPr>
          <w:p w14:paraId="447218B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During the year following surgery, significant improvements were seen in:</w:t>
            </w:r>
          </w:p>
          <w:p w14:paraId="682BFD6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Global sleep quality (P=0.035)</w:t>
            </w:r>
          </w:p>
          <w:p w14:paraId="7AA4293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Depression (p&lt;0.001)</w:t>
            </w:r>
          </w:p>
          <w:p w14:paraId="06CEC91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Anxiety (p&lt;0.001)</w:t>
            </w:r>
          </w:p>
          <w:p w14:paraId="4604B57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QoL (p&lt;0.001). </w:t>
            </w:r>
            <w:r w:rsidRPr="0066602A">
              <w:rPr>
                <w:rFonts w:cstheme="minorHAnsi"/>
                <w:sz w:val="20"/>
                <w:szCs w:val="20"/>
                <w:lang w:val="en-US"/>
              </w:rPr>
              <w:br/>
              <w:t xml:space="preserve">Pairwise comparisons of sleep, depression, anxiety, and QoL scores revealed significant improvement from surgery to 6 months (p &lt;.033), but these factors were relatively stable between 6 months and 1 year (all p values &gt;0.88). </w:t>
            </w:r>
            <w:r w:rsidRPr="0066602A">
              <w:rPr>
                <w:rFonts w:cstheme="minorHAnsi"/>
                <w:sz w:val="20"/>
                <w:szCs w:val="20"/>
                <w:lang w:val="en-US"/>
              </w:rPr>
              <w:br/>
              <w:t xml:space="preserve">&gt; In contrast, </w:t>
            </w:r>
            <w:proofErr w:type="gramStart"/>
            <w:r w:rsidRPr="0066602A">
              <w:rPr>
                <w:rFonts w:cstheme="minorHAnsi"/>
                <w:sz w:val="20"/>
                <w:szCs w:val="20"/>
                <w:lang w:val="en-US"/>
              </w:rPr>
              <w:t>the majority of</w:t>
            </w:r>
            <w:proofErr w:type="gramEnd"/>
            <w:r w:rsidRPr="0066602A">
              <w:rPr>
                <w:rFonts w:cstheme="minorHAnsi"/>
                <w:sz w:val="20"/>
                <w:szCs w:val="20"/>
                <w:lang w:val="en-US"/>
              </w:rPr>
              <w:t xml:space="preserve"> patients reported improvement to non-clinical levels of depression over time.</w:t>
            </w:r>
          </w:p>
          <w:p w14:paraId="3DB3899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Depression scores above the CES-D clinical depression cutoff (≥16</w:t>
            </w:r>
            <w:proofErr w:type="gramStart"/>
            <w:r w:rsidRPr="0066602A">
              <w:rPr>
                <w:rFonts w:cstheme="minorHAnsi"/>
                <w:sz w:val="20"/>
                <w:szCs w:val="20"/>
                <w:lang w:val="en-US"/>
              </w:rPr>
              <w:t>);</w:t>
            </w:r>
            <w:proofErr w:type="gramEnd"/>
          </w:p>
          <w:p w14:paraId="2BB1AE5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Pre-surgery: 45%</w:t>
            </w:r>
          </w:p>
          <w:p w14:paraId="5A79DC3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6 months after surgery: 20.7%</w:t>
            </w:r>
          </w:p>
          <w:p w14:paraId="100285C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1-year after surgery: 20.9% </w:t>
            </w:r>
            <w:r w:rsidRPr="0066602A">
              <w:rPr>
                <w:rFonts w:cstheme="minorHAnsi"/>
                <w:sz w:val="20"/>
                <w:szCs w:val="20"/>
                <w:lang w:val="en-US"/>
              </w:rPr>
              <w:br/>
              <w:t>&gt; Between surgery and 1 year after diagnosis, improvements in global sleep quality were associated with improvements in QoL scores, adjusting for stage, menopausal status, and medication use (p &lt;.001).</w:t>
            </w:r>
          </w:p>
          <w:p w14:paraId="4BD1C0B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&gt; Women with earlier stage disease showed more QoL improvement with improved sleep than did those with advanced stage disease (p=0.03)</w:t>
            </w:r>
            <w:r w:rsidRPr="0066602A">
              <w:rPr>
                <w:rFonts w:cstheme="minorHAnsi"/>
                <w:sz w:val="20"/>
                <w:szCs w:val="20"/>
                <w:lang w:val="en-US"/>
              </w:rPr>
              <w:br/>
              <w:t xml:space="preserve">&gt; After adjusting for cancer stage, menopause, performance status, and medications, increased depression from surgery to 1 year was associated with less improvement in overall sleep quality (p&lt;0.001). </w:t>
            </w:r>
            <w:r w:rsidRPr="0066602A">
              <w:rPr>
                <w:rFonts w:cstheme="minorHAnsi"/>
                <w:sz w:val="20"/>
                <w:szCs w:val="20"/>
                <w:lang w:val="en-US"/>
              </w:rPr>
              <w:br/>
              <w:t xml:space="preserve">&gt; Changes in anxiety were not significantly associated with changes in sleep quality (p=0.09). However, those patients using pain (p=0.017) or sleep medications (p =0.001) before surgery or who had been premenopausal before surgery (p=0.027) showed less improvement in sleep quality as their depression improved. </w:t>
            </w:r>
          </w:p>
        </w:tc>
      </w:tr>
      <w:tr w:rsidR="009A7DFD" w:rsidRPr="0066602A" w14:paraId="353EDA16"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E309E4D"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Coleman, 2011</w:t>
            </w:r>
          </w:p>
          <w:p w14:paraId="7A35B4FA"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International</w:t>
            </w:r>
          </w:p>
          <w:p w14:paraId="796CE62F"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tc>
        <w:tc>
          <w:tcPr>
            <w:tcW w:w="498" w:type="pct"/>
          </w:tcPr>
          <w:p w14:paraId="61C7939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187</w:t>
            </w:r>
          </w:p>
        </w:tc>
        <w:tc>
          <w:tcPr>
            <w:tcW w:w="451" w:type="pct"/>
          </w:tcPr>
          <w:p w14:paraId="4075945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- 58%</w:t>
            </w:r>
            <w:r w:rsidRPr="0066602A">
              <w:rPr>
                <w:rFonts w:cstheme="minorHAnsi"/>
                <w:color w:val="4E5053"/>
                <w:sz w:val="20"/>
                <w:szCs w:val="20"/>
                <w:lang w:val="en-US"/>
              </w:rPr>
              <w:br/>
              <w:t>Female - 42%</w:t>
            </w:r>
            <w:r w:rsidRPr="0066602A">
              <w:rPr>
                <w:rFonts w:cstheme="minorHAnsi"/>
                <w:color w:val="4E5053"/>
                <w:sz w:val="20"/>
                <w:szCs w:val="20"/>
                <w:lang w:val="en-US"/>
              </w:rPr>
              <w:br/>
              <w:t>Mean - 56</w:t>
            </w:r>
          </w:p>
        </w:tc>
        <w:tc>
          <w:tcPr>
            <w:tcW w:w="740" w:type="pct"/>
          </w:tcPr>
          <w:p w14:paraId="79C9C0C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Multiple myeloma: 187 (100%)</w:t>
            </w:r>
          </w:p>
        </w:tc>
        <w:tc>
          <w:tcPr>
            <w:tcW w:w="1044" w:type="pct"/>
          </w:tcPr>
          <w:p w14:paraId="4BF64C7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roofErr w:type="gramStart"/>
            <w:r w:rsidRPr="0066602A">
              <w:rPr>
                <w:rFonts w:cstheme="minorHAnsi"/>
                <w:sz w:val="20"/>
                <w:szCs w:val="20"/>
                <w:lang w:val="en-US"/>
              </w:rPr>
              <w:t>Chemotherapy :</w:t>
            </w:r>
            <w:proofErr w:type="gramEnd"/>
            <w:r w:rsidRPr="0066602A">
              <w:rPr>
                <w:rFonts w:cstheme="minorHAnsi"/>
                <w:sz w:val="20"/>
                <w:szCs w:val="20"/>
                <w:lang w:val="en-US"/>
              </w:rPr>
              <w:t xml:space="preserve"> 187 (100%)</w:t>
            </w:r>
          </w:p>
        </w:tc>
        <w:tc>
          <w:tcPr>
            <w:tcW w:w="1809" w:type="pct"/>
          </w:tcPr>
          <w:p w14:paraId="42E062E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&gt; Since pain was not normally distributed, the Spearman Rho statistic was used for all correlations between pain and the other study variables. Pain was minimally correlated with sleep efficiency (</w:t>
            </w:r>
            <w:proofErr w:type="spellStart"/>
            <w:r w:rsidRPr="0066602A">
              <w:rPr>
                <w:rFonts w:cstheme="minorHAnsi"/>
                <w:sz w:val="20"/>
                <w:szCs w:val="20"/>
                <w:lang w:val="en-US"/>
              </w:rPr>
              <w:t>rs</w:t>
            </w:r>
            <w:proofErr w:type="spellEnd"/>
            <w:r w:rsidRPr="0066602A">
              <w:rPr>
                <w:rFonts w:cstheme="minorHAnsi"/>
                <w:sz w:val="20"/>
                <w:szCs w:val="20"/>
                <w:lang w:val="en-US"/>
              </w:rPr>
              <w:t>= −.12)</w:t>
            </w:r>
            <w:r w:rsidRPr="0066602A">
              <w:rPr>
                <w:rFonts w:cstheme="minorHAnsi"/>
                <w:sz w:val="20"/>
                <w:szCs w:val="20"/>
                <w:lang w:val="en-US"/>
              </w:rPr>
              <w:br/>
              <w:t>&gt; Correlations of Study Variables (Pearson r for all variables except Spearman Rho r2 or pain rating and ISS Stage of Disease)</w:t>
            </w:r>
            <w:r w:rsidRPr="0066602A">
              <w:rPr>
                <w:rFonts w:cstheme="minorHAnsi"/>
                <w:sz w:val="20"/>
                <w:szCs w:val="20"/>
                <w:lang w:val="en-US"/>
              </w:rPr>
              <w:br/>
              <w:t>(a) Correlation is significant at the 0.05 level (2-tailed)</w:t>
            </w:r>
            <w:r w:rsidRPr="0066602A">
              <w:rPr>
                <w:rFonts w:cstheme="minorHAnsi"/>
                <w:sz w:val="20"/>
                <w:szCs w:val="20"/>
                <w:lang w:val="en-US"/>
              </w:rPr>
              <w:br/>
            </w:r>
            <w:r w:rsidRPr="0066602A">
              <w:rPr>
                <w:rFonts w:cstheme="minorHAnsi"/>
                <w:b/>
                <w:bCs w:val="0"/>
                <w:sz w:val="20"/>
                <w:szCs w:val="20"/>
                <w:lang w:val="en-US"/>
              </w:rPr>
              <w:t>Night-time sleep and pain</w:t>
            </w:r>
            <w:r w:rsidRPr="0066602A">
              <w:rPr>
                <w:rFonts w:cstheme="minorHAnsi"/>
                <w:sz w:val="20"/>
                <w:szCs w:val="20"/>
                <w:lang w:val="en-US"/>
              </w:rPr>
              <w:t xml:space="preserve"> </w:t>
            </w:r>
            <w:r w:rsidRPr="0066602A">
              <w:rPr>
                <w:rFonts w:cstheme="minorHAnsi"/>
                <w:sz w:val="20"/>
                <w:szCs w:val="20"/>
                <w:lang w:val="en-US"/>
              </w:rPr>
              <w:br/>
              <w:t>r2=-0.091; Sig.(2-tailed)=0.229; N= 178</w:t>
            </w:r>
            <w:r w:rsidRPr="0066602A">
              <w:rPr>
                <w:rFonts w:cstheme="minorHAnsi"/>
                <w:sz w:val="20"/>
                <w:szCs w:val="20"/>
                <w:lang w:val="en-US"/>
              </w:rPr>
              <w:br/>
            </w:r>
            <w:r w:rsidRPr="0066602A">
              <w:rPr>
                <w:rFonts w:cstheme="minorHAnsi"/>
                <w:b/>
                <w:bCs w:val="0"/>
                <w:sz w:val="20"/>
                <w:szCs w:val="20"/>
                <w:lang w:val="en-US"/>
              </w:rPr>
              <w:t>Night-time sleep and mood disturbance</w:t>
            </w:r>
            <w:r w:rsidRPr="0066602A">
              <w:rPr>
                <w:rFonts w:cstheme="minorHAnsi"/>
                <w:sz w:val="20"/>
                <w:szCs w:val="20"/>
                <w:lang w:val="en-US"/>
              </w:rPr>
              <w:br/>
              <w:t>r=-0.034; Sig.(2-tailed)=0.651; N=178</w:t>
            </w:r>
            <w:r w:rsidRPr="0066602A">
              <w:rPr>
                <w:rFonts w:cstheme="minorHAnsi"/>
                <w:sz w:val="20"/>
                <w:szCs w:val="20"/>
                <w:lang w:val="en-US"/>
              </w:rPr>
              <w:br/>
            </w:r>
            <w:r w:rsidRPr="0066602A">
              <w:rPr>
                <w:rFonts w:cstheme="minorHAnsi"/>
                <w:b/>
                <w:bCs w:val="0"/>
                <w:sz w:val="20"/>
                <w:szCs w:val="20"/>
                <w:lang w:val="en-US"/>
              </w:rPr>
              <w:t>Sleep efficiency and pain</w:t>
            </w:r>
            <w:r w:rsidRPr="0066602A">
              <w:rPr>
                <w:rFonts w:cstheme="minorHAnsi"/>
                <w:sz w:val="20"/>
                <w:szCs w:val="20"/>
                <w:lang w:val="en-US"/>
              </w:rPr>
              <w:br/>
              <w:t>r2=0.174a; Sig.(2-tailed)= 0.020;N=178</w:t>
            </w:r>
            <w:r w:rsidRPr="0066602A">
              <w:rPr>
                <w:rFonts w:cstheme="minorHAnsi"/>
                <w:sz w:val="20"/>
                <w:szCs w:val="20"/>
                <w:lang w:val="en-US"/>
              </w:rPr>
              <w:br/>
            </w:r>
            <w:r w:rsidRPr="0066602A">
              <w:rPr>
                <w:rFonts w:cstheme="minorHAnsi"/>
                <w:b/>
                <w:bCs w:val="0"/>
                <w:sz w:val="20"/>
                <w:szCs w:val="20"/>
                <w:lang w:val="en-US"/>
              </w:rPr>
              <w:t>Sleep efficiency and mood disturbance</w:t>
            </w:r>
            <w:r w:rsidRPr="0066602A">
              <w:rPr>
                <w:rFonts w:cstheme="minorHAnsi"/>
                <w:sz w:val="20"/>
                <w:szCs w:val="20"/>
                <w:lang w:val="en-US"/>
              </w:rPr>
              <w:t xml:space="preserve"> </w:t>
            </w:r>
            <w:r w:rsidRPr="0066602A">
              <w:rPr>
                <w:rFonts w:cstheme="minorHAnsi"/>
                <w:sz w:val="20"/>
                <w:szCs w:val="20"/>
                <w:lang w:val="en-US"/>
              </w:rPr>
              <w:br/>
              <w:t>r=-0.071; Sig.2 (2-tailed)=0.344; N=178</w:t>
            </w:r>
            <w:r w:rsidRPr="0066602A">
              <w:rPr>
                <w:rFonts w:cstheme="minorHAnsi"/>
                <w:sz w:val="20"/>
                <w:szCs w:val="20"/>
                <w:lang w:val="en-US"/>
              </w:rPr>
              <w:br/>
            </w:r>
            <w:r w:rsidRPr="0066602A">
              <w:rPr>
                <w:rFonts w:cstheme="minorHAnsi"/>
                <w:b/>
                <w:bCs w:val="0"/>
                <w:sz w:val="20"/>
                <w:szCs w:val="20"/>
                <w:lang w:val="en-US"/>
              </w:rPr>
              <w:t>Night-time sleep and pain</w:t>
            </w:r>
            <w:r w:rsidRPr="0066602A">
              <w:rPr>
                <w:rFonts w:cstheme="minorHAnsi"/>
                <w:sz w:val="20"/>
                <w:szCs w:val="20"/>
                <w:lang w:val="en-US"/>
              </w:rPr>
              <w:br/>
              <w:t>r= -0.075</w:t>
            </w:r>
            <w:r w:rsidRPr="0066602A">
              <w:rPr>
                <w:rFonts w:cstheme="minorHAnsi"/>
                <w:sz w:val="20"/>
                <w:szCs w:val="20"/>
                <w:lang w:val="en-US"/>
              </w:rPr>
              <w:br/>
            </w:r>
            <w:r w:rsidRPr="0066602A">
              <w:rPr>
                <w:rFonts w:cstheme="minorHAnsi"/>
                <w:b/>
                <w:bCs w:val="0"/>
                <w:sz w:val="20"/>
                <w:szCs w:val="20"/>
                <w:lang w:val="en-US"/>
              </w:rPr>
              <w:t>Night-time sleep and mood disturbance</w:t>
            </w:r>
            <w:r w:rsidRPr="0066602A">
              <w:rPr>
                <w:rFonts w:cstheme="minorHAnsi"/>
                <w:sz w:val="20"/>
                <w:szCs w:val="20"/>
                <w:lang w:val="en-US"/>
              </w:rPr>
              <w:br/>
              <w:t>r= -0.034</w:t>
            </w:r>
            <w:r w:rsidRPr="0066602A">
              <w:rPr>
                <w:rFonts w:cstheme="minorHAnsi"/>
                <w:sz w:val="20"/>
                <w:szCs w:val="20"/>
                <w:lang w:val="en-US"/>
              </w:rPr>
              <w:br/>
            </w:r>
            <w:r w:rsidRPr="0066602A">
              <w:rPr>
                <w:rFonts w:cstheme="minorHAnsi"/>
                <w:b/>
                <w:bCs w:val="0"/>
                <w:sz w:val="20"/>
                <w:szCs w:val="20"/>
                <w:lang w:val="en-US"/>
              </w:rPr>
              <w:t>Sleep efficiency and pain</w:t>
            </w:r>
            <w:r w:rsidRPr="0066602A">
              <w:rPr>
                <w:rFonts w:cstheme="minorHAnsi"/>
                <w:sz w:val="20"/>
                <w:szCs w:val="20"/>
                <w:lang w:val="en-US"/>
              </w:rPr>
              <w:t xml:space="preserve"> Percent of time asleep while in </w:t>
            </w:r>
            <w:r w:rsidRPr="0066602A">
              <w:rPr>
                <w:rFonts w:cstheme="minorHAnsi"/>
                <w:sz w:val="20"/>
                <w:szCs w:val="20"/>
                <w:lang w:val="en-US"/>
              </w:rPr>
              <w:lastRenderedPageBreak/>
              <w:t>bed at night: -0.123</w:t>
            </w:r>
            <w:r w:rsidRPr="0066602A">
              <w:rPr>
                <w:rFonts w:cstheme="minorHAnsi"/>
                <w:sz w:val="20"/>
                <w:szCs w:val="20"/>
                <w:lang w:val="en-US"/>
              </w:rPr>
              <w:br/>
              <w:t>Sig.2 (2-tailed) = 0.101; N=178</w:t>
            </w:r>
            <w:r w:rsidRPr="0066602A">
              <w:rPr>
                <w:rFonts w:cstheme="minorHAnsi"/>
                <w:sz w:val="20"/>
                <w:szCs w:val="20"/>
                <w:lang w:val="en-US"/>
              </w:rPr>
              <w:br/>
            </w:r>
            <w:r w:rsidRPr="0066602A">
              <w:rPr>
                <w:rFonts w:cstheme="minorHAnsi"/>
                <w:b/>
                <w:bCs w:val="0"/>
                <w:sz w:val="20"/>
                <w:szCs w:val="20"/>
                <w:lang w:val="en-US"/>
              </w:rPr>
              <w:t>Sleep efficiency and mood disturbance</w:t>
            </w:r>
            <w:r w:rsidRPr="0066602A">
              <w:rPr>
                <w:rFonts w:cstheme="minorHAnsi"/>
                <w:sz w:val="20"/>
                <w:szCs w:val="20"/>
                <w:lang w:val="en-US"/>
              </w:rPr>
              <w:t xml:space="preserve"> </w:t>
            </w:r>
            <w:r w:rsidRPr="0066602A">
              <w:rPr>
                <w:rFonts w:cstheme="minorHAnsi"/>
                <w:sz w:val="20"/>
                <w:szCs w:val="20"/>
                <w:lang w:val="en-US"/>
              </w:rPr>
              <w:br/>
              <w:t>Percent of time asleep while in bed at night: -0.071</w:t>
            </w:r>
            <w:r w:rsidRPr="0066602A">
              <w:rPr>
                <w:rFonts w:cstheme="minorHAnsi"/>
                <w:sz w:val="20"/>
                <w:szCs w:val="20"/>
                <w:lang w:val="en-US"/>
              </w:rPr>
              <w:br/>
              <w:t>Sig.2 (2-tailed) = 0.344; N=178.</w:t>
            </w:r>
          </w:p>
        </w:tc>
      </w:tr>
      <w:tr w:rsidR="009A7DFD" w:rsidRPr="0066602A" w14:paraId="048565D9"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741513D"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Daniel, 2019</w:t>
            </w:r>
          </w:p>
          <w:p w14:paraId="2FD6636F"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4EB15DB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Retrospective, 1994-2007</w:t>
            </w:r>
          </w:p>
        </w:tc>
        <w:tc>
          <w:tcPr>
            <w:tcW w:w="498" w:type="pct"/>
          </w:tcPr>
          <w:p w14:paraId="0565C8E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Total of number survivors= 1931</w:t>
            </w:r>
            <w:r w:rsidRPr="0066602A">
              <w:rPr>
                <w:rFonts w:cstheme="minorHAnsi"/>
                <w:sz w:val="20"/>
                <w:szCs w:val="20"/>
                <w:lang w:val="en-US"/>
              </w:rPr>
              <w:br/>
              <w:t xml:space="preserve">Total number of </w:t>
            </w:r>
            <w:proofErr w:type="gramStart"/>
            <w:r w:rsidRPr="0066602A">
              <w:rPr>
                <w:rFonts w:cstheme="minorHAnsi"/>
                <w:sz w:val="20"/>
                <w:szCs w:val="20"/>
                <w:lang w:val="en-US"/>
              </w:rPr>
              <w:t>sibling</w:t>
            </w:r>
            <w:proofErr w:type="gramEnd"/>
            <w:r w:rsidRPr="0066602A">
              <w:rPr>
                <w:rFonts w:cstheme="minorHAnsi"/>
                <w:sz w:val="20"/>
                <w:szCs w:val="20"/>
                <w:lang w:val="en-US"/>
              </w:rPr>
              <w:t>= 380</w:t>
            </w:r>
          </w:p>
        </w:tc>
        <w:tc>
          <w:tcPr>
            <w:tcW w:w="451" w:type="pct"/>
          </w:tcPr>
          <w:p w14:paraId="2CD9AE1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- 44%</w:t>
            </w:r>
            <w:r w:rsidRPr="0066602A">
              <w:rPr>
                <w:rFonts w:cstheme="minorHAnsi"/>
                <w:color w:val="4E5053"/>
                <w:sz w:val="20"/>
                <w:szCs w:val="20"/>
                <w:lang w:val="en-US"/>
              </w:rPr>
              <w:br/>
              <w:t>Female - 56%</w:t>
            </w:r>
            <w:r w:rsidRPr="0066602A">
              <w:rPr>
                <w:rFonts w:cstheme="minorHAnsi"/>
                <w:color w:val="4E5053"/>
                <w:sz w:val="20"/>
                <w:szCs w:val="20"/>
                <w:lang w:val="en-US"/>
              </w:rPr>
              <w:br/>
              <w:t>Mean - 17.23</w:t>
            </w:r>
          </w:p>
        </w:tc>
        <w:tc>
          <w:tcPr>
            <w:tcW w:w="740" w:type="pct"/>
          </w:tcPr>
          <w:p w14:paraId="35F9B16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Hodgkin lymphoma: 1018 (52.7%)</w:t>
            </w:r>
            <w:r w:rsidRPr="0066602A">
              <w:rPr>
                <w:rFonts w:cstheme="minorHAnsi"/>
                <w:sz w:val="20"/>
                <w:szCs w:val="20"/>
                <w:lang w:val="en-US"/>
              </w:rPr>
              <w:br/>
              <w:t>CNS Tumor: 303 (15.7%)</w:t>
            </w:r>
            <w:r w:rsidRPr="0066602A">
              <w:rPr>
                <w:rFonts w:cstheme="minorHAnsi"/>
                <w:sz w:val="20"/>
                <w:szCs w:val="20"/>
                <w:lang w:val="en-US"/>
              </w:rPr>
              <w:br/>
              <w:t>Leukemia: 302 (15.6%)</w:t>
            </w:r>
            <w:r w:rsidRPr="0066602A">
              <w:rPr>
                <w:rFonts w:cstheme="minorHAnsi"/>
                <w:sz w:val="20"/>
                <w:szCs w:val="20"/>
                <w:lang w:val="en-US"/>
              </w:rPr>
              <w:br/>
              <w:t>Bone cancer: 159 (8.2%)</w:t>
            </w:r>
            <w:r w:rsidRPr="0066602A">
              <w:rPr>
                <w:rFonts w:cstheme="minorHAnsi"/>
                <w:sz w:val="20"/>
                <w:szCs w:val="20"/>
                <w:lang w:val="en-US"/>
              </w:rPr>
              <w:br/>
              <w:t>Soft tissue sarcoma: 151 (7.8%)</w:t>
            </w:r>
          </w:p>
        </w:tc>
        <w:tc>
          <w:tcPr>
            <w:tcW w:w="1044" w:type="pct"/>
          </w:tcPr>
          <w:p w14:paraId="47189E7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Chemotherapy: 1140 (65.65%)</w:t>
            </w:r>
            <w:r w:rsidRPr="0066602A">
              <w:rPr>
                <w:rFonts w:cstheme="minorHAnsi"/>
                <w:sz w:val="20"/>
                <w:szCs w:val="20"/>
                <w:lang w:val="en-US"/>
              </w:rPr>
              <w:br/>
              <w:t>&gt; Radiation therapy in the first 5 years of therapy: 1371 (77.7%)</w:t>
            </w:r>
          </w:p>
        </w:tc>
        <w:tc>
          <w:tcPr>
            <w:tcW w:w="1809" w:type="pct"/>
          </w:tcPr>
          <w:p w14:paraId="1683ABA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Survivors with prolonged sleep onset latency (prevalence ration [PR]=1.46, 95%CI=1.02–2.08), frequent night-time awakenings (PR=1.63, 95%CI=1.12–2.37), high daytime fatigue (PR=1.31, 95%CI=1.01–1.72), and sleep medication use (PR=2.16, 95%CI=1.13–4.12) were more likely to develop migraines.</w:t>
            </w:r>
          </w:p>
          <w:p w14:paraId="545CBB2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Sleep behaviors were not related to the development of subsequent neoplasms or hypertension.</w:t>
            </w:r>
          </w:p>
        </w:tc>
      </w:tr>
      <w:tr w:rsidR="009A7DFD" w:rsidRPr="0066602A" w14:paraId="5B7CC40A"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CA0E7AA"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Daniel, 2017</w:t>
            </w:r>
          </w:p>
          <w:p w14:paraId="13E41038"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2F4EF54F"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Secondary analysis of a pilot for an RCT, 1 year</w:t>
            </w:r>
          </w:p>
        </w:tc>
        <w:tc>
          <w:tcPr>
            <w:tcW w:w="498" w:type="pct"/>
          </w:tcPr>
          <w:p w14:paraId="03259DB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61</w:t>
            </w:r>
          </w:p>
        </w:tc>
        <w:tc>
          <w:tcPr>
            <w:tcW w:w="451" w:type="pct"/>
          </w:tcPr>
          <w:p w14:paraId="551F0F1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- 44%</w:t>
            </w:r>
            <w:r w:rsidRPr="0066602A">
              <w:rPr>
                <w:rFonts w:cstheme="minorHAnsi"/>
                <w:color w:val="4E5053"/>
                <w:sz w:val="20"/>
                <w:szCs w:val="20"/>
                <w:lang w:val="en-US"/>
              </w:rPr>
              <w:br/>
              <w:t>Female - 56%</w:t>
            </w:r>
            <w:r w:rsidRPr="0066602A">
              <w:rPr>
                <w:rFonts w:cstheme="minorHAnsi"/>
                <w:color w:val="4E5053"/>
                <w:sz w:val="20"/>
                <w:szCs w:val="20"/>
                <w:lang w:val="en-US"/>
              </w:rPr>
              <w:br/>
              <w:t>Mean - 17.23</w:t>
            </w:r>
          </w:p>
        </w:tc>
        <w:tc>
          <w:tcPr>
            <w:tcW w:w="740" w:type="pct"/>
          </w:tcPr>
          <w:p w14:paraId="2392373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Blood-based cancers/ liquid tumor (e.g., leukemia, lymphoma, 55.7%): 34 (55.7%)</w:t>
            </w:r>
            <w:r w:rsidRPr="0066602A">
              <w:rPr>
                <w:rFonts w:cstheme="minorHAnsi"/>
                <w:sz w:val="20"/>
                <w:szCs w:val="20"/>
                <w:lang w:val="en-US"/>
              </w:rPr>
              <w:br/>
              <w:t>Solid tumors: 17 (27.9%)</w:t>
            </w:r>
            <w:r w:rsidRPr="0066602A">
              <w:rPr>
                <w:rFonts w:cstheme="minorHAnsi"/>
                <w:sz w:val="20"/>
                <w:szCs w:val="20"/>
                <w:lang w:val="en-US"/>
              </w:rPr>
              <w:br/>
              <w:t>Brain tumors: 10 (16.4%)</w:t>
            </w:r>
          </w:p>
        </w:tc>
        <w:tc>
          <w:tcPr>
            <w:tcW w:w="1044" w:type="pct"/>
          </w:tcPr>
          <w:p w14:paraId="3B5C949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Patient were currently in remission from cancer and their treatment ended within the past 1 year (no later)</w:t>
            </w:r>
            <w:r w:rsidRPr="0066602A">
              <w:rPr>
                <w:rFonts w:cstheme="minorHAnsi"/>
                <w:sz w:val="20"/>
                <w:szCs w:val="20"/>
                <w:lang w:val="en-US"/>
              </w:rPr>
              <w:br/>
              <w:t>Eighteen participants (29.5%) completed treatment for their second cancer diagnosis</w:t>
            </w:r>
            <w:r w:rsidRPr="0066602A">
              <w:rPr>
                <w:rFonts w:cstheme="minorHAnsi"/>
                <w:sz w:val="20"/>
                <w:szCs w:val="20"/>
                <w:lang w:val="en-US"/>
              </w:rPr>
              <w:br/>
              <w:t>Chemotherapy: 49 (80.3)</w:t>
            </w:r>
            <w:r w:rsidRPr="0066602A">
              <w:rPr>
                <w:rFonts w:cstheme="minorHAnsi"/>
                <w:sz w:val="20"/>
                <w:szCs w:val="20"/>
                <w:lang w:val="en-US"/>
              </w:rPr>
              <w:br/>
              <w:t>Radiation/proton: 18 (29.5)</w:t>
            </w:r>
          </w:p>
        </w:tc>
        <w:tc>
          <w:tcPr>
            <w:tcW w:w="1809" w:type="pct"/>
          </w:tcPr>
          <w:p w14:paraId="69BC4DD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PSQI total scores were significantly associated with QoL on the MMQL-AF (r=-0.57, p&lt;0.0001); participants with more sleep concerns reported worse QoL.</w:t>
            </w:r>
          </w:p>
          <w:p w14:paraId="780463F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Specifically, analyses revealed significant differences between poor sleepers and good sleepers on the physical functioning (p=0.005), psychological functioning </w:t>
            </w:r>
            <w:r w:rsidRPr="0066602A">
              <w:rPr>
                <w:rFonts w:cstheme="minorHAnsi"/>
                <w:sz w:val="20"/>
                <w:szCs w:val="20"/>
                <w:lang w:val="en-US"/>
              </w:rPr>
              <w:br/>
              <w:t xml:space="preserve">(p=0.004), and outlook (p=0.004) subscales. </w:t>
            </w:r>
            <w:r w:rsidRPr="0066602A">
              <w:rPr>
                <w:rFonts w:cstheme="minorHAnsi"/>
                <w:sz w:val="20"/>
                <w:szCs w:val="20"/>
                <w:lang w:val="en-US"/>
              </w:rPr>
              <w:br/>
            </w:r>
            <w:r w:rsidRPr="0066602A">
              <w:rPr>
                <w:rFonts w:cstheme="minorHAnsi"/>
                <w:b/>
                <w:bCs w:val="0"/>
                <w:sz w:val="20"/>
                <w:szCs w:val="20"/>
                <w:lang w:val="en-US"/>
              </w:rPr>
              <w:t>QoL Domains by PSQI Sleeper Type</w:t>
            </w:r>
            <w:r w:rsidRPr="0066602A">
              <w:rPr>
                <w:rFonts w:cstheme="minorHAnsi"/>
                <w:sz w:val="20"/>
                <w:szCs w:val="20"/>
                <w:lang w:val="en-US"/>
              </w:rPr>
              <w:br/>
            </w:r>
            <w:r w:rsidRPr="0066602A">
              <w:rPr>
                <w:rFonts w:cstheme="minorHAnsi"/>
                <w:b/>
                <w:bCs w:val="0"/>
                <w:sz w:val="20"/>
                <w:szCs w:val="20"/>
                <w:lang w:val="en-US"/>
              </w:rPr>
              <w:t>Physical functioning subscale</w:t>
            </w:r>
            <w:r w:rsidRPr="0066602A">
              <w:rPr>
                <w:rFonts w:cstheme="minorHAnsi"/>
                <w:sz w:val="20"/>
                <w:szCs w:val="20"/>
                <w:lang w:val="en-US"/>
              </w:rPr>
              <w:t xml:space="preserve"> </w:t>
            </w:r>
            <w:r w:rsidRPr="0066602A">
              <w:rPr>
                <w:rFonts w:cstheme="minorHAnsi"/>
                <w:sz w:val="20"/>
                <w:szCs w:val="20"/>
                <w:lang w:val="en-US"/>
              </w:rPr>
              <w:br/>
              <w:t>Poor sleeper mean (SD): 3.21 0.73 (p= 0.005)</w:t>
            </w:r>
            <w:r w:rsidRPr="0066602A">
              <w:rPr>
                <w:rFonts w:cstheme="minorHAnsi"/>
                <w:sz w:val="20"/>
                <w:szCs w:val="20"/>
                <w:lang w:val="en-US"/>
              </w:rPr>
              <w:br/>
              <w:t>Good sleeper mean (SD): 3.77 0.76 (p= 0.005)</w:t>
            </w:r>
            <w:r w:rsidRPr="0066602A">
              <w:rPr>
                <w:rFonts w:cstheme="minorHAnsi"/>
                <w:sz w:val="20"/>
                <w:szCs w:val="20"/>
                <w:lang w:val="en-US"/>
              </w:rPr>
              <w:br/>
            </w:r>
            <w:r w:rsidRPr="0066602A">
              <w:rPr>
                <w:rFonts w:cstheme="minorHAnsi"/>
                <w:b/>
                <w:bCs w:val="0"/>
                <w:sz w:val="20"/>
                <w:szCs w:val="20"/>
                <w:lang w:val="en-US"/>
              </w:rPr>
              <w:t>Cognitive functioning subscale</w:t>
            </w:r>
            <w:r w:rsidRPr="0066602A">
              <w:rPr>
                <w:rFonts w:cstheme="minorHAnsi"/>
                <w:sz w:val="20"/>
                <w:szCs w:val="20"/>
                <w:lang w:val="en-US"/>
              </w:rPr>
              <w:t xml:space="preserve"> </w:t>
            </w:r>
            <w:r w:rsidRPr="0066602A">
              <w:rPr>
                <w:rFonts w:cstheme="minorHAnsi"/>
                <w:sz w:val="20"/>
                <w:szCs w:val="20"/>
                <w:lang w:val="en-US"/>
              </w:rPr>
              <w:br/>
              <w:t>Poor sleeper mean (SD): 3.71 0.63 (p= 0.076)</w:t>
            </w:r>
            <w:r w:rsidRPr="0066602A">
              <w:rPr>
                <w:rFonts w:cstheme="minorHAnsi"/>
                <w:sz w:val="20"/>
                <w:szCs w:val="20"/>
                <w:lang w:val="en-US"/>
              </w:rPr>
              <w:br/>
              <w:t>Good sleeper mean (SD): 4.06 0.71 (p= 0.076)</w:t>
            </w:r>
            <w:r w:rsidRPr="0066602A">
              <w:rPr>
                <w:rFonts w:cstheme="minorHAnsi"/>
                <w:sz w:val="20"/>
                <w:szCs w:val="20"/>
                <w:lang w:val="en-US"/>
              </w:rPr>
              <w:br/>
            </w:r>
            <w:r w:rsidRPr="0066602A">
              <w:rPr>
                <w:rFonts w:cstheme="minorHAnsi"/>
                <w:b/>
                <w:bCs w:val="0"/>
                <w:sz w:val="20"/>
                <w:szCs w:val="20"/>
                <w:lang w:val="en-US"/>
              </w:rPr>
              <w:t>Psychological functioning subscale</w:t>
            </w:r>
            <w:r w:rsidRPr="0066602A">
              <w:rPr>
                <w:rFonts w:cstheme="minorHAnsi"/>
                <w:sz w:val="20"/>
                <w:szCs w:val="20"/>
                <w:lang w:val="en-US"/>
              </w:rPr>
              <w:t xml:space="preserve"> </w:t>
            </w:r>
            <w:r w:rsidRPr="0066602A">
              <w:rPr>
                <w:rFonts w:cstheme="minorHAnsi"/>
                <w:sz w:val="20"/>
                <w:szCs w:val="20"/>
                <w:lang w:val="en-US"/>
              </w:rPr>
              <w:br/>
              <w:t>Poor sleeper mean (SD): 3.71 0.59 (p= 0.004)</w:t>
            </w:r>
            <w:r w:rsidRPr="0066602A">
              <w:rPr>
                <w:rFonts w:cstheme="minorHAnsi"/>
                <w:sz w:val="20"/>
                <w:szCs w:val="20"/>
                <w:lang w:val="en-US"/>
              </w:rPr>
              <w:br/>
              <w:t>Good sleeper mean (SD): 4.16 0.61 (p= 0.004)</w:t>
            </w:r>
            <w:r w:rsidRPr="0066602A">
              <w:rPr>
                <w:rFonts w:cstheme="minorHAnsi"/>
                <w:sz w:val="20"/>
                <w:szCs w:val="20"/>
                <w:lang w:val="en-US"/>
              </w:rPr>
              <w:br/>
            </w:r>
            <w:r w:rsidRPr="0066602A">
              <w:rPr>
                <w:rFonts w:cstheme="minorHAnsi"/>
                <w:b/>
                <w:bCs w:val="0"/>
                <w:sz w:val="20"/>
                <w:szCs w:val="20"/>
                <w:lang w:val="en-US"/>
              </w:rPr>
              <w:t>Body image subscale</w:t>
            </w:r>
            <w:r w:rsidRPr="0066602A">
              <w:rPr>
                <w:rFonts w:cstheme="minorHAnsi"/>
                <w:sz w:val="20"/>
                <w:szCs w:val="20"/>
                <w:lang w:val="en-US"/>
              </w:rPr>
              <w:t xml:space="preserve"> </w:t>
            </w:r>
            <w:r w:rsidRPr="0066602A">
              <w:rPr>
                <w:rFonts w:cstheme="minorHAnsi"/>
                <w:sz w:val="20"/>
                <w:szCs w:val="20"/>
                <w:lang w:val="en-US"/>
              </w:rPr>
              <w:br/>
              <w:t>Poor sleeper mean (SD): 3.80 0.73 (p= 0.084)</w:t>
            </w:r>
            <w:r w:rsidRPr="0066602A">
              <w:rPr>
                <w:rFonts w:cstheme="minorHAnsi"/>
                <w:sz w:val="20"/>
                <w:szCs w:val="20"/>
                <w:lang w:val="en-US"/>
              </w:rPr>
              <w:br/>
            </w:r>
            <w:r w:rsidRPr="0066602A">
              <w:rPr>
                <w:rFonts w:cstheme="minorHAnsi"/>
                <w:sz w:val="20"/>
                <w:szCs w:val="20"/>
                <w:lang w:val="en-US"/>
              </w:rPr>
              <w:lastRenderedPageBreak/>
              <w:t>Good sleeper mean (SD): 4.10 0.63 (p= 0.084)</w:t>
            </w:r>
            <w:r w:rsidRPr="0066602A">
              <w:rPr>
                <w:rFonts w:cstheme="minorHAnsi"/>
                <w:sz w:val="20"/>
                <w:szCs w:val="20"/>
                <w:lang w:val="en-US"/>
              </w:rPr>
              <w:br/>
            </w:r>
            <w:r w:rsidRPr="0066602A">
              <w:rPr>
                <w:rFonts w:cstheme="minorHAnsi"/>
                <w:b/>
                <w:bCs w:val="0"/>
                <w:sz w:val="20"/>
                <w:szCs w:val="20"/>
                <w:lang w:val="en-US"/>
              </w:rPr>
              <w:t>Social functioning subscale</w:t>
            </w:r>
            <w:r w:rsidRPr="0066602A">
              <w:rPr>
                <w:rFonts w:cstheme="minorHAnsi"/>
                <w:sz w:val="20"/>
                <w:szCs w:val="20"/>
                <w:lang w:val="en-US"/>
              </w:rPr>
              <w:t xml:space="preserve"> </w:t>
            </w:r>
            <w:r w:rsidRPr="0066602A">
              <w:rPr>
                <w:rFonts w:cstheme="minorHAnsi"/>
                <w:sz w:val="20"/>
                <w:szCs w:val="20"/>
                <w:lang w:val="en-US"/>
              </w:rPr>
              <w:br/>
              <w:t>Poor sleeper mean (SD): 3.92 0.90 (p= 0.021)</w:t>
            </w:r>
            <w:r w:rsidRPr="0066602A">
              <w:rPr>
                <w:rFonts w:cstheme="minorHAnsi"/>
                <w:sz w:val="20"/>
                <w:szCs w:val="20"/>
                <w:lang w:val="en-US"/>
              </w:rPr>
              <w:br/>
              <w:t>Good sleeper mean (SD): 4.38 0.59 (p= 0.021)</w:t>
            </w:r>
            <w:r w:rsidRPr="0066602A">
              <w:rPr>
                <w:rFonts w:cstheme="minorHAnsi"/>
                <w:sz w:val="20"/>
                <w:szCs w:val="20"/>
                <w:lang w:val="en-US"/>
              </w:rPr>
              <w:br/>
            </w:r>
            <w:r w:rsidRPr="0066602A">
              <w:rPr>
                <w:rFonts w:cstheme="minorHAnsi"/>
                <w:b/>
                <w:bCs w:val="0"/>
                <w:sz w:val="20"/>
                <w:szCs w:val="20"/>
                <w:lang w:val="en-US"/>
              </w:rPr>
              <w:t>Interpersonal relationships subscale</w:t>
            </w:r>
            <w:r w:rsidRPr="0066602A">
              <w:rPr>
                <w:rFonts w:cstheme="minorHAnsi"/>
                <w:sz w:val="20"/>
                <w:szCs w:val="20"/>
                <w:lang w:val="en-US"/>
              </w:rPr>
              <w:t xml:space="preserve"> </w:t>
            </w:r>
            <w:r w:rsidRPr="0066602A">
              <w:rPr>
                <w:rFonts w:cstheme="minorHAnsi"/>
                <w:sz w:val="20"/>
                <w:szCs w:val="20"/>
                <w:lang w:val="en-US"/>
              </w:rPr>
              <w:br/>
              <w:t>Poor sleeper mean (SD): 3.51 0.84 (p= 0.010)</w:t>
            </w:r>
            <w:r w:rsidRPr="0066602A">
              <w:rPr>
                <w:rFonts w:cstheme="minorHAnsi"/>
                <w:sz w:val="20"/>
                <w:szCs w:val="20"/>
                <w:lang w:val="en-US"/>
              </w:rPr>
              <w:br/>
              <w:t>Good sleeper mean (SD): 4.05 0.75 (p= 0.010)</w:t>
            </w:r>
            <w:r w:rsidRPr="0066602A">
              <w:rPr>
                <w:rFonts w:cstheme="minorHAnsi"/>
                <w:sz w:val="20"/>
                <w:szCs w:val="20"/>
                <w:lang w:val="en-US"/>
              </w:rPr>
              <w:br/>
            </w:r>
            <w:r w:rsidRPr="0066602A">
              <w:rPr>
                <w:rFonts w:cstheme="minorHAnsi"/>
                <w:b/>
                <w:bCs w:val="0"/>
                <w:sz w:val="20"/>
                <w:szCs w:val="20"/>
                <w:lang w:val="en-US"/>
              </w:rPr>
              <w:t>Outlook subscale</w:t>
            </w:r>
            <w:r w:rsidRPr="0066602A">
              <w:rPr>
                <w:rFonts w:cstheme="minorHAnsi"/>
                <w:sz w:val="20"/>
                <w:szCs w:val="20"/>
                <w:lang w:val="en-US"/>
              </w:rPr>
              <w:t xml:space="preserve"> </w:t>
            </w:r>
            <w:r w:rsidRPr="0066602A">
              <w:rPr>
                <w:rFonts w:cstheme="minorHAnsi"/>
                <w:sz w:val="20"/>
                <w:szCs w:val="20"/>
                <w:lang w:val="en-US"/>
              </w:rPr>
              <w:br/>
              <w:t>Poor sleeper mean (SD): 3.80 0.92 (p= 0.004)</w:t>
            </w:r>
            <w:r w:rsidRPr="0066602A">
              <w:rPr>
                <w:rFonts w:cstheme="minorHAnsi"/>
                <w:sz w:val="20"/>
                <w:szCs w:val="20"/>
                <w:lang w:val="en-US"/>
              </w:rPr>
              <w:br/>
              <w:t>Good sleeper mean (SD): 4.42 0.66 (p= 0.004).</w:t>
            </w:r>
          </w:p>
        </w:tc>
      </w:tr>
      <w:tr w:rsidR="009A7DFD" w:rsidRPr="0066602A" w14:paraId="278E2F45"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C799975"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Evangelista, 2012</w:t>
            </w:r>
          </w:p>
          <w:p w14:paraId="400117F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Brazil</w:t>
            </w:r>
          </w:p>
          <w:p w14:paraId="05002463"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 3-24 months</w:t>
            </w:r>
          </w:p>
        </w:tc>
        <w:tc>
          <w:tcPr>
            <w:tcW w:w="498" w:type="pct"/>
          </w:tcPr>
          <w:p w14:paraId="7180A76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138</w:t>
            </w:r>
          </w:p>
        </w:tc>
        <w:tc>
          <w:tcPr>
            <w:tcW w:w="451" w:type="pct"/>
          </w:tcPr>
          <w:p w14:paraId="6FA3188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- 51</w:t>
            </w:r>
          </w:p>
        </w:tc>
        <w:tc>
          <w:tcPr>
            <w:tcW w:w="740" w:type="pct"/>
          </w:tcPr>
          <w:p w14:paraId="5EF09B2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138 (100%)</w:t>
            </w:r>
          </w:p>
        </w:tc>
        <w:tc>
          <w:tcPr>
            <w:tcW w:w="1044" w:type="pct"/>
          </w:tcPr>
          <w:p w14:paraId="4F7C21B8" w14:textId="3CA5D945"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Patients included were those who have been treated with curative intent and concluded adjuvant chemotherapy 3–24 months prior who may or may not be using hormone therapy</w:t>
            </w:r>
            <w:r w:rsidRPr="0066602A">
              <w:rPr>
                <w:rFonts w:cstheme="minorHAnsi"/>
                <w:sz w:val="20"/>
                <w:szCs w:val="20"/>
                <w:lang w:val="en-US"/>
              </w:rPr>
              <w:br/>
              <w:t>Chemotherapy: 87 (63%)</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89 (64.5%)</w:t>
            </w:r>
            <w:r w:rsidRPr="0066602A">
              <w:rPr>
                <w:rFonts w:cstheme="minorHAnsi"/>
                <w:sz w:val="20"/>
                <w:szCs w:val="20"/>
                <w:lang w:val="en-US"/>
              </w:rPr>
              <w:br/>
              <w:t>Hormone therapy: 76 (55.1%)</w:t>
            </w:r>
          </w:p>
        </w:tc>
        <w:tc>
          <w:tcPr>
            <w:tcW w:w="1809" w:type="pct"/>
          </w:tcPr>
          <w:p w14:paraId="68267CC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EORTC-C30 insomnia and POMS vigor (r): −0.034 </w:t>
            </w:r>
            <w:r w:rsidRPr="0066602A">
              <w:rPr>
                <w:rFonts w:cstheme="minorHAnsi"/>
                <w:sz w:val="20"/>
                <w:szCs w:val="20"/>
                <w:lang w:val="en-US"/>
              </w:rPr>
              <w:br/>
              <w:t xml:space="preserve">&gt; EORTC-C30 insomnia and POMS confusions (r): 0.190* </w:t>
            </w:r>
            <w:r w:rsidRPr="0066602A">
              <w:rPr>
                <w:rFonts w:cstheme="minorHAnsi"/>
                <w:sz w:val="20"/>
                <w:szCs w:val="20"/>
                <w:lang w:val="en-US"/>
              </w:rPr>
              <w:br/>
              <w:t xml:space="preserve">&gt; EORTC-C30 insomnia and POMS tension (r): 0.319* </w:t>
            </w:r>
            <w:r w:rsidRPr="0066602A">
              <w:rPr>
                <w:rFonts w:cstheme="minorHAnsi"/>
                <w:sz w:val="20"/>
                <w:szCs w:val="20"/>
                <w:lang w:val="en-US"/>
              </w:rPr>
              <w:br/>
              <w:t xml:space="preserve">&gt; EORTC-C30 insomnia and POMS depression (r): 0.387* </w:t>
            </w:r>
            <w:r w:rsidRPr="0066602A">
              <w:rPr>
                <w:rFonts w:cstheme="minorHAnsi"/>
                <w:sz w:val="20"/>
                <w:szCs w:val="20"/>
                <w:lang w:val="en-US"/>
              </w:rPr>
              <w:br/>
              <w:t>&gt; EORTC-C30 insomnia and POMS anger (r): 0.270*</w:t>
            </w:r>
            <w:r w:rsidRPr="0066602A">
              <w:rPr>
                <w:rFonts w:cstheme="minorHAnsi"/>
                <w:sz w:val="20"/>
                <w:szCs w:val="20"/>
                <w:lang w:val="en-US"/>
              </w:rPr>
              <w:br/>
              <w:t>&gt; EORTC-C30 insomnia and EORTC-QLQBR 23 corporal image (r):−0.764*</w:t>
            </w:r>
            <w:r w:rsidRPr="0066602A">
              <w:rPr>
                <w:rFonts w:cstheme="minorHAnsi"/>
                <w:sz w:val="20"/>
                <w:szCs w:val="20"/>
                <w:lang w:val="en-US"/>
              </w:rPr>
              <w:br/>
              <w:t>&gt; EORTC-C30 insomnia and EORTC-QLQBR 23 sexual function (r): −0.225*</w:t>
            </w:r>
            <w:r w:rsidRPr="0066602A">
              <w:rPr>
                <w:rFonts w:cstheme="minorHAnsi"/>
                <w:sz w:val="20"/>
                <w:szCs w:val="20"/>
                <w:lang w:val="en-US"/>
              </w:rPr>
              <w:br/>
              <w:t>&gt; EORTC-C30 insomnia and ORTC-QLQBR 23 sexual satisfaction (r): −0.293*</w:t>
            </w:r>
            <w:r w:rsidRPr="0066602A">
              <w:rPr>
                <w:rFonts w:cstheme="minorHAnsi"/>
                <w:sz w:val="20"/>
                <w:szCs w:val="20"/>
                <w:lang w:val="en-US"/>
              </w:rPr>
              <w:br/>
              <w:t>&gt; EORTC-C30 insomnia and EORTC-QLQBR 23 future perspective (r): −0.317*</w:t>
            </w:r>
            <w:r w:rsidRPr="0066602A">
              <w:rPr>
                <w:rFonts w:cstheme="minorHAnsi"/>
                <w:sz w:val="20"/>
                <w:szCs w:val="20"/>
                <w:lang w:val="en-US"/>
              </w:rPr>
              <w:br/>
              <w:t>&gt; EORTC-C30 insomnia and EORTC-QLQC23 side effects of systemic therapy (r): 0.401*</w:t>
            </w:r>
            <w:r w:rsidRPr="0066602A">
              <w:rPr>
                <w:rFonts w:cstheme="minorHAnsi"/>
                <w:sz w:val="20"/>
                <w:szCs w:val="20"/>
                <w:lang w:val="en-US"/>
              </w:rPr>
              <w:br/>
              <w:t>&gt; EORTC-C30 insomnia and EORTC-QLQC23 breast symptoms (r): 0.582*</w:t>
            </w:r>
            <w:r w:rsidRPr="0066602A">
              <w:rPr>
                <w:rFonts w:cstheme="minorHAnsi"/>
                <w:sz w:val="20"/>
                <w:szCs w:val="20"/>
                <w:lang w:val="en-US"/>
              </w:rPr>
              <w:br/>
              <w:t>&gt; EORTC-C30 insomnia and EORTC-QL Q-C23 arm symptoms (r): 0.550*</w:t>
            </w:r>
            <w:r w:rsidRPr="0066602A">
              <w:rPr>
                <w:rFonts w:cstheme="minorHAnsi"/>
                <w:sz w:val="20"/>
                <w:szCs w:val="20"/>
                <w:lang w:val="en-US"/>
              </w:rPr>
              <w:br/>
              <w:t>*p=0.05.</w:t>
            </w:r>
          </w:p>
        </w:tc>
      </w:tr>
      <w:tr w:rsidR="009A7DFD" w:rsidRPr="0066602A" w14:paraId="0402674B"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4B83466"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Flynn, 2010</w:t>
            </w:r>
          </w:p>
          <w:p w14:paraId="79BEE7B8"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2BCC86AA"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Focus groups, 70-90min</w:t>
            </w:r>
          </w:p>
        </w:tc>
        <w:tc>
          <w:tcPr>
            <w:tcW w:w="498" w:type="pct"/>
          </w:tcPr>
          <w:p w14:paraId="6056F54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67</w:t>
            </w:r>
          </w:p>
        </w:tc>
        <w:tc>
          <w:tcPr>
            <w:tcW w:w="451" w:type="pct"/>
          </w:tcPr>
          <w:p w14:paraId="030DB17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- 64%</w:t>
            </w:r>
            <w:r w:rsidRPr="0066602A">
              <w:rPr>
                <w:rFonts w:cstheme="minorHAnsi"/>
                <w:color w:val="4E5053"/>
                <w:sz w:val="20"/>
                <w:szCs w:val="20"/>
                <w:lang w:val="en-US"/>
              </w:rPr>
              <w:br/>
              <w:t>Female - 36%</w:t>
            </w:r>
            <w:r w:rsidRPr="0066602A">
              <w:rPr>
                <w:rFonts w:cstheme="minorHAnsi"/>
                <w:color w:val="4E5053"/>
                <w:sz w:val="20"/>
                <w:szCs w:val="20"/>
                <w:lang w:val="en-US"/>
              </w:rPr>
              <w:br/>
              <w:t>Mean - NR</w:t>
            </w:r>
          </w:p>
        </w:tc>
        <w:tc>
          <w:tcPr>
            <w:tcW w:w="740" w:type="pct"/>
          </w:tcPr>
          <w:p w14:paraId="3F5DECE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Brain: 1 (1%)</w:t>
            </w:r>
            <w:r w:rsidRPr="0066602A">
              <w:rPr>
                <w:rFonts w:cstheme="minorHAnsi"/>
                <w:sz w:val="20"/>
                <w:szCs w:val="20"/>
                <w:lang w:val="en-US"/>
              </w:rPr>
              <w:br/>
              <w:t>Breast: 12 (18%)</w:t>
            </w:r>
            <w:r w:rsidRPr="0066602A">
              <w:rPr>
                <w:rFonts w:cstheme="minorHAnsi"/>
                <w:sz w:val="20"/>
                <w:szCs w:val="20"/>
                <w:lang w:val="en-US"/>
              </w:rPr>
              <w:br/>
              <w:t>Colorectal: 3 (4%)</w:t>
            </w:r>
            <w:r w:rsidRPr="0066602A">
              <w:rPr>
                <w:rFonts w:cstheme="minorHAnsi"/>
                <w:sz w:val="20"/>
                <w:szCs w:val="20"/>
                <w:lang w:val="en-US"/>
              </w:rPr>
              <w:br/>
              <w:t>Gynecologic: 5 (7%)</w:t>
            </w:r>
            <w:r w:rsidRPr="0066602A">
              <w:rPr>
                <w:rFonts w:cstheme="minorHAnsi"/>
                <w:sz w:val="20"/>
                <w:szCs w:val="20"/>
                <w:lang w:val="en-US"/>
              </w:rPr>
              <w:br/>
            </w:r>
            <w:r w:rsidRPr="0066602A">
              <w:rPr>
                <w:rFonts w:cstheme="minorHAnsi"/>
                <w:sz w:val="20"/>
                <w:szCs w:val="20"/>
                <w:lang w:val="en-US"/>
              </w:rPr>
              <w:lastRenderedPageBreak/>
              <w:t>Hematologic: 10 (15%)</w:t>
            </w:r>
            <w:r w:rsidRPr="0066602A">
              <w:rPr>
                <w:rFonts w:cstheme="minorHAnsi"/>
                <w:sz w:val="20"/>
                <w:szCs w:val="20"/>
                <w:lang w:val="en-US"/>
              </w:rPr>
              <w:br/>
              <w:t>Lung: 5 (7%)</w:t>
            </w:r>
            <w:r w:rsidRPr="0066602A">
              <w:rPr>
                <w:rFonts w:cstheme="minorHAnsi"/>
                <w:sz w:val="20"/>
                <w:szCs w:val="20"/>
                <w:lang w:val="en-US"/>
              </w:rPr>
              <w:br/>
              <w:t>Other GI: 3 (4%)</w:t>
            </w:r>
            <w:r w:rsidRPr="0066602A">
              <w:rPr>
                <w:rFonts w:cstheme="minorHAnsi"/>
                <w:sz w:val="20"/>
                <w:szCs w:val="20"/>
                <w:lang w:val="en-US"/>
              </w:rPr>
              <w:br/>
              <w:t>Prostate: 18 (27%)</w:t>
            </w:r>
            <w:r w:rsidRPr="0066602A">
              <w:rPr>
                <w:rFonts w:cstheme="minorHAnsi"/>
                <w:sz w:val="20"/>
                <w:szCs w:val="20"/>
                <w:lang w:val="en-US"/>
              </w:rPr>
              <w:br/>
              <w:t>Other: 10 (15%)</w:t>
            </w:r>
          </w:p>
        </w:tc>
        <w:tc>
          <w:tcPr>
            <w:tcW w:w="1044" w:type="pct"/>
          </w:tcPr>
          <w:p w14:paraId="11576A5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Active treatment, early stage: 17 (25%)</w:t>
            </w:r>
            <w:r w:rsidRPr="0066602A">
              <w:rPr>
                <w:rFonts w:cstheme="minorHAnsi"/>
                <w:sz w:val="20"/>
                <w:szCs w:val="20"/>
                <w:lang w:val="en-US"/>
              </w:rPr>
              <w:br/>
              <w:t>Active treatment, advanced stage: 22 (33%)</w:t>
            </w:r>
            <w:r w:rsidRPr="0066602A">
              <w:rPr>
                <w:rFonts w:cstheme="minorHAnsi"/>
                <w:sz w:val="20"/>
                <w:szCs w:val="20"/>
                <w:lang w:val="en-US"/>
              </w:rPr>
              <w:br/>
            </w:r>
            <w:r w:rsidRPr="0066602A">
              <w:rPr>
                <w:rFonts w:cstheme="minorHAnsi"/>
                <w:sz w:val="20"/>
                <w:szCs w:val="20"/>
                <w:lang w:val="en-US"/>
              </w:rPr>
              <w:lastRenderedPageBreak/>
              <w:t>Active treatment, unknown stage: 9 (13%)</w:t>
            </w:r>
          </w:p>
        </w:tc>
        <w:tc>
          <w:tcPr>
            <w:tcW w:w="1809" w:type="pct"/>
          </w:tcPr>
          <w:p w14:paraId="61974A1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 xml:space="preserve">&gt; Daytime sleepiness was discussed in all 10 groups and fatigue (by name) in 9 of the 10 groups. The concepts overlapped for many participants, though not all. </w:t>
            </w:r>
            <w:r w:rsidRPr="0066602A">
              <w:rPr>
                <w:rFonts w:cstheme="minorHAnsi"/>
                <w:sz w:val="20"/>
                <w:szCs w:val="20"/>
                <w:lang w:val="en-US"/>
              </w:rPr>
              <w:br/>
              <w:t xml:space="preserve">&gt; Other types of daytime impairment, including social, </w:t>
            </w:r>
            <w:r w:rsidRPr="0066602A">
              <w:rPr>
                <w:rFonts w:cstheme="minorHAnsi"/>
                <w:sz w:val="20"/>
                <w:szCs w:val="20"/>
                <w:lang w:val="en-US"/>
              </w:rPr>
              <w:lastRenderedPageBreak/>
              <w:t>functional, and mood-related consequences of poor sleep, were also mentioned frequently (7 of 10 groups). For example, some participants had to become more flexible with their social engagements.</w:t>
            </w:r>
            <w:r w:rsidRPr="0066602A">
              <w:rPr>
                <w:rFonts w:cstheme="minorHAnsi"/>
                <w:sz w:val="20"/>
                <w:szCs w:val="20"/>
                <w:lang w:val="en-US"/>
              </w:rPr>
              <w:br/>
              <w:t>&gt; Changes in the capacity for activities that involve sustained mental concentration, such as driving and working, were also identified as themes of altered sleep-wake functioning.</w:t>
            </w:r>
            <w:r w:rsidRPr="0066602A">
              <w:rPr>
                <w:rFonts w:cstheme="minorHAnsi"/>
                <w:sz w:val="20"/>
                <w:szCs w:val="20"/>
                <w:lang w:val="en-US"/>
              </w:rPr>
              <w:br/>
              <w:t>&gt; Mood disturbance as a result of altered sleep-wake functioning was another theme reported across patients with one participant in post-treatment follow-up saying she gets ‘pouty’ after inadequate sleep.</w:t>
            </w:r>
          </w:p>
        </w:tc>
      </w:tr>
      <w:tr w:rsidR="009A7DFD" w:rsidRPr="0066602A" w14:paraId="6995F581"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6B41634A"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Fontes, 2017</w:t>
            </w:r>
          </w:p>
          <w:p w14:paraId="468AECD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Portugal</w:t>
            </w:r>
          </w:p>
          <w:p w14:paraId="5AABED2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study, followed for 1 year</w:t>
            </w:r>
          </w:p>
        </w:tc>
        <w:tc>
          <w:tcPr>
            <w:tcW w:w="498" w:type="pct"/>
          </w:tcPr>
          <w:p w14:paraId="10B6129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502</w:t>
            </w:r>
          </w:p>
        </w:tc>
        <w:tc>
          <w:tcPr>
            <w:tcW w:w="451" w:type="pct"/>
          </w:tcPr>
          <w:p w14:paraId="33F301E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 xml:space="preserve">Female - 100% </w:t>
            </w:r>
            <w:r w:rsidRPr="0066602A">
              <w:rPr>
                <w:rFonts w:ascii="Calibri" w:hAnsi="Calibri" w:cs="Calibri"/>
                <w:color w:val="4E5053"/>
                <w:sz w:val="20"/>
                <w:szCs w:val="20"/>
                <w:lang w:val="en-US"/>
              </w:rPr>
              <w:br/>
              <w:t>Mean - NR</w:t>
            </w:r>
          </w:p>
        </w:tc>
        <w:tc>
          <w:tcPr>
            <w:tcW w:w="740" w:type="pct"/>
          </w:tcPr>
          <w:p w14:paraId="0C9C710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502 (100%)</w:t>
            </w:r>
          </w:p>
        </w:tc>
        <w:tc>
          <w:tcPr>
            <w:tcW w:w="1044" w:type="pct"/>
          </w:tcPr>
          <w:p w14:paraId="68A8F44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Endocrine therapy: 421 (83.9%)</w:t>
            </w:r>
            <w:r w:rsidRPr="0066602A">
              <w:rPr>
                <w:rFonts w:cstheme="minorHAnsi"/>
                <w:sz w:val="20"/>
                <w:szCs w:val="20"/>
                <w:lang w:val="en-US"/>
              </w:rPr>
              <w:br/>
              <w:t>Radiotherapy: 366 (72.9%)</w:t>
            </w:r>
            <w:r w:rsidRPr="0066602A">
              <w:rPr>
                <w:rFonts w:cstheme="minorHAnsi"/>
                <w:sz w:val="20"/>
                <w:szCs w:val="20"/>
                <w:lang w:val="en-US"/>
              </w:rPr>
              <w:br/>
              <w:t>Chemotherapy: 298 (59.4%)</w:t>
            </w:r>
            <w:r w:rsidRPr="0066602A">
              <w:rPr>
                <w:rFonts w:cstheme="minorHAnsi"/>
                <w:sz w:val="20"/>
                <w:szCs w:val="20"/>
                <w:lang w:val="en-US"/>
              </w:rPr>
              <w:br/>
              <w:t>Brachytherapy: 95 (18.9%)</w:t>
            </w:r>
            <w:r w:rsidRPr="0066602A">
              <w:rPr>
                <w:rFonts w:cstheme="minorHAnsi"/>
                <w:sz w:val="20"/>
                <w:szCs w:val="20"/>
                <w:lang w:val="en-US"/>
              </w:rPr>
              <w:br/>
              <w:t>Immunotherapy: 68 (13.6%)</w:t>
            </w:r>
            <w:r w:rsidRPr="0066602A">
              <w:rPr>
                <w:rFonts w:cstheme="minorHAnsi"/>
                <w:sz w:val="20"/>
                <w:szCs w:val="20"/>
                <w:lang w:val="en-US"/>
              </w:rPr>
              <w:br/>
            </w:r>
            <w:r w:rsidRPr="0066602A">
              <w:rPr>
                <w:rFonts w:cstheme="minorHAnsi"/>
                <w:b/>
                <w:bCs w:val="0"/>
                <w:sz w:val="20"/>
                <w:szCs w:val="20"/>
                <w:lang w:val="en-US"/>
              </w:rPr>
              <w:t>Surgery</w:t>
            </w:r>
            <w:r w:rsidRPr="0066602A">
              <w:rPr>
                <w:rFonts w:cstheme="minorHAnsi"/>
                <w:sz w:val="20"/>
                <w:szCs w:val="20"/>
                <w:lang w:val="en-US"/>
              </w:rPr>
              <w:br/>
              <w:t>Breast conserving: 249 (49.6%)</w:t>
            </w:r>
            <w:r w:rsidRPr="0066602A">
              <w:rPr>
                <w:rFonts w:cstheme="minorHAnsi"/>
                <w:sz w:val="20"/>
                <w:szCs w:val="20"/>
                <w:lang w:val="en-US"/>
              </w:rPr>
              <w:br/>
              <w:t>Mastectomy: 252 (50.2%)</w:t>
            </w:r>
            <w:r w:rsidRPr="0066602A">
              <w:rPr>
                <w:rFonts w:cstheme="minorHAnsi"/>
                <w:sz w:val="20"/>
                <w:szCs w:val="20"/>
                <w:lang w:val="en-US"/>
              </w:rPr>
              <w:br/>
              <w:t>Only axillary surgery: 1 (0.2%)</w:t>
            </w:r>
            <w:r w:rsidRPr="0066602A">
              <w:rPr>
                <w:rFonts w:cstheme="minorHAnsi"/>
                <w:sz w:val="20"/>
                <w:szCs w:val="20"/>
                <w:lang w:val="en-US"/>
              </w:rPr>
              <w:br/>
              <w:t>Axillary surgery SLNB: 315 (64.7%)</w:t>
            </w:r>
            <w:r w:rsidRPr="0066602A">
              <w:rPr>
                <w:rFonts w:cstheme="minorHAnsi"/>
                <w:sz w:val="20"/>
                <w:szCs w:val="20"/>
                <w:lang w:val="en-US"/>
              </w:rPr>
              <w:br/>
              <w:t>ALND: 172 (35.3%)</w:t>
            </w:r>
          </w:p>
        </w:tc>
        <w:tc>
          <w:tcPr>
            <w:tcW w:w="1809" w:type="pct"/>
          </w:tcPr>
          <w:p w14:paraId="34B046B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At baseline, anxiety and depression were associated with an odds of poor sleep quality approximately three and five fold higher.</w:t>
            </w:r>
            <w:r w:rsidRPr="0066602A">
              <w:rPr>
                <w:rFonts w:cstheme="minorHAnsi"/>
                <w:sz w:val="20"/>
                <w:szCs w:val="20"/>
                <w:lang w:val="en-US"/>
              </w:rPr>
              <w:br/>
            </w:r>
            <w:r w:rsidRPr="0066602A">
              <w:rPr>
                <w:rFonts w:cstheme="minorHAnsi"/>
                <w:b/>
                <w:bCs w:val="0"/>
                <w:sz w:val="20"/>
                <w:szCs w:val="20"/>
                <w:lang w:val="en-US"/>
              </w:rPr>
              <w:t>Anxiety (a):</w:t>
            </w:r>
            <w:r w:rsidRPr="0066602A">
              <w:rPr>
                <w:rFonts w:cstheme="minorHAnsi"/>
                <w:sz w:val="20"/>
                <w:szCs w:val="20"/>
                <w:lang w:val="en-US"/>
              </w:rPr>
              <w:t xml:space="preserve"> 190 (37.9%)</w:t>
            </w:r>
            <w:r w:rsidRPr="0066602A">
              <w:rPr>
                <w:rFonts w:cstheme="minorHAnsi"/>
                <w:sz w:val="20"/>
                <w:szCs w:val="20"/>
                <w:lang w:val="en-US"/>
              </w:rPr>
              <w:br/>
            </w:r>
            <w:r w:rsidRPr="0066602A">
              <w:rPr>
                <w:rFonts w:cstheme="minorHAnsi"/>
                <w:b/>
                <w:bCs w:val="0"/>
                <w:sz w:val="20"/>
                <w:szCs w:val="20"/>
                <w:lang w:val="en-US"/>
              </w:rPr>
              <w:t xml:space="preserve">Depression (b): </w:t>
            </w:r>
            <w:r w:rsidRPr="0066602A">
              <w:rPr>
                <w:rFonts w:cstheme="minorHAnsi"/>
                <w:sz w:val="20"/>
                <w:szCs w:val="20"/>
                <w:lang w:val="en-US"/>
              </w:rPr>
              <w:t>41 (8.2%)</w:t>
            </w:r>
            <w:r w:rsidRPr="0066602A">
              <w:rPr>
                <w:rFonts w:cstheme="minorHAnsi"/>
                <w:sz w:val="20"/>
                <w:szCs w:val="20"/>
                <w:lang w:val="en-US"/>
              </w:rPr>
              <w:br/>
            </w:r>
            <w:r w:rsidRPr="0066602A">
              <w:rPr>
                <w:rFonts w:cstheme="minorHAnsi"/>
                <w:b/>
                <w:bCs w:val="0"/>
                <w:sz w:val="20"/>
                <w:szCs w:val="20"/>
                <w:lang w:val="en-US"/>
              </w:rPr>
              <w:t>Poor sleep quality (c):</w:t>
            </w:r>
            <w:r w:rsidRPr="0066602A">
              <w:rPr>
                <w:rFonts w:cstheme="minorHAnsi"/>
                <w:sz w:val="20"/>
                <w:szCs w:val="20"/>
                <w:lang w:val="en-US"/>
              </w:rPr>
              <w:t xml:space="preserve"> 302 (60.2%)</w:t>
            </w:r>
            <w:r w:rsidRPr="0066602A">
              <w:rPr>
                <w:rFonts w:cstheme="minorHAnsi"/>
                <w:sz w:val="20"/>
                <w:szCs w:val="20"/>
                <w:lang w:val="en-US"/>
              </w:rPr>
              <w:br/>
              <w:t>(a) Defined as a score ≥11 in the anxiety subscale of the Hospital Anxiety and Depression</w:t>
            </w:r>
            <w:r w:rsidRPr="0066602A">
              <w:rPr>
                <w:rFonts w:cstheme="minorHAnsi"/>
                <w:sz w:val="20"/>
                <w:szCs w:val="20"/>
                <w:lang w:val="en-US"/>
              </w:rPr>
              <w:br/>
              <w:t>Scale; N=501 due to missing data; (b) Defined as a score ≥11 in the depression subscale of the Hospital Anxiety and Depression Scale; (c) Defined as a score &gt; 5 in the Pittsburgh Sleep Quality Index.</w:t>
            </w:r>
          </w:p>
        </w:tc>
      </w:tr>
      <w:tr w:rsidR="009A7DFD" w:rsidRPr="0066602A" w14:paraId="29904016"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38F84EF3"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t>Fortmann</w:t>
            </w:r>
            <w:proofErr w:type="spellEnd"/>
            <w:r w:rsidRPr="0066602A">
              <w:rPr>
                <w:rFonts w:cstheme="minorHAnsi"/>
                <w:sz w:val="20"/>
                <w:szCs w:val="20"/>
                <w:lang w:val="en-US"/>
              </w:rPr>
              <w:t>, 2018</w:t>
            </w:r>
          </w:p>
          <w:p w14:paraId="28F98823"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UK</w:t>
            </w:r>
          </w:p>
          <w:p w14:paraId="07E8619D"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survey design, 1 year</w:t>
            </w:r>
          </w:p>
        </w:tc>
        <w:tc>
          <w:tcPr>
            <w:tcW w:w="498" w:type="pct"/>
          </w:tcPr>
          <w:p w14:paraId="78F56EA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TYA survivors on treatment (n=67)</w:t>
            </w:r>
            <w:r w:rsidRPr="0066602A">
              <w:rPr>
                <w:rFonts w:cstheme="minorHAnsi"/>
                <w:sz w:val="20"/>
                <w:szCs w:val="20"/>
                <w:lang w:val="en-US"/>
              </w:rPr>
              <w:br/>
              <w:t xml:space="preserve">TYA survivors off treatment (n=135). </w:t>
            </w:r>
          </w:p>
        </w:tc>
        <w:tc>
          <w:tcPr>
            <w:tcW w:w="451" w:type="pct"/>
          </w:tcPr>
          <w:p w14:paraId="7AA37D8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- 35%</w:t>
            </w:r>
            <w:r w:rsidRPr="0066602A">
              <w:rPr>
                <w:rFonts w:cstheme="minorHAnsi"/>
                <w:color w:val="4E5053"/>
                <w:sz w:val="20"/>
                <w:szCs w:val="20"/>
                <w:lang w:val="en-US"/>
              </w:rPr>
              <w:br/>
              <w:t>Female - 65%</w:t>
            </w:r>
            <w:r w:rsidRPr="0066602A">
              <w:rPr>
                <w:rFonts w:cstheme="minorHAnsi"/>
                <w:color w:val="4E5053"/>
                <w:sz w:val="20"/>
                <w:szCs w:val="20"/>
                <w:lang w:val="en-US"/>
              </w:rPr>
              <w:br/>
              <w:t>Mean - 20.17</w:t>
            </w:r>
          </w:p>
        </w:tc>
        <w:tc>
          <w:tcPr>
            <w:tcW w:w="740" w:type="pct"/>
          </w:tcPr>
          <w:p w14:paraId="6D134AA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NR</w:t>
            </w:r>
          </w:p>
        </w:tc>
        <w:tc>
          <w:tcPr>
            <w:tcW w:w="1044" w:type="pct"/>
          </w:tcPr>
          <w:p w14:paraId="1822F14F" w14:textId="5BFA1200"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Almost all TYAs on (95.52%) and off treatment (94.81%) reported to have received/receive chemotherapy and/or </w:t>
            </w:r>
            <w:r w:rsidR="00480763" w:rsidRPr="0066602A">
              <w:rPr>
                <w:rFonts w:cstheme="minorHAnsi"/>
                <w:sz w:val="20"/>
                <w:szCs w:val="20"/>
                <w:lang w:val="en-US"/>
              </w:rPr>
              <w:t xml:space="preserve">radiation </w:t>
            </w:r>
            <w:r w:rsidRPr="0066602A">
              <w:rPr>
                <w:rFonts w:cstheme="minorHAnsi"/>
                <w:sz w:val="20"/>
                <w:szCs w:val="20"/>
                <w:lang w:val="en-US"/>
              </w:rPr>
              <w:t>therapy as cancer treatment</w:t>
            </w:r>
          </w:p>
        </w:tc>
        <w:tc>
          <w:tcPr>
            <w:tcW w:w="1809" w:type="pct"/>
          </w:tcPr>
          <w:p w14:paraId="0F90300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In separate adjusted analyses sleep quality (β=0.49, 95% CI=0.03-0.07, B=0.05, p&lt;0.001) and fatigue (β=0.55, 95% CI=0.01-0.03, B=0.02, p&lt;0.001) were strongly associated with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When entering sleep quality and fatigue into the same model both variables showed strong independent associations with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(β=0.32, 95% CI=0.01-0.06, B=0.03, p=0.009 for sleep quality, β=0.41, 95% CI=0.01-0.02, B=0.01, p=0.002 for fatigue).</w:t>
            </w:r>
            <w:r w:rsidRPr="0066602A">
              <w:rPr>
                <w:rFonts w:cstheme="minorHAnsi"/>
                <w:sz w:val="20"/>
                <w:szCs w:val="20"/>
                <w:lang w:val="en-US"/>
              </w:rPr>
              <w:br/>
              <w:t xml:space="preserve">&gt; Moderate to strong associations were found between sleep quality and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(β=0.43 95% CI=0.02-0.05, B=0.04, </w:t>
            </w:r>
            <w:r w:rsidRPr="0066602A">
              <w:rPr>
                <w:rFonts w:cstheme="minorHAnsi"/>
                <w:sz w:val="20"/>
                <w:szCs w:val="20"/>
                <w:lang w:val="en-US"/>
              </w:rPr>
              <w:lastRenderedPageBreak/>
              <w:t xml:space="preserve">p&lt;0.001). After entering sleep quality and fatigue into the same model fatigue was strongly associated with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(β=0.63, 95% CI=0.01-0.02, B=0.02, p&lt;0.001) but no association was found between sleep quality and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(β=0.08, 95% CI=-0.01-0.02, B=0.01, p=0.296).</w:t>
            </w:r>
          </w:p>
        </w:tc>
      </w:tr>
      <w:tr w:rsidR="009A7DFD" w:rsidRPr="0066602A" w14:paraId="490BF155"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DF74BE9"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Furukawa, 2017</w:t>
            </w:r>
          </w:p>
          <w:p w14:paraId="3327DAC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Japan</w:t>
            </w:r>
          </w:p>
          <w:p w14:paraId="1B01A3F2"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Questionnaire cross-sectional study, 30min/patient</w:t>
            </w:r>
          </w:p>
        </w:tc>
        <w:tc>
          <w:tcPr>
            <w:tcW w:w="498" w:type="pct"/>
          </w:tcPr>
          <w:p w14:paraId="28FB3A9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86</w:t>
            </w:r>
          </w:p>
        </w:tc>
        <w:tc>
          <w:tcPr>
            <w:tcW w:w="451" w:type="pct"/>
          </w:tcPr>
          <w:p w14:paraId="49040EE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- 67%</w:t>
            </w:r>
            <w:r w:rsidRPr="0066602A">
              <w:rPr>
                <w:rFonts w:cstheme="minorHAnsi"/>
                <w:color w:val="4E5053"/>
                <w:sz w:val="20"/>
                <w:szCs w:val="20"/>
                <w:lang w:val="en-US"/>
              </w:rPr>
              <w:br/>
              <w:t>Female - 33%</w:t>
            </w:r>
            <w:r w:rsidRPr="0066602A">
              <w:rPr>
                <w:rFonts w:cstheme="minorHAnsi"/>
                <w:color w:val="4E5053"/>
                <w:sz w:val="20"/>
                <w:szCs w:val="20"/>
                <w:lang w:val="en-US"/>
              </w:rPr>
              <w:br/>
              <w:t>Median - 72</w:t>
            </w:r>
          </w:p>
        </w:tc>
        <w:tc>
          <w:tcPr>
            <w:tcW w:w="740" w:type="pct"/>
          </w:tcPr>
          <w:p w14:paraId="3BBD399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Bladder: 68 (79.1%)</w:t>
            </w:r>
            <w:r w:rsidRPr="0066602A">
              <w:rPr>
                <w:rFonts w:cstheme="minorHAnsi"/>
                <w:sz w:val="20"/>
                <w:szCs w:val="20"/>
                <w:lang w:val="en-US"/>
              </w:rPr>
              <w:br/>
              <w:t>Colorectal: 8 (9.3%)</w:t>
            </w:r>
            <w:r w:rsidRPr="0066602A">
              <w:rPr>
                <w:rFonts w:cstheme="minorHAnsi"/>
                <w:sz w:val="20"/>
                <w:szCs w:val="20"/>
                <w:lang w:val="en-US"/>
              </w:rPr>
              <w:br/>
              <w:t>Ureteral: 2 (2.3%)</w:t>
            </w:r>
            <w:r w:rsidRPr="0066602A">
              <w:rPr>
                <w:rFonts w:cstheme="minorHAnsi"/>
                <w:sz w:val="20"/>
                <w:szCs w:val="20"/>
                <w:lang w:val="en-US"/>
              </w:rPr>
              <w:br/>
              <w:t>Cervical/vaginal: 1 (1.2%)</w:t>
            </w:r>
            <w:r w:rsidRPr="0066602A">
              <w:rPr>
                <w:rFonts w:cstheme="minorHAnsi"/>
                <w:sz w:val="20"/>
                <w:szCs w:val="20"/>
                <w:lang w:val="en-US"/>
              </w:rPr>
              <w:br/>
              <w:t>Others: 7 (8.1%)</w:t>
            </w:r>
          </w:p>
        </w:tc>
        <w:tc>
          <w:tcPr>
            <w:tcW w:w="1044" w:type="pct"/>
          </w:tcPr>
          <w:p w14:paraId="6556549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proofErr w:type="spellStart"/>
            <w:r w:rsidRPr="0066602A">
              <w:rPr>
                <w:rFonts w:cstheme="minorHAnsi"/>
                <w:sz w:val="20"/>
                <w:szCs w:val="20"/>
                <w:lang w:val="en-US"/>
              </w:rPr>
              <w:t>Post surgery</w:t>
            </w:r>
            <w:proofErr w:type="spellEnd"/>
            <w:r w:rsidRPr="0066602A">
              <w:rPr>
                <w:rFonts w:cstheme="minorHAnsi"/>
                <w:sz w:val="20"/>
                <w:szCs w:val="20"/>
                <w:lang w:val="en-US"/>
              </w:rPr>
              <w:t>- Surgery (urostomy n [%])</w:t>
            </w:r>
            <w:r w:rsidRPr="0066602A">
              <w:rPr>
                <w:rFonts w:cstheme="minorHAnsi"/>
                <w:sz w:val="20"/>
                <w:szCs w:val="20"/>
                <w:lang w:val="en-US"/>
              </w:rPr>
              <w:br/>
              <w:t>Ileal conduit 60 (69.8%)</w:t>
            </w:r>
            <w:r w:rsidRPr="0066602A">
              <w:rPr>
                <w:rFonts w:cstheme="minorHAnsi"/>
                <w:sz w:val="20"/>
                <w:szCs w:val="20"/>
                <w:lang w:val="en-US"/>
              </w:rPr>
              <w:br/>
              <w:t>Ureterostomy 26 (30.2%)</w:t>
            </w:r>
          </w:p>
        </w:tc>
        <w:tc>
          <w:tcPr>
            <w:tcW w:w="1809" w:type="pct"/>
          </w:tcPr>
          <w:p w14:paraId="3BF88B7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The relationship between impaired sleep quality and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was analyzed. </w:t>
            </w:r>
            <w:r w:rsidRPr="0066602A">
              <w:rPr>
                <w:rFonts w:cstheme="minorHAnsi"/>
                <w:sz w:val="20"/>
                <w:szCs w:val="20"/>
                <w:lang w:val="en-US"/>
              </w:rPr>
              <w:br/>
              <w:t xml:space="preserve">&gt; Spearman rank correlation coefficients between PSQI-J and WHOQOL scores were significant for all 4 domains (physical health: r=-0.48, p&lt;0.01, psychological health: r=-0.37, p&lt;0.01; social relationship: r=-0.42, p&lt;0.01; environment: r =-0.37, p&lt;0.01). </w:t>
            </w:r>
            <w:r w:rsidRPr="0066602A">
              <w:rPr>
                <w:rFonts w:cstheme="minorHAnsi"/>
                <w:sz w:val="20"/>
                <w:szCs w:val="20"/>
                <w:lang w:val="en-US"/>
              </w:rPr>
              <w:br/>
              <w:t xml:space="preserve">&gt; The score for the overall QoL domain was also significantly associated (r=-0.45, p&lt;0.01). </w:t>
            </w:r>
            <w:r w:rsidRPr="0066602A">
              <w:rPr>
                <w:rFonts w:cstheme="minorHAnsi"/>
                <w:sz w:val="20"/>
                <w:szCs w:val="20"/>
                <w:lang w:val="en-US"/>
              </w:rPr>
              <w:br/>
              <w:t xml:space="preserve">&gt; The PSQI-J score was statistically significantly associated with the cumulative scores for the </w:t>
            </w:r>
            <w:proofErr w:type="spellStart"/>
            <w:r w:rsidRPr="0066602A">
              <w:rPr>
                <w:rFonts w:cstheme="minorHAnsi"/>
                <w:sz w:val="20"/>
                <w:szCs w:val="20"/>
                <w:lang w:val="en-US"/>
              </w:rPr>
              <w:t>HRQoL</w:t>
            </w:r>
            <w:proofErr w:type="spellEnd"/>
            <w:r w:rsidRPr="0066602A">
              <w:rPr>
                <w:rFonts w:cstheme="minorHAnsi"/>
                <w:sz w:val="20"/>
                <w:szCs w:val="20"/>
                <w:lang w:val="en-US"/>
              </w:rPr>
              <w:t xml:space="preserve"> score, even when adjusted for all other variables. </w:t>
            </w:r>
          </w:p>
        </w:tc>
      </w:tr>
      <w:tr w:rsidR="009A7DFD" w:rsidRPr="0066602A" w14:paraId="0DB00263"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6A36292F"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Galiano-Castillo, 2017</w:t>
            </w:r>
          </w:p>
          <w:p w14:paraId="3AD6F213"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Spain</w:t>
            </w:r>
          </w:p>
          <w:p w14:paraId="6311A25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study, NR</w:t>
            </w:r>
          </w:p>
        </w:tc>
        <w:tc>
          <w:tcPr>
            <w:tcW w:w="498" w:type="pct"/>
          </w:tcPr>
          <w:p w14:paraId="368E8CF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123</w:t>
            </w:r>
          </w:p>
        </w:tc>
        <w:tc>
          <w:tcPr>
            <w:tcW w:w="451" w:type="pct"/>
          </w:tcPr>
          <w:p w14:paraId="15C3E9D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- 47.74</w:t>
            </w:r>
          </w:p>
        </w:tc>
        <w:tc>
          <w:tcPr>
            <w:tcW w:w="740" w:type="pct"/>
          </w:tcPr>
          <w:p w14:paraId="17EF3A8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123 (100%)</w:t>
            </w:r>
          </w:p>
        </w:tc>
        <w:tc>
          <w:tcPr>
            <w:tcW w:w="1044" w:type="pct"/>
          </w:tcPr>
          <w:p w14:paraId="4FA4D07D" w14:textId="59A723A1"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 48 (39%)</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4 (3.3%)</w:t>
            </w:r>
            <w:r w:rsidRPr="0066602A">
              <w:rPr>
                <w:rFonts w:cstheme="minorHAnsi"/>
                <w:sz w:val="20"/>
                <w:szCs w:val="20"/>
                <w:lang w:val="en-US"/>
              </w:rPr>
              <w:br/>
              <w:t xml:space="preserve">Chemotherapy + </w:t>
            </w:r>
            <w:r w:rsidR="00480763" w:rsidRPr="0066602A">
              <w:rPr>
                <w:rFonts w:cstheme="minorHAnsi"/>
                <w:sz w:val="20"/>
                <w:szCs w:val="20"/>
                <w:lang w:val="en-US"/>
              </w:rPr>
              <w:t xml:space="preserve">Radiation </w:t>
            </w:r>
            <w:r w:rsidRPr="0066602A">
              <w:rPr>
                <w:rFonts w:cstheme="minorHAnsi"/>
                <w:sz w:val="20"/>
                <w:szCs w:val="20"/>
                <w:lang w:val="en-US"/>
              </w:rPr>
              <w:t>therapy: 71 (57.7%)</w:t>
            </w:r>
            <w:r w:rsidRPr="0066602A">
              <w:rPr>
                <w:rFonts w:cstheme="minorHAnsi"/>
                <w:sz w:val="20"/>
                <w:szCs w:val="20"/>
                <w:lang w:val="en-US"/>
              </w:rPr>
              <w:br/>
              <w:t>Hormonal therapy</w:t>
            </w:r>
            <w:r w:rsidRPr="0066602A">
              <w:rPr>
                <w:rFonts w:cstheme="minorHAnsi"/>
                <w:sz w:val="20"/>
                <w:szCs w:val="20"/>
                <w:lang w:val="en-US"/>
              </w:rPr>
              <w:br/>
              <w:t>Tamoxifen: 36 (29.3%)</w:t>
            </w:r>
            <w:r w:rsidRPr="0066602A">
              <w:rPr>
                <w:rFonts w:cstheme="minorHAnsi"/>
                <w:sz w:val="20"/>
                <w:szCs w:val="20"/>
                <w:lang w:val="en-US"/>
              </w:rPr>
              <w:br/>
              <w:t>Aromatase inhibitor: 23 (18.7%)</w:t>
            </w:r>
            <w:r w:rsidRPr="0066602A">
              <w:rPr>
                <w:rFonts w:cstheme="minorHAnsi"/>
                <w:sz w:val="20"/>
                <w:szCs w:val="20"/>
                <w:lang w:val="en-US"/>
              </w:rPr>
              <w:br/>
            </w:r>
            <w:proofErr w:type="spellStart"/>
            <w:r w:rsidRPr="0066602A">
              <w:rPr>
                <w:rFonts w:cstheme="minorHAnsi"/>
                <w:sz w:val="20"/>
                <w:szCs w:val="20"/>
                <w:lang w:val="en-US"/>
              </w:rPr>
              <w:t>Fulvestrant</w:t>
            </w:r>
            <w:proofErr w:type="spellEnd"/>
            <w:r w:rsidRPr="0066602A">
              <w:rPr>
                <w:rFonts w:cstheme="minorHAnsi"/>
                <w:sz w:val="20"/>
                <w:szCs w:val="20"/>
                <w:lang w:val="en-US"/>
              </w:rPr>
              <w:t>: 6 (4.8%)</w:t>
            </w:r>
            <w:r w:rsidRPr="0066602A">
              <w:rPr>
                <w:rFonts w:cstheme="minorHAnsi"/>
                <w:sz w:val="20"/>
                <w:szCs w:val="20"/>
                <w:lang w:val="en-US"/>
              </w:rPr>
              <w:br/>
              <w:t>Patients were treated during Chemotherapy: 44 (35.8%) and after primary treatment: 79 (64.2%)</w:t>
            </w:r>
          </w:p>
        </w:tc>
        <w:tc>
          <w:tcPr>
            <w:tcW w:w="1809" w:type="pct"/>
          </w:tcPr>
          <w:p w14:paraId="00DF32E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Higher levels of insomnia were associated with higher scores on BPI (pain severity r=0.445, p=0.01; pain interference r=0.507, p=0.01) and HADS (HADS anxiety r=0.583, p=0.01; HADS depression r=0.423, p=0.01). </w:t>
            </w:r>
            <w:r w:rsidRPr="0066602A">
              <w:rPr>
                <w:rFonts w:cstheme="minorHAnsi"/>
                <w:sz w:val="20"/>
                <w:szCs w:val="20"/>
                <w:lang w:val="en-US"/>
              </w:rPr>
              <w:br/>
              <w:t xml:space="preserve">&gt; Significant correlations were included in the regression analysis because none </w:t>
            </w:r>
            <w:proofErr w:type="gramStart"/>
            <w:r w:rsidRPr="0066602A">
              <w:rPr>
                <w:rFonts w:cstheme="minorHAnsi"/>
                <w:sz w:val="20"/>
                <w:szCs w:val="20"/>
                <w:lang w:val="en-US"/>
              </w:rPr>
              <w:t>were considered to be</w:t>
            </w:r>
            <w:proofErr w:type="gramEnd"/>
            <w:r w:rsidRPr="0066602A">
              <w:rPr>
                <w:rFonts w:cstheme="minorHAnsi"/>
                <w:sz w:val="20"/>
                <w:szCs w:val="20"/>
                <w:lang w:val="en-US"/>
              </w:rPr>
              <w:t xml:space="preserve"> multicollinear (r=-0.728, r&lt;0.770). </w:t>
            </w:r>
          </w:p>
        </w:tc>
      </w:tr>
      <w:tr w:rsidR="009A7DFD" w:rsidRPr="0066602A" w14:paraId="02742F22"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3458543A"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Gehrman, 2017</w:t>
            </w:r>
          </w:p>
          <w:p w14:paraId="3BA4064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1E90D142"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survey, NR</w:t>
            </w:r>
          </w:p>
        </w:tc>
        <w:tc>
          <w:tcPr>
            <w:tcW w:w="498" w:type="pct"/>
          </w:tcPr>
          <w:p w14:paraId="34B8807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413</w:t>
            </w:r>
          </w:p>
        </w:tc>
        <w:tc>
          <w:tcPr>
            <w:tcW w:w="451" w:type="pct"/>
          </w:tcPr>
          <w:p w14:paraId="2525CEA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- 61.7</w:t>
            </w:r>
          </w:p>
        </w:tc>
        <w:tc>
          <w:tcPr>
            <w:tcW w:w="740" w:type="pct"/>
          </w:tcPr>
          <w:p w14:paraId="367643B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413 (100%)</w:t>
            </w:r>
          </w:p>
        </w:tc>
        <w:tc>
          <w:tcPr>
            <w:tcW w:w="1044" w:type="pct"/>
          </w:tcPr>
          <w:p w14:paraId="7211D71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Patients were currently taking a third-generation aromatase inhibitor (anastrozole, letrozole, or exemestane). </w:t>
            </w:r>
            <w:r w:rsidRPr="0066602A">
              <w:rPr>
                <w:rFonts w:cstheme="minorHAnsi"/>
                <w:sz w:val="20"/>
                <w:szCs w:val="20"/>
                <w:lang w:val="en-US"/>
              </w:rPr>
              <w:br/>
              <w:t xml:space="preserve">(Aromatase inhibitors are a class of drugs used in the treatment of </w:t>
            </w:r>
            <w:r w:rsidRPr="0066602A">
              <w:rPr>
                <w:rFonts w:cstheme="minorHAnsi"/>
                <w:sz w:val="20"/>
                <w:szCs w:val="20"/>
                <w:lang w:val="en-US"/>
              </w:rPr>
              <w:lastRenderedPageBreak/>
              <w:t>breast cancer in postmenopausal women)</w:t>
            </w:r>
          </w:p>
        </w:tc>
        <w:tc>
          <w:tcPr>
            <w:tcW w:w="1809" w:type="pct"/>
          </w:tcPr>
          <w:p w14:paraId="317686D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sz w:val="20"/>
                <w:szCs w:val="20"/>
                <w:lang w:val="en-US"/>
              </w:rPr>
              <w:lastRenderedPageBreak/>
              <w:t xml:space="preserve">&gt; In the factor analysis, a one-factor solution provided the best fit to the data, with an eigenvalue of 4.5 (the next highest eigenvalue = 0.3). </w:t>
            </w:r>
            <w:r w:rsidRPr="0066602A">
              <w:rPr>
                <w:rFonts w:cstheme="minorHAnsi"/>
                <w:sz w:val="20"/>
                <w:szCs w:val="20"/>
                <w:lang w:val="en-US"/>
              </w:rPr>
              <w:br/>
              <w:t xml:space="preserve">&gt; This solution was statistically significant compared to a model with no common factors (x 2 (10) = 555.6, p&lt;0.0001) and to a model with more than one-factor (x 2 (5) = 45.0, </w:t>
            </w:r>
            <w:r w:rsidRPr="0066602A">
              <w:rPr>
                <w:rFonts w:cstheme="minorHAnsi"/>
                <w:sz w:val="20"/>
                <w:szCs w:val="20"/>
                <w:lang w:val="en-US"/>
              </w:rPr>
              <w:lastRenderedPageBreak/>
              <w:t xml:space="preserve">p&lt;0.0001). </w:t>
            </w:r>
            <w:r w:rsidRPr="0066602A">
              <w:rPr>
                <w:rFonts w:cstheme="minorHAnsi"/>
                <w:sz w:val="20"/>
                <w:szCs w:val="20"/>
                <w:lang w:val="en-US"/>
              </w:rPr>
              <w:br/>
            </w:r>
            <w:r w:rsidRPr="0066602A">
              <w:rPr>
                <w:b/>
                <w:bCs w:val="0"/>
                <w:color w:val="4E5053"/>
                <w:sz w:val="20"/>
                <w:szCs w:val="20"/>
                <w:lang w:val="en-US"/>
              </w:rPr>
              <w:t>Factor loadings for each scale were:</w:t>
            </w:r>
            <w:r w:rsidRPr="0066602A">
              <w:rPr>
                <w:color w:val="4E5053"/>
                <w:sz w:val="20"/>
                <w:szCs w:val="20"/>
                <w:lang w:val="en-US"/>
              </w:rPr>
              <w:t xml:space="preserve"> ISI = 0.67, BFI = 0.81, BPI = 0.56, HADS Anxiety = 0.63, HADS Depression = 0.78, indicating that all symptoms contributed significantly to the factor, with depression and fatigue carrying the most weight and pain the least.</w:t>
            </w:r>
          </w:p>
          <w:p w14:paraId="2B1FEA8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The factor score accounted for 53.3% of the variance in ISI total score.</w:t>
            </w:r>
            <w:r w:rsidRPr="0066602A">
              <w:rPr>
                <w:rFonts w:cstheme="minorHAnsi"/>
                <w:sz w:val="20"/>
                <w:szCs w:val="20"/>
                <w:lang w:val="en-US"/>
              </w:rPr>
              <w:br/>
              <w:t>Descriptive statistics for symptom measures, [mean (SD), range]:</w:t>
            </w:r>
            <w:r w:rsidRPr="0066602A">
              <w:rPr>
                <w:rFonts w:cstheme="minorHAnsi"/>
                <w:sz w:val="20"/>
                <w:szCs w:val="20"/>
                <w:lang w:val="en-US"/>
              </w:rPr>
              <w:br/>
            </w:r>
            <w:r w:rsidRPr="0066602A">
              <w:rPr>
                <w:rFonts w:cstheme="minorHAnsi"/>
                <w:b/>
                <w:bCs w:val="0"/>
                <w:sz w:val="20"/>
                <w:szCs w:val="20"/>
                <w:lang w:val="en-US"/>
              </w:rPr>
              <w:t>Insomnia Severity Index:</w:t>
            </w:r>
            <w:r w:rsidRPr="0066602A">
              <w:rPr>
                <w:rFonts w:cstheme="minorHAnsi"/>
                <w:sz w:val="20"/>
                <w:szCs w:val="20"/>
                <w:lang w:val="en-US"/>
              </w:rPr>
              <w:t xml:space="preserve"> 8.2 (6.4), 0–26.0</w:t>
            </w:r>
            <w:r w:rsidRPr="0066602A">
              <w:rPr>
                <w:rFonts w:cstheme="minorHAnsi"/>
                <w:sz w:val="20"/>
                <w:szCs w:val="20"/>
                <w:lang w:val="en-US"/>
              </w:rPr>
              <w:br/>
            </w:r>
            <w:r w:rsidRPr="0066602A">
              <w:rPr>
                <w:rFonts w:cstheme="minorHAnsi"/>
                <w:b/>
                <w:bCs w:val="0"/>
                <w:sz w:val="20"/>
                <w:szCs w:val="20"/>
                <w:lang w:val="en-US"/>
              </w:rPr>
              <w:t>HADS Anxiety:</w:t>
            </w:r>
            <w:r w:rsidRPr="0066602A">
              <w:rPr>
                <w:rFonts w:cstheme="minorHAnsi"/>
                <w:sz w:val="20"/>
                <w:szCs w:val="20"/>
                <w:lang w:val="en-US"/>
              </w:rPr>
              <w:t xml:space="preserve"> 5.5 (3.8), 0–19.0</w:t>
            </w:r>
            <w:r w:rsidRPr="0066602A">
              <w:rPr>
                <w:rFonts w:cstheme="minorHAnsi"/>
                <w:sz w:val="20"/>
                <w:szCs w:val="20"/>
                <w:lang w:val="en-US"/>
              </w:rPr>
              <w:br/>
            </w:r>
            <w:r w:rsidRPr="0066602A">
              <w:rPr>
                <w:rFonts w:cstheme="minorHAnsi"/>
                <w:b/>
                <w:bCs w:val="0"/>
                <w:sz w:val="20"/>
                <w:szCs w:val="20"/>
                <w:lang w:val="en-US"/>
              </w:rPr>
              <w:t>HADS Depression</w:t>
            </w:r>
            <w:r w:rsidRPr="0066602A">
              <w:rPr>
                <w:rFonts w:cstheme="minorHAnsi"/>
                <w:sz w:val="20"/>
                <w:szCs w:val="20"/>
                <w:lang w:val="en-US"/>
              </w:rPr>
              <w:t>: 3.1 (2.8), 0–14.0</w:t>
            </w:r>
            <w:r w:rsidRPr="0066602A">
              <w:rPr>
                <w:rFonts w:cstheme="minorHAnsi"/>
                <w:sz w:val="20"/>
                <w:szCs w:val="20"/>
                <w:lang w:val="en-US"/>
              </w:rPr>
              <w:br/>
            </w:r>
            <w:r w:rsidRPr="0066602A">
              <w:rPr>
                <w:rFonts w:cstheme="minorHAnsi"/>
                <w:b/>
                <w:bCs w:val="0"/>
                <w:sz w:val="20"/>
                <w:szCs w:val="20"/>
                <w:lang w:val="en-US"/>
              </w:rPr>
              <w:t>Brief Pain Inventory:</w:t>
            </w:r>
            <w:r w:rsidRPr="0066602A">
              <w:rPr>
                <w:rFonts w:cstheme="minorHAnsi"/>
                <w:sz w:val="20"/>
                <w:szCs w:val="20"/>
                <w:lang w:val="en-US"/>
              </w:rPr>
              <w:t xml:space="preserve"> 2.0 (2.0), 0–9.8.</w:t>
            </w:r>
          </w:p>
        </w:tc>
      </w:tr>
      <w:tr w:rsidR="009A7DFD" w:rsidRPr="0066602A" w14:paraId="3FFC7D5F"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3E40DDC7"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Hoang, 2020</w:t>
            </w:r>
          </w:p>
          <w:p w14:paraId="5988FE8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Vietnam</w:t>
            </w:r>
          </w:p>
          <w:p w14:paraId="779851D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survey, May-July 2017</w:t>
            </w:r>
          </w:p>
        </w:tc>
        <w:tc>
          <w:tcPr>
            <w:tcW w:w="498" w:type="pct"/>
          </w:tcPr>
          <w:p w14:paraId="29894B3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213</w:t>
            </w:r>
          </w:p>
        </w:tc>
        <w:tc>
          <w:tcPr>
            <w:tcW w:w="451" w:type="pct"/>
          </w:tcPr>
          <w:p w14:paraId="1316BB1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Male - 40%</w:t>
            </w:r>
            <w:r w:rsidRPr="0066602A">
              <w:rPr>
                <w:rFonts w:ascii="Calibri" w:hAnsi="Calibri" w:cs="Calibri"/>
                <w:color w:val="4E5053"/>
                <w:sz w:val="20"/>
                <w:szCs w:val="20"/>
                <w:lang w:val="en-US"/>
              </w:rPr>
              <w:br/>
              <w:t>Female - 60%</w:t>
            </w:r>
            <w:r w:rsidRPr="0066602A">
              <w:rPr>
                <w:rFonts w:ascii="Calibri" w:hAnsi="Calibri" w:cs="Calibri"/>
                <w:color w:val="4E5053"/>
                <w:sz w:val="20"/>
                <w:szCs w:val="20"/>
                <w:lang w:val="en-US"/>
              </w:rPr>
              <w:br/>
              <w:t>Mean 53.1</w:t>
            </w:r>
          </w:p>
        </w:tc>
        <w:tc>
          <w:tcPr>
            <w:tcW w:w="740" w:type="pct"/>
          </w:tcPr>
          <w:p w14:paraId="6A1554B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59 (27.7%)</w:t>
            </w:r>
            <w:r w:rsidRPr="0066602A">
              <w:rPr>
                <w:rFonts w:cstheme="minorHAnsi"/>
                <w:sz w:val="20"/>
                <w:szCs w:val="20"/>
                <w:lang w:val="en-US"/>
              </w:rPr>
              <w:br/>
              <w:t>Gynecologic cancer: 24 (11.3%)</w:t>
            </w:r>
            <w:r w:rsidRPr="0066602A">
              <w:rPr>
                <w:rFonts w:cstheme="minorHAnsi"/>
                <w:sz w:val="20"/>
                <w:szCs w:val="20"/>
                <w:lang w:val="en-US"/>
              </w:rPr>
              <w:br/>
              <w:t>Lung/bronchial cancer: 41 (19.2%)</w:t>
            </w:r>
            <w:r w:rsidRPr="0066602A">
              <w:rPr>
                <w:rFonts w:cstheme="minorHAnsi"/>
                <w:sz w:val="20"/>
                <w:szCs w:val="20"/>
                <w:lang w:val="en-US"/>
              </w:rPr>
              <w:br/>
              <w:t>GI cancer: 38 (17.8%)</w:t>
            </w:r>
            <w:r w:rsidRPr="0066602A">
              <w:rPr>
                <w:rFonts w:cstheme="minorHAnsi"/>
                <w:sz w:val="20"/>
                <w:szCs w:val="20"/>
                <w:lang w:val="en-US"/>
              </w:rPr>
              <w:br/>
            </w:r>
            <w:proofErr w:type="gramStart"/>
            <w:r w:rsidRPr="0066602A">
              <w:rPr>
                <w:rFonts w:cstheme="minorHAnsi"/>
                <w:sz w:val="20"/>
                <w:szCs w:val="20"/>
                <w:lang w:val="en-US"/>
              </w:rPr>
              <w:t>Non-Hodgkin’s</w:t>
            </w:r>
            <w:proofErr w:type="gramEnd"/>
            <w:r w:rsidRPr="0066602A">
              <w:rPr>
                <w:rFonts w:cstheme="minorHAnsi"/>
                <w:sz w:val="20"/>
                <w:szCs w:val="20"/>
                <w:lang w:val="en-US"/>
              </w:rPr>
              <w:t xml:space="preserve"> lymphoma: 30 (14.1%)</w:t>
            </w:r>
            <w:r w:rsidRPr="0066602A">
              <w:rPr>
                <w:rFonts w:cstheme="minorHAnsi"/>
                <w:sz w:val="20"/>
                <w:szCs w:val="20"/>
                <w:lang w:val="en-US"/>
              </w:rPr>
              <w:br/>
              <w:t>Laryngeal cancer: 3 (1.4%)</w:t>
            </w:r>
            <w:r w:rsidRPr="0066602A">
              <w:rPr>
                <w:rFonts w:cstheme="minorHAnsi"/>
                <w:sz w:val="20"/>
                <w:szCs w:val="20"/>
                <w:lang w:val="en-US"/>
              </w:rPr>
              <w:br/>
              <w:t>Nasopharyngeal cancer: 12 (5.6%)</w:t>
            </w:r>
            <w:r w:rsidRPr="0066602A">
              <w:rPr>
                <w:rFonts w:cstheme="minorHAnsi"/>
                <w:sz w:val="20"/>
                <w:szCs w:val="20"/>
                <w:lang w:val="en-US"/>
              </w:rPr>
              <w:br/>
              <w:t>Brain cancer: 2 (0.9%)</w:t>
            </w:r>
            <w:r w:rsidRPr="0066602A">
              <w:rPr>
                <w:rFonts w:cstheme="minorHAnsi"/>
                <w:sz w:val="20"/>
                <w:szCs w:val="20"/>
                <w:lang w:val="en-US"/>
              </w:rPr>
              <w:br/>
              <w:t>Urinary system cancer: 4 (1.9%)</w:t>
            </w:r>
          </w:p>
        </w:tc>
        <w:tc>
          <w:tcPr>
            <w:tcW w:w="1044" w:type="pct"/>
          </w:tcPr>
          <w:p w14:paraId="4F5F38F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 100%</w:t>
            </w:r>
          </w:p>
        </w:tc>
        <w:tc>
          <w:tcPr>
            <w:tcW w:w="1809" w:type="pct"/>
          </w:tcPr>
          <w:p w14:paraId="1318F85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&gt; Patients with depression had a significantly higher ISI score and greater insomnia prevalence than patients with no depression (mean score = 15.4 vs. 11.36; 60.4% vs. 39.6%, respectively, both p&lt;0.01), and patients with anxiety had a higher ISI score and greater insomnia prevalence than those with no anxiety (mean score = 15.24 vs. 11.61; 63.7% vs. 36.3%, respectively, both p&lt;0.001).</w:t>
            </w:r>
            <w:r w:rsidRPr="0066602A">
              <w:rPr>
                <w:rFonts w:cstheme="minorHAnsi"/>
                <w:sz w:val="20"/>
                <w:szCs w:val="20"/>
                <w:lang w:val="en-US"/>
              </w:rPr>
              <w:br/>
              <w:t>&gt; Insomnia occurrence was correlated with anxiety (r=0.30; p&lt;0.01) and depression (r=0.27; p&lt;0.01).</w:t>
            </w:r>
            <w:r w:rsidRPr="0066602A">
              <w:rPr>
                <w:rFonts w:cstheme="minorHAnsi"/>
                <w:sz w:val="20"/>
                <w:szCs w:val="20"/>
                <w:lang w:val="en-US"/>
              </w:rPr>
              <w:br/>
              <w:t>&gt; Among participants with insomnia, there were 44 participants (48.4%) reporting the sleep-related symptom cluster and 47 participants (51.6%) reporting insomnia only. Among participants reporting the sleep-related symptom cluster, 21 patients (47.7%) reported three symptoms (insomnia, depression, and anxiety) and 23 patients (52.7%) reported two symptoms (insomnia and depression/anxiety).</w:t>
            </w:r>
            <w:r w:rsidRPr="0066602A">
              <w:rPr>
                <w:rFonts w:cstheme="minorHAnsi"/>
                <w:sz w:val="20"/>
                <w:szCs w:val="20"/>
                <w:lang w:val="en-US"/>
              </w:rPr>
              <w:br/>
              <w:t xml:space="preserve">&gt; Participants experiencing the sleep-related symptom cluster had significantly lower QoL scores in comparison with non-insomnia patients and participants reporting </w:t>
            </w:r>
            <w:r w:rsidRPr="0066602A">
              <w:rPr>
                <w:rFonts w:cstheme="minorHAnsi"/>
                <w:sz w:val="20"/>
                <w:szCs w:val="20"/>
                <w:lang w:val="en-US"/>
              </w:rPr>
              <w:lastRenderedPageBreak/>
              <w:t xml:space="preserve">insomnia only (all p&lt;0.001). </w:t>
            </w:r>
            <w:r w:rsidRPr="0066602A">
              <w:rPr>
                <w:rFonts w:cstheme="minorHAnsi"/>
                <w:sz w:val="20"/>
                <w:szCs w:val="20"/>
                <w:lang w:val="en-US"/>
              </w:rPr>
              <w:br/>
              <w:t xml:space="preserve">&gt; They also had worse scores than those without insomnia or those reporting insomnia only regarding emotional, functional, and physical well-being. </w:t>
            </w:r>
            <w:r w:rsidRPr="0066602A">
              <w:rPr>
                <w:rFonts w:cstheme="minorHAnsi"/>
                <w:sz w:val="20"/>
                <w:szCs w:val="20"/>
                <w:lang w:val="en-US"/>
              </w:rPr>
              <w:br/>
              <w:t>&gt; Participants reporting insomnia only had significantly poorer scores in comparison with non-insomnia participants regarding functional well-being (p&lt;0.05).</w:t>
            </w:r>
          </w:p>
        </w:tc>
      </w:tr>
      <w:tr w:rsidR="009A7DFD" w:rsidRPr="0066602A" w14:paraId="1A27833F"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46275D5"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lastRenderedPageBreak/>
              <w:t>Hofsø</w:t>
            </w:r>
            <w:proofErr w:type="spellEnd"/>
            <w:r w:rsidRPr="0066602A">
              <w:rPr>
                <w:rFonts w:cstheme="minorHAnsi"/>
                <w:sz w:val="20"/>
                <w:szCs w:val="20"/>
                <w:lang w:val="en-US"/>
              </w:rPr>
              <w:t>, 2012</w:t>
            </w:r>
          </w:p>
          <w:p w14:paraId="604F61CA"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Norway</w:t>
            </w:r>
          </w:p>
          <w:p w14:paraId="6067746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This study is part of a larger Longitudinal study, NR</w:t>
            </w:r>
          </w:p>
        </w:tc>
        <w:tc>
          <w:tcPr>
            <w:tcW w:w="498" w:type="pct"/>
          </w:tcPr>
          <w:p w14:paraId="7BEA3E9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188</w:t>
            </w:r>
          </w:p>
        </w:tc>
        <w:tc>
          <w:tcPr>
            <w:tcW w:w="451" w:type="pct"/>
          </w:tcPr>
          <w:p w14:paraId="6470A54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- 57.8</w:t>
            </w:r>
          </w:p>
        </w:tc>
        <w:tc>
          <w:tcPr>
            <w:tcW w:w="740" w:type="pct"/>
          </w:tcPr>
          <w:p w14:paraId="5082C23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or ductal carcinoma in situ</w:t>
            </w:r>
          </w:p>
        </w:tc>
        <w:tc>
          <w:tcPr>
            <w:tcW w:w="1044" w:type="pct"/>
          </w:tcPr>
          <w:p w14:paraId="4361446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Radiation therapy: 102 (54.3%)</w:t>
            </w:r>
            <w:r w:rsidRPr="0066602A">
              <w:rPr>
                <w:rFonts w:cstheme="minorHAnsi"/>
                <w:sz w:val="20"/>
                <w:szCs w:val="20"/>
                <w:lang w:val="en-US"/>
              </w:rPr>
              <w:br/>
              <w:t>Chemotherapy and radiation therapy: 86 (45.7%)</w:t>
            </w:r>
          </w:p>
        </w:tc>
        <w:tc>
          <w:tcPr>
            <w:tcW w:w="1809" w:type="pct"/>
          </w:tcPr>
          <w:p w14:paraId="058A9C8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Mean number of symptoms: 9.2 (SD, 7.2).</w:t>
            </w:r>
          </w:p>
          <w:p w14:paraId="31A4CBB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Of the 32 symptoms listed on the MSAS, 23 symptoms occurred in &gt;20% of the total sample. </w:t>
            </w:r>
            <w:r w:rsidRPr="0066602A">
              <w:rPr>
                <w:rFonts w:cstheme="minorHAnsi"/>
                <w:sz w:val="20"/>
                <w:szCs w:val="20"/>
                <w:lang w:val="en-US"/>
              </w:rPr>
              <w:br/>
              <w:t xml:space="preserve">&gt; The 5 most frequently occurring symptoms were: lack of energy (63%), worrying (59%), difficulty sleeping (56%), feeling drowsy (53%), and sweats (52%). </w:t>
            </w:r>
            <w:r w:rsidRPr="0066602A">
              <w:rPr>
                <w:rFonts w:cstheme="minorHAnsi"/>
                <w:sz w:val="20"/>
                <w:szCs w:val="20"/>
                <w:lang w:val="en-US"/>
              </w:rPr>
              <w:br/>
              <w:t xml:space="preserve">&gt; Patients who received CTX reported a significantly higher mean number of symptoms (12.6 [SD, 7.1]; p&lt;0.001) than patients who did not receive CTX (6.3 [SD, 5.8]) prior to RT. </w:t>
            </w:r>
            <w:r w:rsidRPr="0066602A">
              <w:rPr>
                <w:rFonts w:cstheme="minorHAnsi"/>
                <w:sz w:val="20"/>
                <w:szCs w:val="20"/>
                <w:lang w:val="en-US"/>
              </w:rPr>
              <w:br/>
              <w:t>&gt; 18/32 symptoms occurred significantly more frequently in women who received CTX prior to RT compared with women who did not receive CTX.</w:t>
            </w:r>
          </w:p>
        </w:tc>
      </w:tr>
      <w:tr w:rsidR="009A7DFD" w:rsidRPr="0066602A" w14:paraId="0169C490"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8E2CCF8"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Kim, 2008</w:t>
            </w:r>
          </w:p>
          <w:p w14:paraId="2FDE321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Korea</w:t>
            </w:r>
          </w:p>
          <w:p w14:paraId="7A338645"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open-labeled study, 4 weeks</w:t>
            </w:r>
          </w:p>
        </w:tc>
        <w:tc>
          <w:tcPr>
            <w:tcW w:w="498" w:type="pct"/>
          </w:tcPr>
          <w:p w14:paraId="25B30BF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42</w:t>
            </w:r>
          </w:p>
        </w:tc>
        <w:tc>
          <w:tcPr>
            <w:tcW w:w="451" w:type="pct"/>
          </w:tcPr>
          <w:p w14:paraId="60DDCE3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- 55%</w:t>
            </w:r>
            <w:r w:rsidRPr="0066602A">
              <w:rPr>
                <w:rFonts w:cstheme="minorHAnsi"/>
                <w:color w:val="4E5053"/>
                <w:sz w:val="20"/>
                <w:szCs w:val="20"/>
                <w:lang w:val="en-US"/>
              </w:rPr>
              <w:br/>
              <w:t>Female - 45%</w:t>
            </w:r>
            <w:r w:rsidRPr="0066602A">
              <w:rPr>
                <w:rFonts w:cstheme="minorHAnsi"/>
                <w:color w:val="4E5053"/>
                <w:sz w:val="20"/>
                <w:szCs w:val="20"/>
                <w:lang w:val="en-US"/>
              </w:rPr>
              <w:br/>
              <w:t>Mean - 57.5</w:t>
            </w:r>
          </w:p>
        </w:tc>
        <w:tc>
          <w:tcPr>
            <w:tcW w:w="740" w:type="pct"/>
          </w:tcPr>
          <w:p w14:paraId="383D715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Lung: 25 (59.5%)</w:t>
            </w:r>
            <w:r w:rsidRPr="0066602A">
              <w:rPr>
                <w:rFonts w:cstheme="minorHAnsi"/>
                <w:sz w:val="20"/>
                <w:szCs w:val="20"/>
                <w:lang w:val="en-US"/>
              </w:rPr>
              <w:br/>
              <w:t>Breast: 5 (11.9%)</w:t>
            </w:r>
            <w:r w:rsidRPr="0066602A">
              <w:rPr>
                <w:rFonts w:cstheme="minorHAnsi"/>
                <w:sz w:val="20"/>
                <w:szCs w:val="20"/>
                <w:lang w:val="en-US"/>
              </w:rPr>
              <w:br/>
              <w:t>GI tract: 6 (14.3%)</w:t>
            </w:r>
            <w:r w:rsidRPr="0066602A">
              <w:rPr>
                <w:rFonts w:cstheme="minorHAnsi"/>
                <w:sz w:val="20"/>
                <w:szCs w:val="20"/>
                <w:lang w:val="en-US"/>
              </w:rPr>
              <w:br/>
              <w:t>Hepatobiliary tract: 3 (7.1%)</w:t>
            </w:r>
            <w:r w:rsidRPr="0066602A">
              <w:rPr>
                <w:rFonts w:cstheme="minorHAnsi"/>
                <w:sz w:val="20"/>
                <w:szCs w:val="20"/>
                <w:lang w:val="en-US"/>
              </w:rPr>
              <w:br/>
              <w:t>Other malignancy: 3 (7.1%)</w:t>
            </w:r>
          </w:p>
        </w:tc>
        <w:tc>
          <w:tcPr>
            <w:tcW w:w="1044" w:type="pct"/>
          </w:tcPr>
          <w:p w14:paraId="28311FF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Cancer therapy: NR</w:t>
            </w:r>
            <w:r w:rsidRPr="0066602A">
              <w:rPr>
                <w:rFonts w:cstheme="minorHAnsi"/>
                <w:sz w:val="20"/>
                <w:szCs w:val="20"/>
                <w:lang w:val="en-US"/>
              </w:rPr>
              <w:br/>
              <w:t>All patients were taking mirtazapine: 42 (100%) (anti-depressant)</w:t>
            </w:r>
          </w:p>
        </w:tc>
        <w:tc>
          <w:tcPr>
            <w:tcW w:w="1809" w:type="pct"/>
          </w:tcPr>
          <w:p w14:paraId="7FA53ED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Assessments were performed at baseline and at Days 1, 3, 5, 7, 14, and 28.</w:t>
            </w:r>
            <w:r w:rsidRPr="0066602A">
              <w:rPr>
                <w:rFonts w:cstheme="minorHAnsi"/>
                <w:sz w:val="20"/>
                <w:szCs w:val="20"/>
                <w:lang w:val="en-US"/>
              </w:rPr>
              <w:br/>
              <w:t xml:space="preserve">&gt; Changes in the pain score were significantly correlated with changes in sleep quality, nausea, and depression. </w:t>
            </w:r>
            <w:r w:rsidRPr="0066602A">
              <w:rPr>
                <w:rFonts w:cstheme="minorHAnsi"/>
                <w:sz w:val="20"/>
                <w:szCs w:val="20"/>
                <w:lang w:val="en-US"/>
              </w:rPr>
              <w:br/>
              <w:t xml:space="preserve">&gt; Changes in the score on the MADRS were significantly correlated with changes in all other outcome measures analyzed for correlations, such as nausea, sleep quality, and QoL. </w:t>
            </w:r>
          </w:p>
        </w:tc>
      </w:tr>
      <w:tr w:rsidR="009A7DFD" w:rsidRPr="0066602A" w14:paraId="0886FC6F"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1A669CE"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Koopman, 2002</w:t>
            </w:r>
          </w:p>
          <w:p w14:paraId="7835E51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46A2A62E"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RCT, NR</w:t>
            </w:r>
          </w:p>
        </w:tc>
        <w:tc>
          <w:tcPr>
            <w:tcW w:w="498" w:type="pct"/>
          </w:tcPr>
          <w:p w14:paraId="68CE123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97</w:t>
            </w:r>
          </w:p>
        </w:tc>
        <w:tc>
          <w:tcPr>
            <w:tcW w:w="451" w:type="pct"/>
          </w:tcPr>
          <w:p w14:paraId="449EC51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- 53</w:t>
            </w:r>
          </w:p>
        </w:tc>
        <w:tc>
          <w:tcPr>
            <w:tcW w:w="740" w:type="pct"/>
          </w:tcPr>
          <w:p w14:paraId="19FAF04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97 (100%)</w:t>
            </w:r>
          </w:p>
        </w:tc>
        <w:tc>
          <w:tcPr>
            <w:tcW w:w="1044" w:type="pct"/>
          </w:tcPr>
          <w:p w14:paraId="4AE071C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NR</w:t>
            </w:r>
          </w:p>
        </w:tc>
        <w:tc>
          <w:tcPr>
            <w:tcW w:w="1809" w:type="pct"/>
          </w:tcPr>
          <w:p w14:paraId="1F7938D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Problems falling to sleep in the evening were significantly related to higher pain and CES-D total scores (F[3,94] =6.86, p&lt;0.001, overall adjusted R2 =0.16)</w:t>
            </w:r>
            <w:r w:rsidRPr="0066602A">
              <w:rPr>
                <w:rFonts w:cstheme="minorHAnsi"/>
                <w:sz w:val="20"/>
                <w:szCs w:val="20"/>
                <w:lang w:val="en-US"/>
              </w:rPr>
              <w:br/>
              <w:t>&gt; Problems waking during the night were significantly associated with greater CES-D scores and less education (F[3,93 =6.29, p&lt;0.001, overall adjusted R2 =0.14)</w:t>
            </w:r>
            <w:r w:rsidRPr="0066602A">
              <w:rPr>
                <w:rFonts w:cstheme="minorHAnsi"/>
                <w:sz w:val="20"/>
                <w:szCs w:val="20"/>
                <w:lang w:val="en-US"/>
              </w:rPr>
              <w:br/>
              <w:t xml:space="preserve">&gt; Problems waking/getting up in the morning were </w:t>
            </w:r>
            <w:r w:rsidRPr="0066602A">
              <w:rPr>
                <w:rFonts w:cstheme="minorHAnsi"/>
                <w:sz w:val="20"/>
                <w:szCs w:val="20"/>
                <w:lang w:val="en-US"/>
              </w:rPr>
              <w:lastRenderedPageBreak/>
              <w:t>significantly associated with greater CES-D scores and less social support (F[3,93 =12.01, p&lt;0.001, overall adjusted R2 =0.26).</w:t>
            </w:r>
          </w:p>
        </w:tc>
      </w:tr>
      <w:tr w:rsidR="009A7DFD" w:rsidRPr="0066602A" w14:paraId="6318456A"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3D8EDDC1"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Kramer, 2000</w:t>
            </w:r>
          </w:p>
          <w:p w14:paraId="2CDE0E2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Brussels</w:t>
            </w:r>
          </w:p>
          <w:p w14:paraId="5DD0D9B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Exploratory prognostic factor analysis from a randomized phase II/III trial, September 1993-April 1996</w:t>
            </w:r>
          </w:p>
        </w:tc>
        <w:tc>
          <w:tcPr>
            <w:tcW w:w="498" w:type="pct"/>
          </w:tcPr>
          <w:p w14:paraId="303DE1A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187</w:t>
            </w:r>
          </w:p>
        </w:tc>
        <w:tc>
          <w:tcPr>
            <w:tcW w:w="451" w:type="pct"/>
          </w:tcPr>
          <w:p w14:paraId="5106B42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NR</w:t>
            </w:r>
          </w:p>
        </w:tc>
        <w:tc>
          <w:tcPr>
            <w:tcW w:w="740" w:type="pct"/>
          </w:tcPr>
          <w:p w14:paraId="09396ED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100%</w:t>
            </w:r>
          </w:p>
        </w:tc>
        <w:tc>
          <w:tcPr>
            <w:tcW w:w="1044" w:type="pct"/>
          </w:tcPr>
          <w:p w14:paraId="7B5E1CE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w:t>
            </w:r>
            <w:r w:rsidRPr="0066602A">
              <w:rPr>
                <w:rFonts w:cstheme="minorHAnsi"/>
                <w:sz w:val="20"/>
                <w:szCs w:val="20"/>
                <w:lang w:val="en-US"/>
              </w:rPr>
              <w:br/>
              <w:t>Paclitaxel: 94 (50.3%)</w:t>
            </w:r>
            <w:r w:rsidRPr="0066602A">
              <w:rPr>
                <w:rFonts w:cstheme="minorHAnsi"/>
                <w:sz w:val="20"/>
                <w:szCs w:val="20"/>
                <w:lang w:val="en-US"/>
              </w:rPr>
              <w:br/>
              <w:t>Doxorubicin: 93 (49.7%)</w:t>
            </w:r>
          </w:p>
        </w:tc>
        <w:tc>
          <w:tcPr>
            <w:tcW w:w="1809" w:type="pct"/>
          </w:tcPr>
          <w:p w14:paraId="64887C5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sz w:val="20"/>
                <w:szCs w:val="20"/>
                <w:lang w:val="en-US"/>
              </w:rPr>
              <w:t>Correlation matrix for;</w:t>
            </w:r>
            <w:r w:rsidRPr="0066602A">
              <w:rPr>
                <w:rFonts w:cstheme="minorHAnsi"/>
                <w:sz w:val="20"/>
                <w:szCs w:val="20"/>
                <w:lang w:val="en-US"/>
              </w:rPr>
              <w:br/>
              <w:t>&gt; Insomnia and physical functional: 0.044</w:t>
            </w:r>
            <w:r w:rsidRPr="0066602A">
              <w:rPr>
                <w:rFonts w:cstheme="minorHAnsi"/>
                <w:sz w:val="20"/>
                <w:szCs w:val="20"/>
                <w:lang w:val="en-US"/>
              </w:rPr>
              <w:br/>
              <w:t>&gt; Insomnia and role function: -0.201</w:t>
            </w:r>
            <w:r w:rsidRPr="0066602A">
              <w:rPr>
                <w:rFonts w:cstheme="minorHAnsi"/>
                <w:sz w:val="20"/>
                <w:szCs w:val="20"/>
                <w:lang w:val="en-US"/>
              </w:rPr>
              <w:br/>
              <w:t>&gt; Insomnia and emotional function: -0.301</w:t>
            </w:r>
            <w:r w:rsidRPr="0066602A">
              <w:rPr>
                <w:rFonts w:cstheme="minorHAnsi"/>
                <w:sz w:val="20"/>
                <w:szCs w:val="20"/>
                <w:lang w:val="en-US"/>
              </w:rPr>
              <w:br/>
              <w:t>&gt; Insomnia and cognitive function: -0.116</w:t>
            </w:r>
            <w:r w:rsidRPr="0066602A">
              <w:rPr>
                <w:rFonts w:cstheme="minorHAnsi"/>
                <w:sz w:val="20"/>
                <w:szCs w:val="20"/>
                <w:lang w:val="en-US"/>
              </w:rPr>
              <w:br/>
              <w:t xml:space="preserve">&gt; Insomnia and social function: -0.186 </w:t>
            </w:r>
            <w:r w:rsidRPr="0066602A">
              <w:rPr>
                <w:rFonts w:cstheme="minorHAnsi"/>
                <w:sz w:val="20"/>
                <w:szCs w:val="20"/>
                <w:lang w:val="en-US"/>
              </w:rPr>
              <w:br/>
              <w:t xml:space="preserve">&gt; Insomnia and fatigue: 0.203 </w:t>
            </w:r>
            <w:r w:rsidRPr="0066602A">
              <w:rPr>
                <w:rFonts w:cstheme="minorHAnsi"/>
                <w:sz w:val="20"/>
                <w:szCs w:val="20"/>
                <w:lang w:val="en-US"/>
              </w:rPr>
              <w:br/>
              <w:t xml:space="preserve">&gt; Insomnia and Nausea and vomiting: 0.117 </w:t>
            </w:r>
            <w:r w:rsidRPr="0066602A">
              <w:rPr>
                <w:rFonts w:cstheme="minorHAnsi"/>
                <w:sz w:val="20"/>
                <w:szCs w:val="20"/>
                <w:lang w:val="en-US"/>
              </w:rPr>
              <w:br/>
              <w:t xml:space="preserve">&gt; Insomnia and pain: 0.201 </w:t>
            </w:r>
            <w:r w:rsidRPr="0066602A">
              <w:rPr>
                <w:rFonts w:cstheme="minorHAnsi"/>
                <w:sz w:val="20"/>
                <w:szCs w:val="20"/>
                <w:lang w:val="en-US"/>
              </w:rPr>
              <w:br/>
              <w:t>&gt; Insomnia and dyspnea: 0.037</w:t>
            </w:r>
          </w:p>
        </w:tc>
      </w:tr>
      <w:tr w:rsidR="009A7DFD" w:rsidRPr="0066602A" w14:paraId="3A7C591D"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352BEBD8"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t>Kwekkeboom</w:t>
            </w:r>
            <w:proofErr w:type="spellEnd"/>
            <w:r w:rsidRPr="0066602A">
              <w:rPr>
                <w:rFonts w:cstheme="minorHAnsi"/>
                <w:sz w:val="20"/>
                <w:szCs w:val="20"/>
                <w:lang w:val="en-US"/>
              </w:rPr>
              <w:t>, 2018</w:t>
            </w:r>
          </w:p>
          <w:p w14:paraId="71038C5E"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302CD64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Descriptive correlational analysis from </w:t>
            </w:r>
            <w:proofErr w:type="gramStart"/>
            <w:r w:rsidRPr="0066602A">
              <w:rPr>
                <w:rFonts w:cstheme="minorHAnsi"/>
                <w:sz w:val="20"/>
                <w:szCs w:val="20"/>
                <w:lang w:val="en-US"/>
              </w:rPr>
              <w:t>a</w:t>
            </w:r>
            <w:proofErr w:type="gramEnd"/>
            <w:r w:rsidRPr="0066602A">
              <w:rPr>
                <w:rFonts w:cstheme="minorHAnsi"/>
                <w:sz w:val="20"/>
                <w:szCs w:val="20"/>
                <w:lang w:val="en-US"/>
              </w:rPr>
              <w:t xml:space="preserve"> RCT, NR</w:t>
            </w:r>
          </w:p>
        </w:tc>
        <w:tc>
          <w:tcPr>
            <w:tcW w:w="498" w:type="pct"/>
          </w:tcPr>
          <w:p w14:paraId="432448D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158</w:t>
            </w:r>
          </w:p>
        </w:tc>
        <w:tc>
          <w:tcPr>
            <w:tcW w:w="451" w:type="pct"/>
          </w:tcPr>
          <w:p w14:paraId="620C2A8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- 28%</w:t>
            </w:r>
            <w:r w:rsidRPr="0066602A">
              <w:rPr>
                <w:rFonts w:cstheme="minorHAnsi"/>
                <w:color w:val="4E5053"/>
                <w:sz w:val="20"/>
                <w:szCs w:val="20"/>
                <w:lang w:val="en-US"/>
              </w:rPr>
              <w:br/>
              <w:t>Female - 72%</w:t>
            </w:r>
            <w:r w:rsidRPr="0066602A">
              <w:rPr>
                <w:rFonts w:cstheme="minorHAnsi"/>
                <w:color w:val="4E5053"/>
                <w:sz w:val="20"/>
                <w:szCs w:val="20"/>
                <w:lang w:val="en-US"/>
              </w:rPr>
              <w:br/>
              <w:t>Mean - 58.68</w:t>
            </w:r>
          </w:p>
        </w:tc>
        <w:tc>
          <w:tcPr>
            <w:tcW w:w="740" w:type="pct"/>
          </w:tcPr>
          <w:p w14:paraId="07C8CB5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Breast cancer: 36 (23%)</w:t>
            </w:r>
            <w:r w:rsidRPr="0066602A">
              <w:rPr>
                <w:rFonts w:cstheme="minorHAnsi"/>
                <w:color w:val="4E5053"/>
                <w:sz w:val="20"/>
                <w:szCs w:val="20"/>
                <w:lang w:val="en-US"/>
              </w:rPr>
              <w:br/>
              <w:t>GI cancer: 34 (22%)</w:t>
            </w:r>
            <w:r w:rsidRPr="0066602A">
              <w:rPr>
                <w:rFonts w:cstheme="minorHAnsi"/>
                <w:color w:val="4E5053"/>
                <w:sz w:val="20"/>
                <w:szCs w:val="20"/>
                <w:lang w:val="en-US"/>
              </w:rPr>
              <w:br/>
              <w:t>Lung cancer: 30 (19%)</w:t>
            </w:r>
            <w:r w:rsidRPr="0066602A">
              <w:rPr>
                <w:rFonts w:cstheme="minorHAnsi"/>
                <w:color w:val="4E5053"/>
                <w:sz w:val="20"/>
                <w:szCs w:val="20"/>
                <w:lang w:val="en-US"/>
              </w:rPr>
              <w:br/>
              <w:t>Gynecologic cancer: 29 (18%)</w:t>
            </w:r>
          </w:p>
        </w:tc>
        <w:tc>
          <w:tcPr>
            <w:tcW w:w="1044" w:type="pct"/>
          </w:tcPr>
          <w:p w14:paraId="3D2CE4C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Cytotoxic chemotherapy alone: 84 (53%)</w:t>
            </w:r>
            <w:r w:rsidRPr="0066602A">
              <w:rPr>
                <w:rFonts w:cstheme="minorHAnsi"/>
                <w:sz w:val="20"/>
                <w:szCs w:val="20"/>
                <w:lang w:val="en-US"/>
              </w:rPr>
              <w:br/>
              <w:t>Combination of cytotoxic and targeted therapies: 39 (25%)</w:t>
            </w:r>
          </w:p>
        </w:tc>
        <w:tc>
          <w:tcPr>
            <w:tcW w:w="1809" w:type="pct"/>
          </w:tcPr>
          <w:p w14:paraId="7E52686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Psychological stress was positively related to symptom cluster distress in the analyses including CRP (b = 0.24, P=0.011) and IL-1b (b = 0.24, P=0.011), such that higher levels of stress correlated with greater pain, fatigue, and sleep disturbance symptom cluster-related distress. </w:t>
            </w:r>
            <w:r w:rsidRPr="0066602A">
              <w:rPr>
                <w:rFonts w:cstheme="minorHAnsi"/>
                <w:sz w:val="20"/>
                <w:szCs w:val="20"/>
                <w:lang w:val="en-US"/>
              </w:rPr>
              <w:br/>
              <w:t>&gt; Higher levels of TNF-a were associated with greater distress from the pain, fatigue, and sleep disturbance symptom cluster (b= 0.20, P =0.003).</w:t>
            </w:r>
            <w:r w:rsidRPr="0066602A">
              <w:rPr>
                <w:rFonts w:cstheme="minorHAnsi"/>
                <w:sz w:val="20"/>
                <w:szCs w:val="20"/>
                <w:lang w:val="en-US"/>
              </w:rPr>
              <w:br/>
              <w:t>&gt; Higher levels of TNF-a were associated with more pain, fatigue, and sleep disturbance symptom cluster-related distress, which, in turn, resulted in greater interference with daily life.</w:t>
            </w:r>
          </w:p>
        </w:tc>
      </w:tr>
      <w:tr w:rsidR="009A7DFD" w:rsidRPr="0066602A" w14:paraId="4D64B96B"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F7386C6"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Lis, 2008</w:t>
            </w:r>
          </w:p>
          <w:p w14:paraId="1E064095"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70E8681F"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Case series, 3 years</w:t>
            </w:r>
          </w:p>
        </w:tc>
        <w:tc>
          <w:tcPr>
            <w:tcW w:w="498" w:type="pct"/>
          </w:tcPr>
          <w:p w14:paraId="1EEF5ED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954</w:t>
            </w:r>
          </w:p>
        </w:tc>
        <w:tc>
          <w:tcPr>
            <w:tcW w:w="451" w:type="pct"/>
          </w:tcPr>
          <w:p w14:paraId="6016B91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Male - 39%</w:t>
            </w:r>
            <w:r w:rsidRPr="0066602A">
              <w:rPr>
                <w:rFonts w:ascii="Calibri" w:hAnsi="Calibri" w:cs="Calibri"/>
                <w:color w:val="4E5053"/>
                <w:sz w:val="20"/>
                <w:szCs w:val="20"/>
                <w:lang w:val="en-US"/>
              </w:rPr>
              <w:br/>
              <w:t>Female - 61%</w:t>
            </w:r>
            <w:r w:rsidRPr="0066602A">
              <w:rPr>
                <w:rFonts w:ascii="Calibri" w:hAnsi="Calibri" w:cs="Calibri"/>
                <w:color w:val="4E5053"/>
                <w:sz w:val="20"/>
                <w:szCs w:val="20"/>
                <w:lang w:val="en-US"/>
              </w:rPr>
              <w:br/>
              <w:t>Mean – 55.7</w:t>
            </w:r>
          </w:p>
        </w:tc>
        <w:tc>
          <w:tcPr>
            <w:tcW w:w="740" w:type="pct"/>
          </w:tcPr>
          <w:p w14:paraId="62C8B1A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251 (26.3%)</w:t>
            </w:r>
            <w:r w:rsidRPr="0066602A">
              <w:rPr>
                <w:rFonts w:cstheme="minorHAnsi"/>
                <w:sz w:val="20"/>
                <w:szCs w:val="20"/>
                <w:lang w:val="en-US"/>
              </w:rPr>
              <w:br/>
              <w:t>Colorectal: 177 (18.6%)</w:t>
            </w:r>
            <w:r w:rsidRPr="0066602A">
              <w:rPr>
                <w:rFonts w:cstheme="minorHAnsi"/>
                <w:sz w:val="20"/>
                <w:szCs w:val="20"/>
                <w:lang w:val="en-US"/>
              </w:rPr>
              <w:br/>
              <w:t>Lung: 156 (16.4%)</w:t>
            </w:r>
            <w:r w:rsidRPr="0066602A">
              <w:rPr>
                <w:rFonts w:cstheme="minorHAnsi"/>
                <w:sz w:val="20"/>
                <w:szCs w:val="20"/>
                <w:lang w:val="en-US"/>
              </w:rPr>
              <w:br/>
              <w:t>Pancreas: 55 (5.8%)</w:t>
            </w:r>
            <w:r w:rsidRPr="0066602A">
              <w:rPr>
                <w:rFonts w:cstheme="minorHAnsi"/>
                <w:sz w:val="20"/>
                <w:szCs w:val="20"/>
                <w:lang w:val="en-US"/>
              </w:rPr>
              <w:br/>
              <w:t>Prostate: 43 (4.5%)</w:t>
            </w:r>
            <w:r w:rsidRPr="0066602A">
              <w:rPr>
                <w:rFonts w:cstheme="minorHAnsi"/>
                <w:sz w:val="20"/>
                <w:szCs w:val="20"/>
                <w:lang w:val="en-US"/>
              </w:rPr>
              <w:br/>
              <w:t>Others: 272 (28.5%)</w:t>
            </w:r>
          </w:p>
        </w:tc>
        <w:tc>
          <w:tcPr>
            <w:tcW w:w="1044" w:type="pct"/>
          </w:tcPr>
          <w:p w14:paraId="48533F6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NR</w:t>
            </w:r>
          </w:p>
        </w:tc>
        <w:tc>
          <w:tcPr>
            <w:tcW w:w="1809" w:type="pct"/>
          </w:tcPr>
          <w:p w14:paraId="3CB380E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The mean, median, and standard deviation for the QLQ-C30 insomnia subscale were 43.5, 33.3, and 35.3, respectively. The minimum score was 0 and maximum was 100. </w:t>
            </w:r>
            <w:r w:rsidRPr="0066602A">
              <w:rPr>
                <w:rFonts w:cstheme="minorHAnsi"/>
                <w:sz w:val="20"/>
                <w:szCs w:val="20"/>
                <w:lang w:val="en-US"/>
              </w:rPr>
              <w:br/>
              <w:t>&gt; 255 (26.7%) patients had an insomnia score of 0, 330 (34.6%) had a score of 33.33, 192 (20.1%) had a score of 66.67, and 177 (18.6%) had a score of 100.</w:t>
            </w:r>
            <w:r w:rsidRPr="0066602A">
              <w:rPr>
                <w:rFonts w:cstheme="minorHAnsi"/>
                <w:sz w:val="20"/>
                <w:szCs w:val="20"/>
                <w:lang w:val="en-US"/>
              </w:rPr>
              <w:br/>
            </w:r>
            <w:r w:rsidRPr="0066602A">
              <w:rPr>
                <w:rFonts w:cstheme="minorHAnsi"/>
                <w:sz w:val="20"/>
                <w:szCs w:val="20"/>
                <w:lang w:val="en-US"/>
              </w:rPr>
              <w:lastRenderedPageBreak/>
              <w:t xml:space="preserve">&gt; Statistically significant differences in the mean QLQ scores were found across the four categories of insomnia for all QLI subscales and overall QoL scale. </w:t>
            </w:r>
            <w:r w:rsidRPr="0066602A">
              <w:rPr>
                <w:rFonts w:cstheme="minorHAnsi"/>
                <w:sz w:val="20"/>
                <w:szCs w:val="20"/>
                <w:lang w:val="en-US"/>
              </w:rPr>
              <w:br/>
              <w:t xml:space="preserve">&gt; </w:t>
            </w:r>
            <w:proofErr w:type="spellStart"/>
            <w:r w:rsidRPr="0066602A">
              <w:rPr>
                <w:rFonts w:cstheme="minorHAnsi"/>
                <w:sz w:val="20"/>
                <w:szCs w:val="20"/>
                <w:lang w:val="en-US"/>
              </w:rPr>
              <w:t>Scheffe</w:t>
            </w:r>
            <w:proofErr w:type="spellEnd"/>
            <w:r w:rsidRPr="0066602A">
              <w:rPr>
                <w:rFonts w:cstheme="minorHAnsi"/>
                <w:sz w:val="20"/>
                <w:szCs w:val="20"/>
                <w:lang w:val="en-US"/>
              </w:rPr>
              <w:t xml:space="preserve"> post-hoc tests that were conducted to identify differences in mean QoL scores among the four categories of insomnia revealed the following. </w:t>
            </w:r>
            <w:r w:rsidRPr="0066602A">
              <w:rPr>
                <w:rFonts w:cstheme="minorHAnsi"/>
                <w:sz w:val="20"/>
                <w:szCs w:val="20"/>
                <w:lang w:val="en-US"/>
              </w:rPr>
              <w:br/>
              <w:t xml:space="preserve">&gt; For the health and physical functioning subscale, all four insomnia categories differed from each other </w:t>
            </w:r>
            <w:proofErr w:type="gramStart"/>
            <w:r w:rsidRPr="0066602A">
              <w:rPr>
                <w:rFonts w:cstheme="minorHAnsi"/>
                <w:sz w:val="20"/>
                <w:szCs w:val="20"/>
                <w:lang w:val="en-US"/>
              </w:rPr>
              <w:t>with regard to</w:t>
            </w:r>
            <w:proofErr w:type="gramEnd"/>
            <w:r w:rsidRPr="0066602A">
              <w:rPr>
                <w:rFonts w:cstheme="minorHAnsi"/>
                <w:sz w:val="20"/>
                <w:szCs w:val="20"/>
                <w:lang w:val="en-US"/>
              </w:rPr>
              <w:t xml:space="preserve"> the distribution of QoL scores, except for the third (score=66.67) and fourth (score=100) categories, which were not significantly different from each other (P values for all comparisons were &lt;0.005).</w:t>
            </w:r>
          </w:p>
        </w:tc>
      </w:tr>
      <w:tr w:rsidR="009A7DFD" w:rsidRPr="0066602A" w14:paraId="109C9345"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C2A0AC0"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Liu, 2013</w:t>
            </w:r>
          </w:p>
          <w:p w14:paraId="63EB292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4F96F9B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study, 2005-2010</w:t>
            </w:r>
          </w:p>
        </w:tc>
        <w:tc>
          <w:tcPr>
            <w:tcW w:w="498" w:type="pct"/>
          </w:tcPr>
          <w:p w14:paraId="6DF5AF1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166 </w:t>
            </w:r>
          </w:p>
        </w:tc>
        <w:tc>
          <w:tcPr>
            <w:tcW w:w="451" w:type="pct"/>
          </w:tcPr>
          <w:p w14:paraId="054A597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- 51.1</w:t>
            </w:r>
          </w:p>
        </w:tc>
        <w:tc>
          <w:tcPr>
            <w:tcW w:w="740" w:type="pct"/>
          </w:tcPr>
          <w:p w14:paraId="105659D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 Breast Cancer: 166 (100%)</w:t>
            </w:r>
          </w:p>
        </w:tc>
        <w:tc>
          <w:tcPr>
            <w:tcW w:w="1044" w:type="pct"/>
          </w:tcPr>
          <w:p w14:paraId="5BC11E0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Chemotherapy (Adjuvant or neoadjuvant): 166 (100%)</w:t>
            </w:r>
            <w:r w:rsidRPr="0066602A">
              <w:rPr>
                <w:rFonts w:cstheme="minorHAnsi"/>
                <w:sz w:val="20"/>
                <w:szCs w:val="20"/>
                <w:lang w:val="en-US"/>
              </w:rPr>
              <w:br/>
              <w:t>AC: 38 (26.4%)</w:t>
            </w:r>
            <w:r w:rsidRPr="0066602A">
              <w:rPr>
                <w:rFonts w:cstheme="minorHAnsi"/>
                <w:sz w:val="20"/>
                <w:szCs w:val="20"/>
                <w:lang w:val="en-US"/>
              </w:rPr>
              <w:br/>
              <w:t>AC + docetaxel: 34 (23.6%)</w:t>
            </w:r>
            <w:r w:rsidRPr="0066602A">
              <w:rPr>
                <w:rFonts w:cstheme="minorHAnsi"/>
                <w:sz w:val="20"/>
                <w:szCs w:val="20"/>
                <w:lang w:val="en-US"/>
              </w:rPr>
              <w:br/>
              <w:t>AC + paclitaxel: 45 (31.2%)</w:t>
            </w:r>
            <w:r w:rsidRPr="0066602A">
              <w:rPr>
                <w:rFonts w:cstheme="minorHAnsi"/>
                <w:sz w:val="20"/>
                <w:szCs w:val="20"/>
                <w:lang w:val="en-US"/>
              </w:rPr>
              <w:br/>
              <w:t>AC + fluorouracil: 4 (2.8%)</w:t>
            </w:r>
            <w:r w:rsidRPr="0066602A">
              <w:rPr>
                <w:rFonts w:cstheme="minorHAnsi"/>
                <w:sz w:val="20"/>
                <w:szCs w:val="20"/>
                <w:lang w:val="en-US"/>
              </w:rPr>
              <w:br/>
              <w:t>Other: 23 (16.0%)</w:t>
            </w:r>
            <w:r w:rsidRPr="0066602A">
              <w:rPr>
                <w:rFonts w:cstheme="minorHAnsi"/>
                <w:sz w:val="20"/>
                <w:szCs w:val="20"/>
                <w:lang w:val="en-US"/>
              </w:rPr>
              <w:br/>
              <w:t>Data were not available for 22 patients so % are for n/144</w:t>
            </w:r>
          </w:p>
        </w:tc>
        <w:tc>
          <w:tcPr>
            <w:tcW w:w="1809" w:type="pct"/>
          </w:tcPr>
          <w:p w14:paraId="1AAA416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Lower physical component scale (PCS) and Mental Component Scale (MCS) scores at baseline and C4LW were significantly associated with higher total PSQI scores and higher scores on most of the PSQI subscales. </w:t>
            </w:r>
            <w:r w:rsidRPr="0066602A">
              <w:rPr>
                <w:rFonts w:cstheme="minorHAnsi"/>
                <w:sz w:val="20"/>
                <w:szCs w:val="20"/>
                <w:lang w:val="en-US"/>
              </w:rPr>
              <w:br/>
              <w:t>&gt; Lower PCS scores were also associated with longer naptime at both time points (both p’s&lt;0.05), while MCS was not significantly correlated with any of the objective sleep parameters.</w:t>
            </w:r>
            <w:r w:rsidRPr="0066602A">
              <w:rPr>
                <w:rFonts w:cstheme="minorHAnsi"/>
                <w:sz w:val="20"/>
                <w:szCs w:val="20"/>
                <w:lang w:val="en-US"/>
              </w:rPr>
              <w:br/>
              <w:t xml:space="preserve">&gt; Mixed-model results revealed that changes in PCS scores were negatively associated with changes in total PSQI scores and NAPTIME. Changes in MCS scores were also negatively associated with changes in total PSQI scores. </w:t>
            </w:r>
            <w:r w:rsidRPr="0066602A">
              <w:rPr>
                <w:rFonts w:cstheme="minorHAnsi"/>
                <w:sz w:val="20"/>
                <w:szCs w:val="20"/>
                <w:lang w:val="en-US"/>
              </w:rPr>
              <w:br/>
              <w:t xml:space="preserve">&gt; Specifically, every increase of 1 point of total PSQI score was associated with a decrease of 0.5 point of PCS score and a decrease of 1.1 points of MCS score; every increase of 1 hour of nap time was associated with a decrease of 1.3 points of total PCS score. </w:t>
            </w:r>
            <w:r w:rsidRPr="0066602A">
              <w:rPr>
                <w:rFonts w:cstheme="minorHAnsi"/>
                <w:sz w:val="20"/>
                <w:szCs w:val="20"/>
                <w:lang w:val="en-US"/>
              </w:rPr>
              <w:br/>
              <w:t xml:space="preserve">&gt; There were no associations between changes in PCS score and objective night-time sleep (TST and TWT) or between MCS score and objective sleep parameters (TST, TWT and NAPTIME). </w:t>
            </w:r>
            <w:r w:rsidRPr="0066602A">
              <w:rPr>
                <w:rFonts w:cstheme="minorHAnsi"/>
                <w:sz w:val="20"/>
                <w:szCs w:val="20"/>
                <w:lang w:val="en-US"/>
              </w:rPr>
              <w:br/>
              <w:t xml:space="preserve">&gt; When only those with less than 7 hours TST at baseline </w:t>
            </w:r>
            <w:r w:rsidRPr="0066602A">
              <w:rPr>
                <w:rFonts w:cstheme="minorHAnsi"/>
                <w:sz w:val="20"/>
                <w:szCs w:val="20"/>
                <w:lang w:val="en-US"/>
              </w:rPr>
              <w:lastRenderedPageBreak/>
              <w:t>(n=90) were examined, change in PCS was negatively associated with change in TWT (t=2.2, p=0.03), indicating that women reported lower PCS scores if they slept less than 7 hours before chemotherapy and had more TWT at night.</w:t>
            </w:r>
            <w:r w:rsidRPr="0066602A">
              <w:rPr>
                <w:rFonts w:cstheme="minorHAnsi"/>
                <w:sz w:val="20"/>
                <w:szCs w:val="20"/>
                <w:lang w:val="en-US"/>
              </w:rPr>
              <w:br/>
            </w:r>
            <w:r w:rsidRPr="0066602A">
              <w:rPr>
                <w:rFonts w:cstheme="minorHAnsi"/>
                <w:b/>
                <w:bCs w:val="0"/>
                <w:sz w:val="20"/>
                <w:szCs w:val="20"/>
                <w:lang w:val="en-US"/>
              </w:rPr>
              <w:t xml:space="preserve">Correlation coefficients between </w:t>
            </w:r>
            <w:proofErr w:type="spellStart"/>
            <w:r w:rsidRPr="0066602A">
              <w:rPr>
                <w:rFonts w:cstheme="minorHAnsi"/>
                <w:b/>
                <w:bCs w:val="0"/>
                <w:sz w:val="20"/>
                <w:szCs w:val="20"/>
                <w:lang w:val="en-US"/>
              </w:rPr>
              <w:t>HRQoL</w:t>
            </w:r>
            <w:proofErr w:type="spellEnd"/>
            <w:r w:rsidRPr="0066602A">
              <w:rPr>
                <w:rFonts w:cstheme="minorHAnsi"/>
                <w:b/>
                <w:bCs w:val="0"/>
                <w:sz w:val="20"/>
                <w:szCs w:val="20"/>
                <w:lang w:val="en-US"/>
              </w:rPr>
              <w:t xml:space="preserve"> and subjective and objective sleep measures:</w:t>
            </w:r>
            <w:r w:rsidRPr="0066602A">
              <w:rPr>
                <w:rFonts w:cstheme="minorHAnsi"/>
                <w:sz w:val="20"/>
                <w:szCs w:val="20"/>
                <w:lang w:val="en-US"/>
              </w:rPr>
              <w:br/>
              <w:t>PCS: −0.263 **</w:t>
            </w:r>
            <w:r w:rsidRPr="0066602A">
              <w:rPr>
                <w:rFonts w:cstheme="minorHAnsi"/>
                <w:sz w:val="20"/>
                <w:szCs w:val="20"/>
                <w:lang w:val="en-US"/>
              </w:rPr>
              <w:br/>
              <w:t>MCS: −0.400 ***</w:t>
            </w:r>
            <w:r w:rsidRPr="0066602A">
              <w:rPr>
                <w:rFonts w:cstheme="minorHAnsi"/>
                <w:sz w:val="20"/>
                <w:szCs w:val="20"/>
                <w:lang w:val="en-US"/>
              </w:rPr>
              <w:br/>
              <w:t xml:space="preserve">PCS= Physical Component Scale of SF-36, higher score indicates better HR-QoL; MCS of SF-36, higher score indicates better </w:t>
            </w:r>
            <w:proofErr w:type="spellStart"/>
            <w:r w:rsidRPr="0066602A">
              <w:rPr>
                <w:rFonts w:cstheme="minorHAnsi"/>
                <w:sz w:val="20"/>
                <w:szCs w:val="20"/>
                <w:lang w:val="en-US"/>
              </w:rPr>
              <w:t>HRQoL</w:t>
            </w:r>
            <w:proofErr w:type="spellEnd"/>
            <w:r w:rsidRPr="0066602A">
              <w:rPr>
                <w:rFonts w:cstheme="minorHAnsi"/>
                <w:sz w:val="20"/>
                <w:szCs w:val="20"/>
                <w:lang w:val="en-US"/>
              </w:rPr>
              <w:t>.</w:t>
            </w:r>
          </w:p>
        </w:tc>
      </w:tr>
      <w:tr w:rsidR="009A7DFD" w:rsidRPr="0066602A" w14:paraId="6D530C67"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61CA7909"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Liu, 2009</w:t>
            </w:r>
          </w:p>
          <w:p w14:paraId="2F92263D"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14D1AF14"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Study, NR</w:t>
            </w:r>
          </w:p>
        </w:tc>
        <w:tc>
          <w:tcPr>
            <w:tcW w:w="498" w:type="pct"/>
          </w:tcPr>
          <w:p w14:paraId="4B365F9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76</w:t>
            </w:r>
          </w:p>
        </w:tc>
        <w:tc>
          <w:tcPr>
            <w:tcW w:w="451" w:type="pct"/>
          </w:tcPr>
          <w:p w14:paraId="7FFE0F1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- 51.1</w:t>
            </w:r>
          </w:p>
        </w:tc>
        <w:tc>
          <w:tcPr>
            <w:tcW w:w="740" w:type="pct"/>
          </w:tcPr>
          <w:p w14:paraId="5095495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76 (100%)</w:t>
            </w:r>
          </w:p>
        </w:tc>
        <w:tc>
          <w:tcPr>
            <w:tcW w:w="1044" w:type="pct"/>
          </w:tcPr>
          <w:p w14:paraId="0A2B1E6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 (Adjuvant or neoadjuvant): 76 (100%)</w:t>
            </w:r>
            <w:r w:rsidRPr="0066602A">
              <w:rPr>
                <w:rFonts w:cstheme="minorHAnsi"/>
                <w:sz w:val="20"/>
                <w:szCs w:val="20"/>
                <w:lang w:val="en-US"/>
              </w:rPr>
              <w:br/>
              <w:t>Regimens broken down;</w:t>
            </w:r>
            <w:r w:rsidRPr="0066602A">
              <w:rPr>
                <w:rFonts w:cstheme="minorHAnsi"/>
                <w:sz w:val="20"/>
                <w:szCs w:val="20"/>
                <w:lang w:val="en-US"/>
              </w:rPr>
              <w:br/>
            </w:r>
            <w:proofErr w:type="spellStart"/>
            <w:r w:rsidRPr="0066602A">
              <w:rPr>
                <w:rFonts w:cstheme="minorHAnsi"/>
                <w:sz w:val="20"/>
                <w:szCs w:val="20"/>
                <w:lang w:val="en-US"/>
              </w:rPr>
              <w:t>AC+fluorouracil</w:t>
            </w:r>
            <w:proofErr w:type="spellEnd"/>
            <w:r w:rsidRPr="0066602A">
              <w:rPr>
                <w:rFonts w:cstheme="minorHAnsi"/>
                <w:sz w:val="20"/>
                <w:szCs w:val="20"/>
                <w:lang w:val="en-US"/>
              </w:rPr>
              <w:t>/docetaxel/paclitaxel: 72 (94.7%)</w:t>
            </w:r>
            <w:r w:rsidRPr="0066602A">
              <w:rPr>
                <w:rFonts w:cstheme="minorHAnsi"/>
                <w:sz w:val="20"/>
                <w:szCs w:val="20"/>
                <w:lang w:val="en-US"/>
              </w:rPr>
              <w:br/>
              <w:t>CEF: 4 (5.3%)</w:t>
            </w:r>
            <w:r w:rsidRPr="0066602A">
              <w:rPr>
                <w:rFonts w:cstheme="minorHAnsi"/>
                <w:sz w:val="20"/>
                <w:szCs w:val="20"/>
                <w:lang w:val="en-US"/>
              </w:rPr>
              <w:br/>
              <w:t xml:space="preserve">(AC, </w:t>
            </w:r>
            <w:proofErr w:type="gramStart"/>
            <w:r w:rsidRPr="0066602A">
              <w:rPr>
                <w:rFonts w:cstheme="minorHAnsi"/>
                <w:sz w:val="20"/>
                <w:szCs w:val="20"/>
                <w:lang w:val="en-US"/>
              </w:rPr>
              <w:t>doxorubicin</w:t>
            </w:r>
            <w:proofErr w:type="gramEnd"/>
            <w:r w:rsidRPr="0066602A">
              <w:rPr>
                <w:rFonts w:cstheme="minorHAnsi"/>
                <w:sz w:val="20"/>
                <w:szCs w:val="20"/>
                <w:lang w:val="en-US"/>
              </w:rPr>
              <w:t xml:space="preserve"> and cyclophosphamide; CEF, cyclophosphamide)</w:t>
            </w:r>
          </w:p>
        </w:tc>
        <w:tc>
          <w:tcPr>
            <w:tcW w:w="1809" w:type="pct"/>
          </w:tcPr>
          <w:p w14:paraId="333AAED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50 (66%) of the 76 women reported poor sleep quality (PSQI score &gt;5), 48 (63%) reported fatigue (MFSI-SF score &gt;0.85) and 19 (25%) reported depressive symptoms (CES-D score &gt;16). </w:t>
            </w:r>
            <w:r w:rsidRPr="0066602A">
              <w:rPr>
                <w:rFonts w:cstheme="minorHAnsi"/>
                <w:sz w:val="20"/>
                <w:szCs w:val="20"/>
                <w:lang w:val="en-US"/>
              </w:rPr>
              <w:br/>
              <w:t xml:space="preserve">&gt; These symptoms were significantly correlated with each other. </w:t>
            </w:r>
            <w:r w:rsidRPr="0066602A">
              <w:rPr>
                <w:rFonts w:cstheme="minorHAnsi"/>
                <w:sz w:val="20"/>
                <w:szCs w:val="20"/>
                <w:lang w:val="en-US"/>
              </w:rPr>
              <w:br/>
              <w:t xml:space="preserve">&gt; Mixed-effect models revealed an overall group effect (p&lt;0.0001) and an overall time effect (p&lt;0.0001) but no significant group X time interaction (p&lt;0.061). </w:t>
            </w:r>
            <w:r w:rsidRPr="0066602A">
              <w:rPr>
                <w:rFonts w:cstheme="minorHAnsi"/>
                <w:sz w:val="20"/>
                <w:szCs w:val="20"/>
                <w:lang w:val="en-US"/>
              </w:rPr>
              <w:br/>
              <w:t xml:space="preserve">&gt; The significant group effect suggests that those women with a higher index had more depressive symptoms than those with a lower index. </w:t>
            </w:r>
            <w:r w:rsidRPr="0066602A">
              <w:rPr>
                <w:rFonts w:cstheme="minorHAnsi"/>
                <w:sz w:val="20"/>
                <w:szCs w:val="20"/>
                <w:lang w:val="en-US"/>
              </w:rPr>
              <w:br/>
              <w:t>&gt; At baseline, the CES-D scores for SCI 1–2 and SCI 3 groups were significantly higher, suggesting more depressive symptoms than CES-D scores for the SCI 0 group (both p&lt;0.05).</w:t>
            </w:r>
            <w:r w:rsidRPr="0066602A">
              <w:rPr>
                <w:rFonts w:cstheme="minorHAnsi"/>
                <w:sz w:val="20"/>
                <w:szCs w:val="20"/>
                <w:lang w:val="en-US"/>
              </w:rPr>
              <w:br/>
              <w:t>&gt; This pattern was consistent throughout treatment with the SCI 0 group continuing to have the lowest total CES-D scores and the SCI 3 group having the highest.</w:t>
            </w:r>
            <w:r w:rsidRPr="0066602A">
              <w:rPr>
                <w:rFonts w:cstheme="minorHAnsi"/>
                <w:sz w:val="20"/>
                <w:szCs w:val="20"/>
                <w:lang w:val="en-US"/>
              </w:rPr>
              <w:br/>
              <w:t xml:space="preserve">&gt; The significant time effect suggests that there were changes in depressive symptoms over time. </w:t>
            </w:r>
            <w:r w:rsidRPr="0066602A">
              <w:rPr>
                <w:rFonts w:cstheme="minorHAnsi"/>
                <w:sz w:val="20"/>
                <w:szCs w:val="20"/>
                <w:lang w:val="en-US"/>
              </w:rPr>
              <w:br/>
              <w:t xml:space="preserve">&gt; During treatment, CES-D scores for the SCI 0 group </w:t>
            </w:r>
            <w:r w:rsidRPr="0066602A">
              <w:rPr>
                <w:rFonts w:cstheme="minorHAnsi"/>
                <w:sz w:val="20"/>
                <w:szCs w:val="20"/>
                <w:lang w:val="en-US"/>
              </w:rPr>
              <w:lastRenderedPageBreak/>
              <w:t>significantly increased from baseline to C4W1 (p=0.005) and C4W2 (p=0.014).</w:t>
            </w:r>
            <w:r w:rsidRPr="0066602A">
              <w:rPr>
                <w:rFonts w:cstheme="minorHAnsi"/>
                <w:sz w:val="20"/>
                <w:szCs w:val="20"/>
                <w:lang w:val="en-US"/>
              </w:rPr>
              <w:br/>
              <w:t>&gt; The fact that there was no group x time interaction suggests that the baseline group differences were maintained during treatment with the SCI 3 group continuing to report more depressive symptoms than the other two groups and the SCI 1–2 group reporting more depressive symptoms than the SCI 0 group.</w:t>
            </w:r>
          </w:p>
        </w:tc>
      </w:tr>
      <w:tr w:rsidR="009A7DFD" w:rsidRPr="0066602A" w14:paraId="00CCFC0A"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60FCD7F"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Lopez, 2016</w:t>
            </w:r>
          </w:p>
          <w:p w14:paraId="474B4133"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Spain</w:t>
            </w:r>
          </w:p>
          <w:p w14:paraId="2D1126F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Descriptive cross-sectional study, October 2010- March 2012</w:t>
            </w:r>
          </w:p>
        </w:tc>
        <w:tc>
          <w:tcPr>
            <w:tcW w:w="498" w:type="pct"/>
          </w:tcPr>
          <w:p w14:paraId="061142C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105</w:t>
            </w:r>
          </w:p>
        </w:tc>
        <w:tc>
          <w:tcPr>
            <w:tcW w:w="451" w:type="pct"/>
          </w:tcPr>
          <w:p w14:paraId="5F3B8CB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- 30%</w:t>
            </w:r>
            <w:r w:rsidRPr="0066602A">
              <w:rPr>
                <w:rFonts w:cstheme="minorHAnsi"/>
                <w:color w:val="4E5053"/>
                <w:sz w:val="20"/>
                <w:szCs w:val="20"/>
                <w:lang w:val="en-US"/>
              </w:rPr>
              <w:br/>
              <w:t>Female - 70%</w:t>
            </w:r>
            <w:r w:rsidRPr="0066602A">
              <w:rPr>
                <w:rFonts w:cstheme="minorHAnsi"/>
                <w:color w:val="4E5053"/>
                <w:sz w:val="20"/>
                <w:szCs w:val="20"/>
                <w:lang w:val="en-US"/>
              </w:rPr>
              <w:br/>
              <w:t>Mean - 62.9</w:t>
            </w:r>
          </w:p>
        </w:tc>
        <w:tc>
          <w:tcPr>
            <w:tcW w:w="740" w:type="pct"/>
          </w:tcPr>
          <w:p w14:paraId="0A92C3D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49.5%</w:t>
            </w:r>
          </w:p>
          <w:p w14:paraId="3B70DEA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Genitourinary: 15.2%</w:t>
            </w:r>
          </w:p>
          <w:p w14:paraId="7419D58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CNS*</w:t>
            </w:r>
          </w:p>
          <w:p w14:paraId="1E216C5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Digestive*</w:t>
            </w:r>
          </w:p>
          <w:p w14:paraId="0347213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Head and neck*</w:t>
            </w:r>
          </w:p>
          <w:p w14:paraId="5AD16D3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Lung*</w:t>
            </w:r>
          </w:p>
          <w:p w14:paraId="2F574F4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Others*</w:t>
            </w:r>
          </w:p>
          <w:p w14:paraId="4388B95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*(n/% not given and not possible to work out)</w:t>
            </w:r>
          </w:p>
        </w:tc>
        <w:tc>
          <w:tcPr>
            <w:tcW w:w="1044" w:type="pct"/>
          </w:tcPr>
          <w:p w14:paraId="6F3B5668" w14:textId="5B3FAEFA"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(Awaiting) </w:t>
            </w:r>
            <w:r w:rsidR="00480763" w:rsidRPr="0066602A">
              <w:rPr>
                <w:rFonts w:cstheme="minorHAnsi"/>
                <w:sz w:val="20"/>
                <w:szCs w:val="20"/>
                <w:lang w:val="en-US"/>
              </w:rPr>
              <w:t xml:space="preserve">Radiation </w:t>
            </w:r>
            <w:r w:rsidRPr="0066602A">
              <w:rPr>
                <w:rFonts w:cstheme="minorHAnsi"/>
                <w:sz w:val="20"/>
                <w:szCs w:val="20"/>
                <w:lang w:val="en-US"/>
              </w:rPr>
              <w:t xml:space="preserve">therapy: 105 (100%) </w:t>
            </w:r>
          </w:p>
        </w:tc>
        <w:tc>
          <w:tcPr>
            <w:tcW w:w="1809" w:type="pct"/>
          </w:tcPr>
          <w:p w14:paraId="526ED42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&gt;Psychological and somatic anxiety as well as cancer severity were found to be significantly associated with insomnia (P&lt;0.03). </w:t>
            </w:r>
            <w:r w:rsidRPr="0066602A">
              <w:rPr>
                <w:rFonts w:cstheme="minorHAnsi"/>
                <w:sz w:val="20"/>
                <w:szCs w:val="20"/>
                <w:lang w:val="en-US"/>
              </w:rPr>
              <w:br/>
              <w:t xml:space="preserve">Insomnia r2: 0.36 </w:t>
            </w:r>
            <w:r w:rsidRPr="0066602A">
              <w:rPr>
                <w:rFonts w:cstheme="minorHAnsi"/>
                <w:sz w:val="20"/>
                <w:szCs w:val="20"/>
                <w:lang w:val="en-US"/>
              </w:rPr>
              <w:br/>
            </w:r>
            <w:r w:rsidRPr="0066602A">
              <w:rPr>
                <w:rFonts w:cstheme="minorHAnsi"/>
                <w:b/>
                <w:bCs w:val="0"/>
                <w:sz w:val="20"/>
                <w:szCs w:val="20"/>
                <w:lang w:val="en-US"/>
              </w:rPr>
              <w:t>Insomnia and mental anxiety:</w:t>
            </w:r>
            <w:r w:rsidRPr="0066602A">
              <w:rPr>
                <w:rFonts w:cstheme="minorHAnsi"/>
                <w:sz w:val="20"/>
                <w:szCs w:val="20"/>
                <w:lang w:val="en-US"/>
              </w:rPr>
              <w:t xml:space="preserve"> 0.32 (p&lt;0.01)</w:t>
            </w:r>
            <w:r w:rsidRPr="0066602A">
              <w:rPr>
                <w:rFonts w:cstheme="minorHAnsi"/>
                <w:sz w:val="20"/>
                <w:szCs w:val="20"/>
                <w:lang w:val="en-US"/>
              </w:rPr>
              <w:br/>
            </w:r>
            <w:r w:rsidRPr="0066602A">
              <w:rPr>
                <w:rFonts w:cstheme="minorHAnsi"/>
                <w:b/>
                <w:bCs w:val="0"/>
                <w:sz w:val="20"/>
                <w:szCs w:val="20"/>
                <w:lang w:val="en-US"/>
              </w:rPr>
              <w:t>Insomnia and somatic anxiety:</w:t>
            </w:r>
            <w:r w:rsidRPr="0066602A">
              <w:rPr>
                <w:rFonts w:cstheme="minorHAnsi"/>
                <w:sz w:val="20"/>
                <w:szCs w:val="20"/>
                <w:lang w:val="en-US"/>
              </w:rPr>
              <w:t xml:space="preserve"> 0.32 (p&lt;0.01)</w:t>
            </w:r>
            <w:r w:rsidRPr="0066602A">
              <w:rPr>
                <w:rFonts w:cstheme="minorHAnsi"/>
                <w:sz w:val="20"/>
                <w:szCs w:val="20"/>
                <w:lang w:val="en-US"/>
              </w:rPr>
              <w:br/>
            </w:r>
            <w:r w:rsidRPr="0066602A">
              <w:rPr>
                <w:rFonts w:cstheme="minorHAnsi"/>
                <w:b/>
                <w:bCs w:val="0"/>
                <w:sz w:val="20"/>
                <w:szCs w:val="20"/>
                <w:lang w:val="en-US"/>
              </w:rPr>
              <w:t>Insomnia and severity of cancer:</w:t>
            </w:r>
            <w:r w:rsidRPr="0066602A">
              <w:rPr>
                <w:rFonts w:cstheme="minorHAnsi"/>
                <w:sz w:val="20"/>
                <w:szCs w:val="20"/>
                <w:lang w:val="en-US"/>
              </w:rPr>
              <w:t xml:space="preserve"> 0.18 (p&lt;0.05)</w:t>
            </w:r>
            <w:r w:rsidRPr="0066602A">
              <w:rPr>
                <w:rFonts w:cstheme="minorHAnsi"/>
                <w:sz w:val="20"/>
                <w:szCs w:val="20"/>
                <w:lang w:val="en-US"/>
              </w:rPr>
              <w:br/>
            </w:r>
          </w:p>
        </w:tc>
      </w:tr>
      <w:tr w:rsidR="009A7DFD" w:rsidRPr="0066602A" w14:paraId="6299C777"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2EDBD62"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Lowery-Allison, 2018</w:t>
            </w:r>
          </w:p>
          <w:p w14:paraId="058749D3"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3227CDD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tc>
        <w:tc>
          <w:tcPr>
            <w:tcW w:w="498" w:type="pct"/>
          </w:tcPr>
          <w:p w14:paraId="3C106EB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200</w:t>
            </w:r>
          </w:p>
        </w:tc>
        <w:tc>
          <w:tcPr>
            <w:tcW w:w="451" w:type="pct"/>
          </w:tcPr>
          <w:p w14:paraId="5D73885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Female - 100% </w:t>
            </w:r>
            <w:r w:rsidRPr="0066602A">
              <w:rPr>
                <w:rFonts w:cstheme="minorHAnsi"/>
                <w:color w:val="4E5053"/>
                <w:sz w:val="20"/>
                <w:szCs w:val="20"/>
                <w:lang w:val="en-US"/>
              </w:rPr>
              <w:br/>
              <w:t>Mean - NR</w:t>
            </w:r>
          </w:p>
        </w:tc>
        <w:tc>
          <w:tcPr>
            <w:tcW w:w="740" w:type="pct"/>
          </w:tcPr>
          <w:p w14:paraId="34425E1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(no evidence of disease at enrolment)</w:t>
            </w:r>
          </w:p>
        </w:tc>
        <w:tc>
          <w:tcPr>
            <w:tcW w:w="1044" w:type="pct"/>
          </w:tcPr>
          <w:p w14:paraId="7120E5E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sz w:val="20"/>
                <w:szCs w:val="20"/>
                <w:lang w:val="en-US"/>
              </w:rPr>
              <w:t>Current therapy</w:t>
            </w:r>
            <w:r w:rsidRPr="0066602A">
              <w:rPr>
                <w:rFonts w:cstheme="minorHAnsi"/>
                <w:sz w:val="20"/>
                <w:szCs w:val="20"/>
                <w:lang w:val="en-US"/>
              </w:rPr>
              <w:br/>
              <w:t>61% on hormonal treatment</w:t>
            </w:r>
            <w:r w:rsidRPr="0066602A">
              <w:rPr>
                <w:rFonts w:cstheme="minorHAnsi"/>
                <w:sz w:val="20"/>
                <w:szCs w:val="20"/>
                <w:lang w:val="en-US"/>
              </w:rPr>
              <w:br/>
            </w:r>
            <w:r w:rsidRPr="0066602A">
              <w:rPr>
                <w:rFonts w:cstheme="minorHAnsi"/>
                <w:b/>
                <w:bCs w:val="0"/>
                <w:sz w:val="20"/>
                <w:szCs w:val="20"/>
                <w:lang w:val="en-US"/>
              </w:rPr>
              <w:t>Previous therapy</w:t>
            </w:r>
            <w:r w:rsidRPr="0066602A">
              <w:rPr>
                <w:rFonts w:cstheme="minorHAnsi"/>
                <w:sz w:val="20"/>
                <w:szCs w:val="20"/>
                <w:lang w:val="en-US"/>
              </w:rPr>
              <w:br/>
              <w:t>Surgery: 175: (87.5%)</w:t>
            </w:r>
            <w:r w:rsidRPr="0066602A">
              <w:rPr>
                <w:rFonts w:cstheme="minorHAnsi"/>
                <w:sz w:val="20"/>
                <w:szCs w:val="20"/>
                <w:lang w:val="en-US"/>
              </w:rPr>
              <w:br/>
              <w:t>Chemotherapy: 194 (97%)</w:t>
            </w:r>
            <w:r w:rsidRPr="0066602A">
              <w:rPr>
                <w:rFonts w:cstheme="minorHAnsi"/>
                <w:sz w:val="20"/>
                <w:szCs w:val="20"/>
                <w:lang w:val="en-US"/>
              </w:rPr>
              <w:br/>
              <w:t>Radiation: 138 (69%)</w:t>
            </w:r>
            <w:r w:rsidRPr="0066602A">
              <w:rPr>
                <w:rFonts w:cstheme="minorHAnsi"/>
                <w:sz w:val="20"/>
                <w:szCs w:val="20"/>
                <w:lang w:val="en-US"/>
              </w:rPr>
              <w:br/>
              <w:t>Hormonal: 120 (60%)</w:t>
            </w:r>
          </w:p>
        </w:tc>
        <w:tc>
          <w:tcPr>
            <w:tcW w:w="1809" w:type="pct"/>
          </w:tcPr>
          <w:p w14:paraId="161FF22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Patients were breast cancer survivors receiving follow-up care. </w:t>
            </w:r>
            <w:r w:rsidRPr="0066602A">
              <w:rPr>
                <w:rFonts w:cstheme="minorHAnsi"/>
                <w:sz w:val="20"/>
                <w:szCs w:val="20"/>
                <w:lang w:val="en-US"/>
              </w:rPr>
              <w:br/>
              <w:t xml:space="preserve">&gt; Compared to women with good-quality sleep, women with poor sleep had significantly more symptoms of insomnia, a poorer QoL, more concerns about cancer recurrence, and greater pain severity, but they did not differ significantly </w:t>
            </w:r>
            <w:proofErr w:type="gramStart"/>
            <w:r w:rsidRPr="0066602A">
              <w:rPr>
                <w:rFonts w:cstheme="minorHAnsi"/>
                <w:sz w:val="20"/>
                <w:szCs w:val="20"/>
                <w:lang w:val="en-US"/>
              </w:rPr>
              <w:t>with regard to</w:t>
            </w:r>
            <w:proofErr w:type="gramEnd"/>
            <w:r w:rsidRPr="0066602A">
              <w:rPr>
                <w:rFonts w:cstheme="minorHAnsi"/>
                <w:sz w:val="20"/>
                <w:szCs w:val="20"/>
                <w:lang w:val="en-US"/>
              </w:rPr>
              <w:t xml:space="preserve"> daytime sleepiness ratings or depressive symptoms. </w:t>
            </w:r>
            <w:r w:rsidRPr="0066602A">
              <w:rPr>
                <w:rFonts w:cstheme="minorHAnsi"/>
                <w:sz w:val="20"/>
                <w:szCs w:val="20"/>
                <w:lang w:val="en-US"/>
              </w:rPr>
              <w:br/>
              <w:t xml:space="preserve">&gt; Women with poor-quality sleep reported greater difficulty coping (t=3.9, p &lt;0.001, d=0.61), more concerns about their appearance (t=3.1, p &lt;0.01, d=0.23), and were more socially isolated (t=3.5, p&lt;0.001, d=0.52). </w:t>
            </w:r>
            <w:r w:rsidRPr="0066602A">
              <w:rPr>
                <w:rFonts w:cstheme="minorHAnsi"/>
                <w:sz w:val="20"/>
                <w:szCs w:val="20"/>
                <w:lang w:val="en-US"/>
              </w:rPr>
              <w:br/>
              <w:t xml:space="preserve">&gt; They also reported greater concerns about their overall health (t=–1.98, p=0.05, d=0.29) and recurrence (t=3.64, p&lt;0.001, d=0.53). </w:t>
            </w:r>
            <w:r w:rsidRPr="0066602A">
              <w:rPr>
                <w:rFonts w:cstheme="minorHAnsi"/>
                <w:sz w:val="20"/>
                <w:szCs w:val="20"/>
                <w:lang w:val="en-US"/>
              </w:rPr>
              <w:br/>
              <w:t xml:space="preserve">&gt; There were no differences with respect to purpose in life </w:t>
            </w:r>
            <w:r w:rsidRPr="0066602A">
              <w:rPr>
                <w:rFonts w:cstheme="minorHAnsi"/>
                <w:sz w:val="20"/>
                <w:szCs w:val="20"/>
                <w:lang w:val="en-US"/>
              </w:rPr>
              <w:lastRenderedPageBreak/>
              <w:t>(t=0.387, ns, d=0.06) or concerns about death (t=0.37, ns, d=0.05).</w:t>
            </w:r>
          </w:p>
        </w:tc>
      </w:tr>
      <w:tr w:rsidR="009A7DFD" w:rsidRPr="0066602A" w14:paraId="73F2CCC2"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085FF64"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lastRenderedPageBreak/>
              <w:t>Mainio</w:t>
            </w:r>
            <w:proofErr w:type="spellEnd"/>
            <w:r w:rsidRPr="0066602A">
              <w:rPr>
                <w:rFonts w:cstheme="minorHAnsi"/>
                <w:sz w:val="20"/>
                <w:szCs w:val="20"/>
                <w:lang w:val="en-US"/>
              </w:rPr>
              <w:t>, 2013</w:t>
            </w:r>
          </w:p>
          <w:p w14:paraId="6FA36D0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Finland</w:t>
            </w:r>
          </w:p>
          <w:p w14:paraId="6B9A8D3E"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study, 1990-2003</w:t>
            </w:r>
          </w:p>
        </w:tc>
        <w:tc>
          <w:tcPr>
            <w:tcW w:w="498" w:type="pct"/>
          </w:tcPr>
          <w:p w14:paraId="23296C5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70</w:t>
            </w:r>
          </w:p>
        </w:tc>
        <w:tc>
          <w:tcPr>
            <w:tcW w:w="451" w:type="pct"/>
          </w:tcPr>
          <w:p w14:paraId="072E70A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- 43%</w:t>
            </w:r>
            <w:r w:rsidRPr="0066602A">
              <w:rPr>
                <w:rFonts w:cstheme="minorHAnsi"/>
                <w:color w:val="4E5053"/>
                <w:sz w:val="20"/>
                <w:szCs w:val="20"/>
                <w:lang w:val="en-US"/>
              </w:rPr>
              <w:br/>
              <w:t>Female - 57%</w:t>
            </w:r>
            <w:r w:rsidRPr="0066602A">
              <w:rPr>
                <w:rFonts w:cstheme="minorHAnsi"/>
                <w:color w:val="4E5053"/>
                <w:sz w:val="20"/>
                <w:szCs w:val="20"/>
                <w:lang w:val="en-US"/>
              </w:rPr>
              <w:br/>
              <w:t>Mean - NR</w:t>
            </w:r>
          </w:p>
        </w:tc>
        <w:tc>
          <w:tcPr>
            <w:tcW w:w="740" w:type="pct"/>
          </w:tcPr>
          <w:p w14:paraId="1BA51DE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Brain: 70 (100%)</w:t>
            </w:r>
          </w:p>
        </w:tc>
        <w:tc>
          <w:tcPr>
            <w:tcW w:w="1044" w:type="pct"/>
          </w:tcPr>
          <w:p w14:paraId="2878C8D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Surgical operation of tumor: 70 (100%)</w:t>
            </w:r>
          </w:p>
        </w:tc>
        <w:tc>
          <w:tcPr>
            <w:tcW w:w="1809" w:type="pct"/>
          </w:tcPr>
          <w:p w14:paraId="3CBE84A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For patients with tumor in right hemisphere, there was a statistically significant correlation between NHP sleep scores and BDI depression scores before the operation.</w:t>
            </w:r>
          </w:p>
        </w:tc>
      </w:tr>
      <w:tr w:rsidR="009A7DFD" w:rsidRPr="0066602A" w14:paraId="15F4EFED"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4A61820"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Nishiura, 2013</w:t>
            </w:r>
          </w:p>
          <w:p w14:paraId="32F861F6"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Japan</w:t>
            </w:r>
          </w:p>
          <w:p w14:paraId="7DD2E824"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Questionnaire, NR</w:t>
            </w:r>
          </w:p>
        </w:tc>
        <w:tc>
          <w:tcPr>
            <w:tcW w:w="498" w:type="pct"/>
          </w:tcPr>
          <w:p w14:paraId="1F209BC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50</w:t>
            </w:r>
          </w:p>
        </w:tc>
        <w:tc>
          <w:tcPr>
            <w:tcW w:w="451" w:type="pct"/>
          </w:tcPr>
          <w:p w14:paraId="4103D32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ascii="Calibri" w:hAnsi="Calibri" w:cs="Calibri"/>
                <w:color w:val="4E5053"/>
                <w:sz w:val="20"/>
                <w:szCs w:val="20"/>
                <w:lang w:val="en-US"/>
              </w:rPr>
              <w:t>Male - 70%</w:t>
            </w:r>
            <w:r w:rsidRPr="0066602A">
              <w:rPr>
                <w:rFonts w:ascii="Calibri" w:hAnsi="Calibri" w:cs="Calibri"/>
                <w:color w:val="4E5053"/>
                <w:sz w:val="20"/>
                <w:szCs w:val="20"/>
                <w:lang w:val="en-US"/>
              </w:rPr>
              <w:br/>
              <w:t>Female - 30%</w:t>
            </w:r>
            <w:r w:rsidRPr="0066602A">
              <w:rPr>
                <w:rFonts w:ascii="Calibri" w:hAnsi="Calibri" w:cs="Calibri"/>
                <w:color w:val="4E5053"/>
                <w:sz w:val="20"/>
                <w:szCs w:val="20"/>
                <w:lang w:val="en-US"/>
              </w:rPr>
              <w:br/>
              <w:t>Mean - 71.8</w:t>
            </w:r>
          </w:p>
        </w:tc>
        <w:tc>
          <w:tcPr>
            <w:tcW w:w="740" w:type="pct"/>
          </w:tcPr>
          <w:p w14:paraId="4AC8D7D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Lung cancer: 50 (100%)</w:t>
            </w:r>
          </w:p>
        </w:tc>
        <w:tc>
          <w:tcPr>
            <w:tcW w:w="1044" w:type="pct"/>
          </w:tcPr>
          <w:p w14:paraId="160DF87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Receiving chemotherapy</w:t>
            </w:r>
            <w:r w:rsidRPr="0066602A">
              <w:rPr>
                <w:rFonts w:cstheme="minorHAnsi"/>
                <w:sz w:val="20"/>
                <w:szCs w:val="20"/>
                <w:lang w:val="en-US"/>
              </w:rPr>
              <w:br/>
              <w:t>Yes (inpatient): 21 (42%)</w:t>
            </w:r>
            <w:r w:rsidRPr="0066602A">
              <w:rPr>
                <w:rFonts w:cstheme="minorHAnsi"/>
                <w:sz w:val="20"/>
                <w:szCs w:val="20"/>
                <w:lang w:val="en-US"/>
              </w:rPr>
              <w:br/>
              <w:t>Yes (outpatient): 10 (20%)</w:t>
            </w:r>
          </w:p>
        </w:tc>
        <w:tc>
          <w:tcPr>
            <w:tcW w:w="1809" w:type="pct"/>
          </w:tcPr>
          <w:p w14:paraId="3101325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&gt; Patients with sleep disturbance had significantly higher scores for HADS, and pain, and a significantly lower score for QoL than those without sleep disturbance. Both the physical and psychological states of patients with sleep disturbance were worse than that of those without.</w:t>
            </w:r>
          </w:p>
        </w:tc>
      </w:tr>
      <w:tr w:rsidR="009A7DFD" w:rsidRPr="0066602A" w14:paraId="69A1B518"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0A5130A"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Nock, 2020</w:t>
            </w:r>
          </w:p>
          <w:p w14:paraId="07D84C7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0FFA1F04"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NR</w:t>
            </w:r>
          </w:p>
        </w:tc>
        <w:tc>
          <w:tcPr>
            <w:tcW w:w="498" w:type="pct"/>
          </w:tcPr>
          <w:p w14:paraId="09848F4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100</w:t>
            </w:r>
          </w:p>
        </w:tc>
        <w:tc>
          <w:tcPr>
            <w:tcW w:w="451" w:type="pct"/>
          </w:tcPr>
          <w:p w14:paraId="3D78904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- 59.9</w:t>
            </w:r>
          </w:p>
        </w:tc>
        <w:tc>
          <w:tcPr>
            <w:tcW w:w="740" w:type="pct"/>
          </w:tcPr>
          <w:p w14:paraId="55448BB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Endometrial cancer: 100 (100%)</w:t>
            </w:r>
          </w:p>
        </w:tc>
        <w:tc>
          <w:tcPr>
            <w:tcW w:w="1044" w:type="pct"/>
          </w:tcPr>
          <w:p w14:paraId="41B1296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Previous therapy</w:t>
            </w:r>
            <w:r w:rsidRPr="0066602A">
              <w:rPr>
                <w:rFonts w:cstheme="minorHAnsi"/>
                <w:sz w:val="20"/>
                <w:szCs w:val="20"/>
                <w:lang w:val="en-US"/>
              </w:rPr>
              <w:br/>
              <w:t>Surgery only: 84 (86%)</w:t>
            </w:r>
            <w:r w:rsidRPr="0066602A">
              <w:rPr>
                <w:rFonts w:cstheme="minorHAnsi"/>
                <w:sz w:val="20"/>
                <w:szCs w:val="20"/>
                <w:lang w:val="en-US"/>
              </w:rPr>
              <w:br/>
              <w:t>Radiation (plus surgery): 14 (14%)</w:t>
            </w:r>
          </w:p>
        </w:tc>
        <w:tc>
          <w:tcPr>
            <w:tcW w:w="1809" w:type="pct"/>
          </w:tcPr>
          <w:p w14:paraId="448EFFA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Survivors reporting “poor” compared with “good” sleep quality had significantly lower overall QoL (P: 125.1 ± 19.1 vs. G: 142.3 ± 19.7) and well-being component score.</w:t>
            </w:r>
            <w:r w:rsidRPr="0066602A">
              <w:rPr>
                <w:rFonts w:cstheme="minorHAnsi"/>
                <w:sz w:val="20"/>
                <w:szCs w:val="20"/>
                <w:lang w:val="en-US"/>
              </w:rPr>
              <w:br/>
              <w:t>&gt; Mean depression score: 9.47 (SD=8.17)</w:t>
            </w:r>
          </w:p>
          <w:p w14:paraId="3CF3A22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71.1% of survivors reported “minimal” depression levels (score, 0–13) and 28.9% reported “mild” or greater levels (score, ≥ 14), of which 15.4% reported having a “moderate” (score, 20–28) depression. </w:t>
            </w:r>
          </w:p>
        </w:tc>
      </w:tr>
      <w:tr w:rsidR="009A7DFD" w:rsidRPr="0066602A" w14:paraId="65B15AF7"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BAD599E"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Reynolds Cowie, 2021</w:t>
            </w:r>
          </w:p>
          <w:p w14:paraId="445404E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664DBBC2"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Qualitative analysis, NR</w:t>
            </w:r>
          </w:p>
        </w:tc>
        <w:tc>
          <w:tcPr>
            <w:tcW w:w="498" w:type="pct"/>
          </w:tcPr>
          <w:p w14:paraId="4F28DC2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27</w:t>
            </w:r>
          </w:p>
        </w:tc>
        <w:tc>
          <w:tcPr>
            <w:tcW w:w="451" w:type="pct"/>
          </w:tcPr>
          <w:p w14:paraId="6D9222A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- 62</w:t>
            </w:r>
          </w:p>
        </w:tc>
        <w:tc>
          <w:tcPr>
            <w:tcW w:w="740" w:type="pct"/>
          </w:tcPr>
          <w:p w14:paraId="1A49194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12 (44.4%)</w:t>
            </w:r>
            <w:r w:rsidRPr="0066602A">
              <w:rPr>
                <w:rFonts w:cstheme="minorHAnsi"/>
                <w:sz w:val="20"/>
                <w:szCs w:val="20"/>
                <w:lang w:val="en-US"/>
              </w:rPr>
              <w:br/>
              <w:t>Prostate: 7 (25.95%)</w:t>
            </w:r>
            <w:r w:rsidRPr="0066602A">
              <w:rPr>
                <w:rFonts w:cstheme="minorHAnsi"/>
                <w:sz w:val="20"/>
                <w:szCs w:val="20"/>
                <w:lang w:val="en-US"/>
              </w:rPr>
              <w:br/>
              <w:t>Colorectal: 7 (25.95%)</w:t>
            </w:r>
            <w:r w:rsidRPr="0066602A">
              <w:rPr>
                <w:rFonts w:cstheme="minorHAnsi"/>
                <w:sz w:val="20"/>
                <w:szCs w:val="20"/>
                <w:lang w:val="en-US"/>
              </w:rPr>
              <w:br/>
              <w:t>Gynecological: 1 (3.7%)</w:t>
            </w:r>
          </w:p>
        </w:tc>
        <w:tc>
          <w:tcPr>
            <w:tcW w:w="1044" w:type="pct"/>
          </w:tcPr>
          <w:p w14:paraId="015B3E6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NR</w:t>
            </w:r>
          </w:p>
        </w:tc>
        <w:tc>
          <w:tcPr>
            <w:tcW w:w="1809" w:type="pct"/>
          </w:tcPr>
          <w:p w14:paraId="247633E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b/>
                <w:bCs w:val="0"/>
                <w:sz w:val="20"/>
                <w:szCs w:val="20"/>
                <w:lang w:val="en-US"/>
              </w:rPr>
              <w:t>Below are descriptive results for insomnia in cancer survivors relating to themes experienced.</w:t>
            </w:r>
            <w:r w:rsidRPr="0066602A">
              <w:rPr>
                <w:rFonts w:cstheme="minorHAnsi"/>
                <w:sz w:val="20"/>
                <w:szCs w:val="20"/>
                <w:lang w:val="en-US"/>
              </w:rPr>
              <w:t xml:space="preserve"> </w:t>
            </w:r>
            <w:r w:rsidRPr="0066602A">
              <w:rPr>
                <w:rFonts w:cstheme="minorHAnsi"/>
                <w:sz w:val="20"/>
                <w:szCs w:val="20"/>
                <w:lang w:val="en-US"/>
              </w:rPr>
              <w:br/>
              <w:t xml:space="preserve">I don’t feel like myself- A significant change in personality and temperament, feelings of guilt, and persistently low motivation were frequently reported following the onset of sleep disturbance. Participants described ‘massive guilt about feeling tired all of the time’, and in general ‘constantly feeling guilty’ about the impact poor sleep was having on their daily functioning and ability to relate to others. Indeed, these changes impacted on close personal relationships with people becoming ‘irritable’, ‘snappy’, ‘grumpier’, and ‘intolerant’. These difficulties were compounded by a perception that significant others did not understand or empathize with such personality changes </w:t>
            </w:r>
            <w:r w:rsidRPr="0066602A">
              <w:rPr>
                <w:rFonts w:cstheme="minorHAnsi"/>
                <w:sz w:val="20"/>
                <w:szCs w:val="20"/>
                <w:lang w:val="en-US"/>
              </w:rPr>
              <w:lastRenderedPageBreak/>
              <w:t>and expected them to be the person they were prior to their cancer diagnosis. Many participants reported that their ‘QoL had gone out the window’, and they were completely lacking in motivation. ‘So many things I remember not doing, things that I wanted to do and things you put off until tomorrow, I can’t be bothered to do, I’m too tired’. The pervasive impact of insomnia on all domains of functioning and sense of self was evident throughout cancer survivors’ descriptions of their experiences and is well summarized by one survivor who said ‘you are not interested in anything really...it makes you a bit depressed’</w:t>
            </w:r>
            <w:r w:rsidRPr="0066602A">
              <w:rPr>
                <w:rFonts w:cstheme="minorHAnsi"/>
                <w:sz w:val="20"/>
                <w:szCs w:val="20"/>
                <w:lang w:val="en-US"/>
              </w:rPr>
              <w:br/>
              <w:t xml:space="preserve">Planning life around something uncontrollable- As highlighted in the previous theme, insomnia had a profound detrimental impact on the ability to interact with others. This also extended into the domain of social functioning, as poor sleep resulted in participants becoming increasingly withdrawn, avoidant, and isolated. Some described becoming a ‘recluse’, with one stating that ‘I don’t mix with people when I’ve had a bad night’s sleep’. There was a tendency to no longer make plans or commit to anything due to the unpredictable nature of sleep and concern that they might be ‘bad tempered’ with others. One participant described it as being in ‘fear of having to do something’. If plans were made for the following day, people would often unsuccessfully attempt to get sufficient sleep by going to bed early. Indeed, one participant described deciding whether they wanted to do something on ‘a tired day’ or not. Additionally, three participants decided to give up work due to the impact of insomnia on their daily functioning, with one describing it as being forced into retiring ‘basically because I was so tired’. This theme effectively captures the feelings of helplessness and perceived loss of control that can result from an inability to </w:t>
            </w:r>
            <w:r w:rsidRPr="0066602A">
              <w:rPr>
                <w:rFonts w:cstheme="minorHAnsi"/>
                <w:sz w:val="20"/>
                <w:szCs w:val="20"/>
                <w:lang w:val="en-US"/>
              </w:rPr>
              <w:lastRenderedPageBreak/>
              <w:t>sleep well, with so many aspects of cancer survivors’ social life being dictated by the quality of their sleep.</w:t>
            </w:r>
          </w:p>
        </w:tc>
      </w:tr>
      <w:tr w:rsidR="009A7DFD" w:rsidRPr="0066602A" w14:paraId="3E6CD5A9"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FFB905B"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Maguire, 2018</w:t>
            </w:r>
          </w:p>
          <w:p w14:paraId="50DDD45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Ireland</w:t>
            </w:r>
          </w:p>
          <w:p w14:paraId="6926F86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Design, April-September 2012</w:t>
            </w:r>
          </w:p>
        </w:tc>
        <w:tc>
          <w:tcPr>
            <w:tcW w:w="498" w:type="pct"/>
          </w:tcPr>
          <w:p w14:paraId="17152EA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3,348</w:t>
            </w:r>
          </w:p>
        </w:tc>
        <w:tc>
          <w:tcPr>
            <w:tcW w:w="451" w:type="pct"/>
          </w:tcPr>
          <w:p w14:paraId="22AAF02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- 100%</w:t>
            </w:r>
            <w:r w:rsidRPr="0066602A">
              <w:rPr>
                <w:rFonts w:cstheme="minorHAnsi"/>
                <w:color w:val="4E5053"/>
                <w:sz w:val="20"/>
                <w:szCs w:val="20"/>
                <w:lang w:val="en-US"/>
              </w:rPr>
              <w:br/>
              <w:t>Mean - NR</w:t>
            </w:r>
          </w:p>
        </w:tc>
        <w:tc>
          <w:tcPr>
            <w:tcW w:w="740" w:type="pct"/>
          </w:tcPr>
          <w:p w14:paraId="12CC6A0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Prostate cancer survivors: 3,348 (100%)</w:t>
            </w:r>
          </w:p>
        </w:tc>
        <w:tc>
          <w:tcPr>
            <w:tcW w:w="1044" w:type="pct"/>
          </w:tcPr>
          <w:p w14:paraId="470B6DAC" w14:textId="73911BB6"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Prostate cancer Survivors (No more medical therapy)</w:t>
            </w:r>
            <w:r w:rsidRPr="0066602A">
              <w:rPr>
                <w:rFonts w:cstheme="minorHAnsi"/>
                <w:sz w:val="20"/>
                <w:szCs w:val="20"/>
                <w:lang w:val="en-US"/>
              </w:rPr>
              <w:br/>
              <w:t>ADT current: 657 (20%)</w:t>
            </w:r>
            <w:r w:rsidRPr="0066602A">
              <w:rPr>
                <w:rFonts w:cstheme="minorHAnsi"/>
                <w:sz w:val="20"/>
                <w:szCs w:val="20"/>
                <w:lang w:val="en-US"/>
              </w:rPr>
              <w:br/>
            </w:r>
            <w:r w:rsidRPr="0066602A">
              <w:rPr>
                <w:rFonts w:cstheme="minorHAnsi"/>
                <w:b/>
                <w:bCs w:val="0"/>
                <w:sz w:val="20"/>
                <w:szCs w:val="20"/>
                <w:lang w:val="en-US"/>
              </w:rPr>
              <w:t>Previous therapy</w:t>
            </w:r>
            <w:r w:rsidRPr="0066602A">
              <w:rPr>
                <w:rFonts w:cstheme="minorHAnsi"/>
                <w:sz w:val="20"/>
                <w:szCs w:val="20"/>
                <w:lang w:val="en-US"/>
              </w:rPr>
              <w:br/>
              <w:t>Radical prostatectomy: 934 (28%)</w:t>
            </w:r>
            <w:r w:rsidRPr="0066602A">
              <w:rPr>
                <w:rFonts w:cstheme="minorHAnsi"/>
                <w:sz w:val="20"/>
                <w:szCs w:val="20"/>
                <w:lang w:val="en-US"/>
              </w:rPr>
              <w:br/>
              <w:t xml:space="preserve">External beam </w:t>
            </w:r>
            <w:r w:rsidR="00480763" w:rsidRPr="0066602A">
              <w:rPr>
                <w:rFonts w:cstheme="minorHAnsi"/>
                <w:sz w:val="20"/>
                <w:szCs w:val="20"/>
                <w:lang w:val="en-US"/>
              </w:rPr>
              <w:t xml:space="preserve">radiation </w:t>
            </w:r>
            <w:r w:rsidRPr="0066602A">
              <w:rPr>
                <w:rFonts w:cstheme="minorHAnsi"/>
                <w:sz w:val="20"/>
                <w:szCs w:val="20"/>
                <w:lang w:val="en-US"/>
              </w:rPr>
              <w:t>therapy: 1718 (51%)</w:t>
            </w:r>
            <w:r w:rsidRPr="0066602A">
              <w:rPr>
                <w:rFonts w:cstheme="minorHAnsi"/>
                <w:sz w:val="20"/>
                <w:szCs w:val="20"/>
                <w:lang w:val="en-US"/>
              </w:rPr>
              <w:br/>
              <w:t>Brachytherapy: 183 (6%)</w:t>
            </w:r>
            <w:r w:rsidRPr="0066602A">
              <w:rPr>
                <w:rFonts w:cstheme="minorHAnsi"/>
                <w:sz w:val="20"/>
                <w:szCs w:val="20"/>
                <w:lang w:val="en-US"/>
              </w:rPr>
              <w:br/>
              <w:t>Androgen deprivation therapy past: 912 (27%)</w:t>
            </w:r>
            <w:r w:rsidRPr="0066602A">
              <w:rPr>
                <w:rFonts w:cstheme="minorHAnsi"/>
                <w:sz w:val="20"/>
                <w:szCs w:val="20"/>
                <w:lang w:val="en-US"/>
              </w:rPr>
              <w:br/>
              <w:t>Androgen deprivation therapy current: 657 (20%)</w:t>
            </w:r>
            <w:r w:rsidRPr="0066602A">
              <w:rPr>
                <w:rFonts w:cstheme="minorHAnsi"/>
                <w:sz w:val="20"/>
                <w:szCs w:val="20"/>
                <w:lang w:val="en-US"/>
              </w:rPr>
              <w:br/>
              <w:t>Watchful waiting: 258 (8%) (delaying treatment until there are symptoms)</w:t>
            </w:r>
          </w:p>
        </w:tc>
        <w:tc>
          <w:tcPr>
            <w:tcW w:w="1809" w:type="pct"/>
          </w:tcPr>
          <w:p w14:paraId="1C7B3A0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The second strongest associate with sleep difficulties in our sample was the experience of depression and anxiety, see figure 118 in the appendix which shows the hierarchical regression analysis. </w:t>
            </w:r>
            <w:r w:rsidRPr="0066602A">
              <w:rPr>
                <w:rFonts w:cstheme="minorHAnsi"/>
                <w:sz w:val="20"/>
                <w:szCs w:val="20"/>
                <w:lang w:val="en-US"/>
              </w:rPr>
              <w:br/>
              <w:t xml:space="preserve">&gt; Overall, the final model was significant and explained a total of 31% of the variance in problems sleeping (F (19, 2391) = 56.41; p&lt;0.001). </w:t>
            </w:r>
            <w:r w:rsidRPr="0066602A">
              <w:rPr>
                <w:rFonts w:cstheme="minorHAnsi"/>
                <w:sz w:val="20"/>
                <w:szCs w:val="20"/>
                <w:lang w:val="en-US"/>
              </w:rPr>
              <w:br/>
              <w:t>&gt; In order of magnitude, the strongest predictors were urinary symptoms (β = 0.22, p&lt;0.001), problems with anxiety/depression (β = 0.18, p&lt;0.001), treatment-related symptoms (β = 0.12, p&lt;0.001), pain (β = 0.10, p&lt;0.001), bowel symptoms (β = 0.06, p=0.005), a lower level of education at diagnosis (β = − 0.05, p=0.007) and a greater number of comorbid conditions at diagnosis (β = 0.04, p=0.033).</w:t>
            </w:r>
          </w:p>
        </w:tc>
      </w:tr>
      <w:tr w:rsidR="009A7DFD" w:rsidRPr="0066602A" w14:paraId="0B85DE21"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04D8F0E"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Ross, 2020</w:t>
            </w:r>
          </w:p>
          <w:p w14:paraId="6A76040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4C8612D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Prospective cohort study, January </w:t>
            </w:r>
            <w:proofErr w:type="gramStart"/>
            <w:r w:rsidRPr="0066602A">
              <w:rPr>
                <w:rFonts w:cstheme="minorHAnsi"/>
                <w:sz w:val="20"/>
                <w:szCs w:val="20"/>
                <w:lang w:val="en-US"/>
              </w:rPr>
              <w:t>2012</w:t>
            </w:r>
            <w:proofErr w:type="gramEnd"/>
            <w:r w:rsidRPr="0066602A">
              <w:rPr>
                <w:rFonts w:cstheme="minorHAnsi"/>
                <w:sz w:val="20"/>
                <w:szCs w:val="20"/>
                <w:lang w:val="en-US"/>
              </w:rPr>
              <w:t xml:space="preserve"> and April 2015</w:t>
            </w:r>
          </w:p>
        </w:tc>
        <w:tc>
          <w:tcPr>
            <w:tcW w:w="498" w:type="pct"/>
          </w:tcPr>
          <w:p w14:paraId="4E8E34D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894</w:t>
            </w:r>
          </w:p>
        </w:tc>
        <w:tc>
          <w:tcPr>
            <w:tcW w:w="451" w:type="pct"/>
          </w:tcPr>
          <w:p w14:paraId="408F3CA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5215E2B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Mean - 60</w:t>
            </w:r>
          </w:p>
        </w:tc>
        <w:tc>
          <w:tcPr>
            <w:tcW w:w="740" w:type="pct"/>
          </w:tcPr>
          <w:p w14:paraId="2CA7C52D"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Ovarian cancer: 894 (100%) </w:t>
            </w:r>
          </w:p>
        </w:tc>
        <w:tc>
          <w:tcPr>
            <w:tcW w:w="1044" w:type="pct"/>
          </w:tcPr>
          <w:p w14:paraId="3B440D6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All patients were receiving surgery and chemotherapy: 894 (100%)</w:t>
            </w:r>
            <w:r w:rsidRPr="0066602A">
              <w:rPr>
                <w:rFonts w:cstheme="minorHAnsi"/>
                <w:sz w:val="20"/>
                <w:szCs w:val="20"/>
                <w:lang w:val="en-US"/>
              </w:rPr>
              <w:br/>
              <w:t xml:space="preserve">Surgery &amp; 0–2 cycles of chemotherapy: 60 (7%) </w:t>
            </w:r>
            <w:r w:rsidRPr="0066602A">
              <w:rPr>
                <w:rFonts w:cstheme="minorHAnsi"/>
                <w:sz w:val="20"/>
                <w:szCs w:val="20"/>
                <w:lang w:val="en-US"/>
              </w:rPr>
              <w:br/>
              <w:t xml:space="preserve">Surgery &amp; ≥3 cycles of adjuvant chemotherapy: 538 (60%) </w:t>
            </w:r>
            <w:r w:rsidRPr="0066602A">
              <w:rPr>
                <w:rFonts w:cstheme="minorHAnsi"/>
                <w:sz w:val="20"/>
                <w:szCs w:val="20"/>
                <w:lang w:val="en-US"/>
              </w:rPr>
              <w:br/>
              <w:t>Neoadjuvant chemotherapy ± surgery: 295 (33%)</w:t>
            </w:r>
          </w:p>
        </w:tc>
        <w:tc>
          <w:tcPr>
            <w:tcW w:w="1809" w:type="pct"/>
          </w:tcPr>
          <w:p w14:paraId="3CC2781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The association between insomnia and QoL</w:t>
            </w:r>
            <w:r w:rsidRPr="0066602A">
              <w:rPr>
                <w:rFonts w:cstheme="minorHAnsi"/>
                <w:sz w:val="20"/>
                <w:szCs w:val="20"/>
                <w:lang w:val="en-US"/>
              </w:rPr>
              <w:br/>
              <w:t xml:space="preserve">&gt; Compared to women with no insomnia, women with clinical insomnia symptoms had statistically and clinically significantly lower QoL scores at the same timepoint insomnia was measured (8.4 points lower, 95% CI: 7.2–9.5), as well as lower QoL scores three months after insomnia was measured (5.5 points lower, 95% CI: 3.4–7.6). </w:t>
            </w:r>
            <w:r w:rsidRPr="0066602A">
              <w:rPr>
                <w:rFonts w:cstheme="minorHAnsi"/>
                <w:sz w:val="20"/>
                <w:szCs w:val="20"/>
                <w:lang w:val="en-US"/>
              </w:rPr>
              <w:br/>
              <w:t xml:space="preserve">&gt; While the cross-sectional association was not modified by age (data not shown), we found the effect of clinical insomnia on QoL measured three months later was stronger in women under 50 years of age (7.5 points lower, 95% CI: 2.9–12.1) compared to women 50 years and over (4.9 points lower, 95% CI: 2.6–7.2). </w:t>
            </w:r>
            <w:r w:rsidRPr="0066602A">
              <w:rPr>
                <w:rFonts w:cstheme="minorHAnsi"/>
                <w:sz w:val="20"/>
                <w:szCs w:val="20"/>
                <w:lang w:val="en-US"/>
              </w:rPr>
              <w:br/>
              <w:t xml:space="preserve">&gt; When we looked at associations by subscale, the largest differences explaining the lower global QoL were in the physical and functional well-being subscales both at the same time insomnia was measured (physical 2.6 points </w:t>
            </w:r>
            <w:r w:rsidRPr="0066602A">
              <w:rPr>
                <w:rFonts w:cstheme="minorHAnsi"/>
                <w:sz w:val="20"/>
                <w:szCs w:val="20"/>
                <w:lang w:val="en-US"/>
              </w:rPr>
              <w:lastRenderedPageBreak/>
              <w:t xml:space="preserve">lower; 95% CI: 2.1–3.0; functional 1.8 points lower; 95% CI: 1.4–2.3) and three months after insomnia was measured (physical 1.7 points lower; 95% CI: 1.0–2.5; functional 1.6 points lower; 95% CI: 0.9–2.3). </w:t>
            </w:r>
            <w:r w:rsidRPr="0066602A">
              <w:rPr>
                <w:rFonts w:cstheme="minorHAnsi"/>
                <w:sz w:val="20"/>
                <w:szCs w:val="20"/>
                <w:lang w:val="en-US"/>
              </w:rPr>
              <w:br/>
              <w:t xml:space="preserve">&gt; Of those women with clinical insomnia at three months, 43% had persistent symptoms at six months of those with clinical insomnia at six months, 43% had persistent symptoms at nine months, and of those with clinical insomnia at nine months, 62% had persistent symptoms at twelve months. </w:t>
            </w:r>
            <w:r w:rsidRPr="0066602A">
              <w:rPr>
                <w:rFonts w:cstheme="minorHAnsi"/>
                <w:sz w:val="20"/>
                <w:szCs w:val="20"/>
                <w:lang w:val="en-US"/>
              </w:rPr>
              <w:br/>
              <w:t xml:space="preserve">&gt; When clinical insomnia was broken into </w:t>
            </w:r>
            <w:proofErr w:type="gramStart"/>
            <w:r w:rsidRPr="0066602A">
              <w:rPr>
                <w:rFonts w:cstheme="minorHAnsi"/>
                <w:sz w:val="20"/>
                <w:szCs w:val="20"/>
                <w:lang w:val="en-US"/>
              </w:rPr>
              <w:t>sub groups</w:t>
            </w:r>
            <w:proofErr w:type="gramEnd"/>
            <w:r w:rsidRPr="0066602A">
              <w:rPr>
                <w:rFonts w:cstheme="minorHAnsi"/>
                <w:sz w:val="20"/>
                <w:szCs w:val="20"/>
                <w:lang w:val="en-US"/>
              </w:rPr>
              <w:t xml:space="preserve"> of persistent versus resolving insomnia we found that overall QoL measured three months later was reduced by a much larger amount in the group with persistent insomnia (12.6 points lower, 95% CI: 9.5–15.7) and the difference was attenuated in the group whose insomnia resolved (2.0 points lower, 95% CI: −0.3–4.4). </w:t>
            </w:r>
            <w:r w:rsidRPr="0066602A">
              <w:rPr>
                <w:rFonts w:cstheme="minorHAnsi"/>
                <w:sz w:val="20"/>
                <w:szCs w:val="20"/>
                <w:lang w:val="en-US"/>
              </w:rPr>
              <w:br/>
              <w:t>&gt; There were also clinically and statistically significant reductions in physical and functional well-being scores in those with persistent insomnia (physical 3.8 points lower, 95% CI: 2.8–4.9; functional 3.2 points lower, 95% CI: 2.1–4.3).</w:t>
            </w:r>
          </w:p>
        </w:tc>
      </w:tr>
      <w:tr w:rsidR="009A7DFD" w:rsidRPr="0066602A" w14:paraId="0B16BEBC"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9A74E50"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Rumble, 2005</w:t>
            </w:r>
          </w:p>
          <w:p w14:paraId="127420FE"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0C226028"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Pilot study, 1 month</w:t>
            </w:r>
          </w:p>
        </w:tc>
        <w:tc>
          <w:tcPr>
            <w:tcW w:w="498" w:type="pct"/>
          </w:tcPr>
          <w:p w14:paraId="1DCF94A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32</w:t>
            </w:r>
            <w:r w:rsidRPr="0066602A">
              <w:rPr>
                <w:rFonts w:cstheme="minorHAnsi"/>
                <w:sz w:val="20"/>
                <w:szCs w:val="20"/>
                <w:lang w:val="en-US"/>
              </w:rPr>
              <w:br/>
              <w:t>Insomnia group (n=19)</w:t>
            </w:r>
            <w:r w:rsidRPr="0066602A">
              <w:rPr>
                <w:rFonts w:cstheme="minorHAnsi"/>
                <w:sz w:val="20"/>
                <w:szCs w:val="20"/>
                <w:lang w:val="en-US"/>
              </w:rPr>
              <w:br/>
              <w:t>Comparison group (n=13)</w:t>
            </w:r>
          </w:p>
        </w:tc>
        <w:tc>
          <w:tcPr>
            <w:tcW w:w="451" w:type="pct"/>
          </w:tcPr>
          <w:p w14:paraId="3F85C3D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 xml:space="preserve">Male - 26% </w:t>
            </w:r>
            <w:r w:rsidRPr="0066602A">
              <w:rPr>
                <w:rFonts w:cstheme="minorHAnsi"/>
                <w:color w:val="4E5053"/>
                <w:sz w:val="20"/>
                <w:szCs w:val="20"/>
                <w:lang w:val="en-US"/>
              </w:rPr>
              <w:br/>
              <w:t>Female - 74%</w:t>
            </w:r>
            <w:r w:rsidRPr="0066602A">
              <w:rPr>
                <w:rFonts w:cstheme="minorHAnsi"/>
                <w:color w:val="4E5053"/>
                <w:sz w:val="20"/>
                <w:szCs w:val="20"/>
                <w:lang w:val="en-US"/>
              </w:rPr>
              <w:br/>
              <w:t>Mean 65.63</w:t>
            </w:r>
          </w:p>
        </w:tc>
        <w:tc>
          <w:tcPr>
            <w:tcW w:w="740" w:type="pct"/>
          </w:tcPr>
          <w:p w14:paraId="09B8249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proofErr w:type="gramStart"/>
            <w:r w:rsidRPr="0066602A">
              <w:rPr>
                <w:rFonts w:cstheme="minorHAnsi"/>
                <w:sz w:val="20"/>
                <w:szCs w:val="20"/>
                <w:lang w:val="en-US"/>
              </w:rPr>
              <w:t>Early stage</w:t>
            </w:r>
            <w:proofErr w:type="gramEnd"/>
            <w:r w:rsidRPr="0066602A">
              <w:rPr>
                <w:rFonts w:cstheme="minorHAnsi"/>
                <w:sz w:val="20"/>
                <w:szCs w:val="20"/>
                <w:lang w:val="en-US"/>
              </w:rPr>
              <w:t xml:space="preserve"> lung cancer: 31 (100%)</w:t>
            </w:r>
          </w:p>
        </w:tc>
        <w:tc>
          <w:tcPr>
            <w:tcW w:w="1044" w:type="pct"/>
          </w:tcPr>
          <w:p w14:paraId="78619CB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NR</w:t>
            </w:r>
          </w:p>
        </w:tc>
        <w:tc>
          <w:tcPr>
            <w:tcW w:w="1809" w:type="pct"/>
          </w:tcPr>
          <w:p w14:paraId="53C6C23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Lung cancer patients in the insomnia group had significantly higher levels of dysfunctional sleep-related thoughts than lung cancer patients who did not meet criteria for insomnia.</w:t>
            </w:r>
            <w:r w:rsidRPr="0066602A">
              <w:rPr>
                <w:rFonts w:cstheme="minorHAnsi"/>
                <w:sz w:val="20"/>
                <w:szCs w:val="20"/>
                <w:lang w:val="en-US"/>
              </w:rPr>
              <w:br/>
            </w:r>
            <w:r w:rsidRPr="0066602A">
              <w:rPr>
                <w:rFonts w:cstheme="minorHAnsi"/>
                <w:b/>
                <w:bCs w:val="0"/>
                <w:sz w:val="20"/>
                <w:szCs w:val="20"/>
                <w:lang w:val="en-US"/>
              </w:rPr>
              <w:t>Differences Between Groups on Lung Cancer Symptoms, mood, and QoL:</w:t>
            </w:r>
            <w:r w:rsidRPr="0066602A">
              <w:rPr>
                <w:rFonts w:cstheme="minorHAnsi"/>
                <w:sz w:val="20"/>
                <w:szCs w:val="20"/>
                <w:lang w:val="en-US"/>
              </w:rPr>
              <w:br/>
              <w:t xml:space="preserve">&gt; Data analyses examined whether patients meeting insomnia criteria differed from the comparison group in levels of lung cancer symptoms (i.e., pain and dyspnea). </w:t>
            </w:r>
            <w:r w:rsidRPr="0066602A">
              <w:rPr>
                <w:rFonts w:cstheme="minorHAnsi"/>
                <w:sz w:val="20"/>
                <w:szCs w:val="20"/>
                <w:lang w:val="en-US"/>
              </w:rPr>
              <w:br/>
              <w:t xml:space="preserve">&gt; These analyses showed that those meeting criteria for insomnia reported significantly more pain than the comparison group [F (1, 29) = 5.39, P=0.03]. </w:t>
            </w:r>
            <w:r w:rsidRPr="0066602A">
              <w:rPr>
                <w:rFonts w:cstheme="minorHAnsi"/>
                <w:sz w:val="20"/>
                <w:szCs w:val="20"/>
                <w:lang w:val="en-US"/>
              </w:rPr>
              <w:br/>
            </w:r>
            <w:r w:rsidRPr="0066602A">
              <w:rPr>
                <w:rFonts w:cstheme="minorHAnsi"/>
                <w:sz w:val="20"/>
                <w:szCs w:val="20"/>
                <w:lang w:val="en-US"/>
              </w:rPr>
              <w:lastRenderedPageBreak/>
              <w:t xml:space="preserve">&gt; No differences in dyspnea were found. </w:t>
            </w:r>
            <w:r w:rsidRPr="0066602A">
              <w:rPr>
                <w:rFonts w:cstheme="minorHAnsi"/>
                <w:sz w:val="20"/>
                <w:szCs w:val="20"/>
                <w:lang w:val="en-US"/>
              </w:rPr>
              <w:br/>
              <w:t xml:space="preserve">&gt; Additional analyses examined whether the group meeting insomnia criteria differed from the comparison group in levels of anxiety, depression, and QoL. </w:t>
            </w:r>
            <w:r w:rsidRPr="0066602A">
              <w:rPr>
                <w:rFonts w:cstheme="minorHAnsi"/>
                <w:sz w:val="20"/>
                <w:szCs w:val="20"/>
                <w:lang w:val="en-US"/>
              </w:rPr>
              <w:br/>
              <w:t xml:space="preserve">&gt; These analyses showed that patients in the insomnia group reported experiencing significantly higher levels of anxiety than the comparison group [F (1, 25) = 4.78, P=0.04]. </w:t>
            </w:r>
            <w:r w:rsidRPr="0066602A">
              <w:rPr>
                <w:rFonts w:cstheme="minorHAnsi"/>
                <w:sz w:val="20"/>
                <w:szCs w:val="20"/>
                <w:lang w:val="en-US"/>
              </w:rPr>
              <w:br/>
              <w:t xml:space="preserve">&gt; No differences in depression were found. </w:t>
            </w:r>
            <w:r w:rsidRPr="0066602A">
              <w:rPr>
                <w:rFonts w:cstheme="minorHAnsi"/>
                <w:sz w:val="20"/>
                <w:szCs w:val="20"/>
                <w:lang w:val="en-US"/>
              </w:rPr>
              <w:br/>
              <w:t>&gt; The group meeting criteria for insomnia, however, did report significantly lower QoL than the comparison group [F (1, 29) = 5.06, P=0.03].</w:t>
            </w:r>
            <w:r w:rsidRPr="0066602A">
              <w:rPr>
                <w:rFonts w:cstheme="minorHAnsi"/>
                <w:sz w:val="20"/>
                <w:szCs w:val="20"/>
                <w:lang w:val="en-US"/>
              </w:rPr>
              <w:br/>
            </w:r>
            <w:r w:rsidRPr="0066602A">
              <w:rPr>
                <w:rFonts w:cstheme="minorHAnsi"/>
                <w:b/>
                <w:bCs w:val="0"/>
                <w:sz w:val="20"/>
                <w:szCs w:val="20"/>
                <w:lang w:val="en-US"/>
              </w:rPr>
              <w:t>Differences Between Groups on the Cognitive Behavioral Variables:</w:t>
            </w:r>
            <w:r w:rsidRPr="0066602A">
              <w:rPr>
                <w:rFonts w:cstheme="minorHAnsi"/>
                <w:sz w:val="20"/>
                <w:szCs w:val="20"/>
                <w:lang w:val="en-US"/>
              </w:rPr>
              <w:br/>
              <w:t xml:space="preserve">&gt; Data analyses compared the insomnia and comparison groups on both the measure of maladaptive cognitive responses (dysfunctional sleep-related thoughts) and the measure of maladaptive behavioral responses (poor sleep hygiene). </w:t>
            </w:r>
            <w:r w:rsidRPr="0066602A">
              <w:rPr>
                <w:rFonts w:cstheme="minorHAnsi"/>
                <w:sz w:val="20"/>
                <w:szCs w:val="20"/>
                <w:lang w:val="en-US"/>
              </w:rPr>
              <w:br/>
              <w:t xml:space="preserve">&gt; The group meeting insomnia criteria reported significantly more dysfunctional sleep-related thoughts than the comparison group [F (1, 28) = 8.10, P=0.008]. </w:t>
            </w:r>
            <w:r w:rsidRPr="0066602A">
              <w:rPr>
                <w:rFonts w:cstheme="minorHAnsi"/>
                <w:sz w:val="20"/>
                <w:szCs w:val="20"/>
                <w:lang w:val="en-US"/>
              </w:rPr>
              <w:br/>
              <w:t>&gt; The insomnia group, however, did not differ significantly from the comparison group in level of poor sleep hygiene practices [F (1, 20) = 0.04, P=0.85].</w:t>
            </w:r>
          </w:p>
        </w:tc>
      </w:tr>
      <w:tr w:rsidR="009A7DFD" w:rsidRPr="0066602A" w14:paraId="247E09B0"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29FEF98"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lastRenderedPageBreak/>
              <w:t>Saberzadeh-Ardestani</w:t>
            </w:r>
            <w:proofErr w:type="spellEnd"/>
            <w:r w:rsidRPr="0066602A">
              <w:rPr>
                <w:rFonts w:cstheme="minorHAnsi"/>
                <w:sz w:val="20"/>
                <w:szCs w:val="20"/>
                <w:lang w:val="en-US"/>
              </w:rPr>
              <w:t>, 2019</w:t>
            </w:r>
          </w:p>
          <w:p w14:paraId="4CB73DA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Iran</w:t>
            </w:r>
          </w:p>
          <w:p w14:paraId="2CC55304"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Cross-sectional, October 2015 to November 2016</w:t>
            </w:r>
          </w:p>
        </w:tc>
        <w:tc>
          <w:tcPr>
            <w:tcW w:w="498" w:type="pct"/>
          </w:tcPr>
          <w:p w14:paraId="290E8A0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74</w:t>
            </w:r>
          </w:p>
        </w:tc>
        <w:tc>
          <w:tcPr>
            <w:tcW w:w="451" w:type="pct"/>
          </w:tcPr>
          <w:p w14:paraId="2DD23CF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- 43%</w:t>
            </w:r>
            <w:r w:rsidRPr="0066602A">
              <w:rPr>
                <w:rFonts w:cstheme="minorHAnsi"/>
                <w:color w:val="4E5053"/>
                <w:sz w:val="20"/>
                <w:szCs w:val="20"/>
                <w:lang w:val="en-US"/>
              </w:rPr>
              <w:br/>
              <w:t>Female - 57%</w:t>
            </w:r>
            <w:r w:rsidRPr="0066602A">
              <w:rPr>
                <w:rFonts w:cstheme="minorHAnsi"/>
                <w:color w:val="4E5053"/>
                <w:sz w:val="20"/>
                <w:szCs w:val="20"/>
                <w:lang w:val="en-US"/>
              </w:rPr>
              <w:br/>
              <w:t>Mean - 68.3</w:t>
            </w:r>
          </w:p>
        </w:tc>
        <w:tc>
          <w:tcPr>
            <w:tcW w:w="740" w:type="pct"/>
          </w:tcPr>
          <w:p w14:paraId="757A4E7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GI: 37 (50%)</w:t>
            </w:r>
            <w:r w:rsidRPr="0066602A">
              <w:rPr>
                <w:rFonts w:cstheme="minorHAnsi"/>
                <w:sz w:val="20"/>
                <w:szCs w:val="20"/>
                <w:lang w:val="en-US"/>
              </w:rPr>
              <w:br/>
              <w:t>Genitourinary: 16 (21.6%)</w:t>
            </w:r>
            <w:r w:rsidRPr="0066602A">
              <w:rPr>
                <w:rFonts w:cstheme="minorHAnsi"/>
                <w:sz w:val="20"/>
                <w:szCs w:val="20"/>
                <w:lang w:val="en-US"/>
              </w:rPr>
              <w:br/>
              <w:t>Breast: 11 (14.9%)</w:t>
            </w:r>
            <w:r w:rsidRPr="0066602A">
              <w:rPr>
                <w:rFonts w:cstheme="minorHAnsi"/>
                <w:sz w:val="20"/>
                <w:szCs w:val="20"/>
                <w:lang w:val="en-US"/>
              </w:rPr>
              <w:br/>
              <w:t>Head &amp; Neck: 4 (5.4%)</w:t>
            </w:r>
            <w:r w:rsidRPr="0066602A">
              <w:rPr>
                <w:rFonts w:cstheme="minorHAnsi"/>
                <w:sz w:val="20"/>
                <w:szCs w:val="20"/>
                <w:lang w:val="en-US"/>
              </w:rPr>
              <w:br/>
              <w:t>Lymphoma: 4 (5.4%)</w:t>
            </w:r>
            <w:r w:rsidRPr="0066602A">
              <w:rPr>
                <w:rFonts w:cstheme="minorHAnsi"/>
                <w:sz w:val="20"/>
                <w:szCs w:val="20"/>
                <w:lang w:val="en-US"/>
              </w:rPr>
              <w:br/>
              <w:t>Lung: 2 (2.7%)</w:t>
            </w:r>
          </w:p>
        </w:tc>
        <w:tc>
          <w:tcPr>
            <w:tcW w:w="1044" w:type="pct"/>
          </w:tcPr>
          <w:p w14:paraId="7021DB1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Chemotherapy</w:t>
            </w:r>
          </w:p>
        </w:tc>
        <w:tc>
          <w:tcPr>
            <w:tcW w:w="1809" w:type="pct"/>
          </w:tcPr>
          <w:p w14:paraId="5DDDE3E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&gt; After receiving chemotherapy 21.6% of patients reported excessive daytime sleepiness compared with 8.1% prior to receiving therapy.</w:t>
            </w:r>
            <w:r w:rsidRPr="0066602A">
              <w:rPr>
                <w:rFonts w:cstheme="minorHAnsi"/>
                <w:sz w:val="20"/>
                <w:szCs w:val="20"/>
                <w:lang w:val="en-US"/>
              </w:rPr>
              <w:br/>
              <w:t>&gt; The relationship between education, tumor stage, and the number of comorbidities and daytime sleepiness after receiving chemotherapy were not statistically significant (P&lt;0.1).</w:t>
            </w:r>
            <w:r w:rsidRPr="0066602A">
              <w:rPr>
                <w:rFonts w:cstheme="minorHAnsi"/>
                <w:sz w:val="20"/>
                <w:szCs w:val="20"/>
                <w:lang w:val="en-US"/>
              </w:rPr>
              <w:br/>
              <w:t>&gt; Anxiety before chemotherapy was significantly associated with daytime sleepiness after chemotherapy (P-</w:t>
            </w:r>
            <w:r w:rsidRPr="0066602A">
              <w:rPr>
                <w:rFonts w:cstheme="minorHAnsi"/>
                <w:sz w:val="20"/>
                <w:szCs w:val="20"/>
                <w:lang w:val="en-US"/>
              </w:rPr>
              <w:lastRenderedPageBreak/>
              <w:t>value=.035).</w:t>
            </w:r>
            <w:r w:rsidRPr="0066602A">
              <w:rPr>
                <w:rFonts w:cstheme="minorHAnsi"/>
                <w:sz w:val="20"/>
                <w:szCs w:val="20"/>
                <w:lang w:val="en-US"/>
              </w:rPr>
              <w:br/>
              <w:t>&gt; Fall, anxiety, and depression after chemotherapy were associated with daytime sleepiness after chemotherapy (P-value: 0.001, 0.042, 0.005, respectively).</w:t>
            </w:r>
            <w:r w:rsidRPr="0066602A">
              <w:rPr>
                <w:rFonts w:cstheme="minorHAnsi"/>
                <w:sz w:val="20"/>
                <w:szCs w:val="20"/>
                <w:lang w:val="en-US"/>
              </w:rPr>
              <w:br/>
              <w:t xml:space="preserve">&gt; An association between fall, anxiety, and depression after chemotherapy and daytime sleepiness after chemotherapy were significant. </w:t>
            </w:r>
            <w:proofErr w:type="gramStart"/>
            <w:r w:rsidRPr="0066602A">
              <w:rPr>
                <w:rFonts w:cstheme="minorHAnsi"/>
                <w:sz w:val="20"/>
                <w:szCs w:val="20"/>
                <w:lang w:val="en-US"/>
              </w:rPr>
              <w:t>In order to</w:t>
            </w:r>
            <w:proofErr w:type="gramEnd"/>
            <w:r w:rsidRPr="0066602A">
              <w:rPr>
                <w:rFonts w:cstheme="minorHAnsi"/>
                <w:sz w:val="20"/>
                <w:szCs w:val="20"/>
                <w:lang w:val="en-US"/>
              </w:rPr>
              <w:t xml:space="preserve"> assess the effect of chemotherapy on fall and depression changes, the relation between delta of these variables</w:t>
            </w:r>
            <w:r w:rsidRPr="0066602A">
              <w:rPr>
                <w:rFonts w:cstheme="minorHAnsi"/>
                <w:sz w:val="20"/>
                <w:szCs w:val="20"/>
                <w:lang w:val="en-US"/>
              </w:rPr>
              <w:br/>
              <w:t>and daytime sleepiness were assessed. Association of delta fall, delta anxiety, and delta depression and daytime sleepiness were borderline significant (P-value: 0.057, 0.053, 0.057 respectively).</w:t>
            </w:r>
            <w:r w:rsidRPr="0066602A">
              <w:rPr>
                <w:rFonts w:cstheme="minorHAnsi"/>
                <w:sz w:val="20"/>
                <w:szCs w:val="20"/>
                <w:lang w:val="en-US"/>
              </w:rPr>
              <w:br/>
              <w:t>&gt; Results showed that the number of regions of recurrence and anxiety before chemotherapy are independent predictors of daytime sleepiness after chemotherapy (P-value: 0.012, 0.011 respectively).</w:t>
            </w:r>
          </w:p>
        </w:tc>
      </w:tr>
      <w:tr w:rsidR="009A7DFD" w:rsidRPr="0066602A" w14:paraId="516431DB"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24671D1"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Sanford, 2013</w:t>
            </w:r>
          </w:p>
          <w:p w14:paraId="3389205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2EAA730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Secondary analysis of a Longitudinal Prospective study, pre-chemotheray-</w:t>
            </w:r>
            <w:proofErr w:type="gramStart"/>
            <w:r w:rsidRPr="0066602A">
              <w:rPr>
                <w:rFonts w:cstheme="minorHAnsi"/>
                <w:sz w:val="20"/>
                <w:szCs w:val="20"/>
                <w:lang w:val="en-US"/>
              </w:rPr>
              <w:t>6 month</w:t>
            </w:r>
            <w:proofErr w:type="gramEnd"/>
            <w:r w:rsidRPr="0066602A">
              <w:rPr>
                <w:rFonts w:cstheme="minorHAnsi"/>
                <w:sz w:val="20"/>
                <w:szCs w:val="20"/>
                <w:lang w:val="en-US"/>
              </w:rPr>
              <w:t xml:space="preserve"> follow-up</w:t>
            </w:r>
          </w:p>
        </w:tc>
        <w:tc>
          <w:tcPr>
            <w:tcW w:w="498" w:type="pct"/>
          </w:tcPr>
          <w:p w14:paraId="5C0BFA6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80</w:t>
            </w:r>
          </w:p>
        </w:tc>
        <w:tc>
          <w:tcPr>
            <w:tcW w:w="451" w:type="pct"/>
          </w:tcPr>
          <w:p w14:paraId="5292555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w:t>
            </w:r>
          </w:p>
          <w:p w14:paraId="52E0406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- 98%</w:t>
            </w:r>
          </w:p>
          <w:p w14:paraId="00143EF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Mean - 49.7</w:t>
            </w:r>
          </w:p>
        </w:tc>
        <w:tc>
          <w:tcPr>
            <w:tcW w:w="740" w:type="pct"/>
          </w:tcPr>
          <w:p w14:paraId="23C0210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80 (100%)</w:t>
            </w:r>
          </w:p>
        </w:tc>
        <w:tc>
          <w:tcPr>
            <w:tcW w:w="1044" w:type="pct"/>
          </w:tcPr>
          <w:p w14:paraId="1CC01C8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Chemotherapy: 80 (100%)</w:t>
            </w:r>
          </w:p>
        </w:tc>
        <w:tc>
          <w:tcPr>
            <w:tcW w:w="1809" w:type="pct"/>
          </w:tcPr>
          <w:p w14:paraId="1114433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Sleep quality and </w:t>
            </w:r>
            <w:proofErr w:type="gramStart"/>
            <w:r w:rsidRPr="0066602A">
              <w:rPr>
                <w:rFonts w:cstheme="minorHAnsi"/>
                <w:sz w:val="20"/>
                <w:szCs w:val="20"/>
                <w:lang w:val="en-US"/>
              </w:rPr>
              <w:t>health-related</w:t>
            </w:r>
            <w:proofErr w:type="gramEnd"/>
            <w:r w:rsidRPr="0066602A">
              <w:rPr>
                <w:rFonts w:cstheme="minorHAnsi"/>
                <w:sz w:val="20"/>
                <w:szCs w:val="20"/>
                <w:lang w:val="en-US"/>
              </w:rPr>
              <w:t xml:space="preserve"> QoL. </w:t>
            </w:r>
            <w:r w:rsidRPr="0066602A">
              <w:rPr>
                <w:rFonts w:cstheme="minorHAnsi"/>
                <w:sz w:val="20"/>
                <w:szCs w:val="20"/>
                <w:lang w:val="en-US"/>
              </w:rPr>
              <w:br/>
              <w:t xml:space="preserve">&gt; Mixed-effects models indicated that HRQL varied across time points, with FACT-G scores being lower during treatment in comparison to before and after treatment (p&lt;0.001). </w:t>
            </w:r>
            <w:r w:rsidRPr="0066602A">
              <w:rPr>
                <w:rFonts w:cstheme="minorHAnsi"/>
                <w:sz w:val="20"/>
                <w:szCs w:val="20"/>
                <w:lang w:val="en-US"/>
              </w:rPr>
              <w:br/>
              <w:t xml:space="preserve">&gt; Scores were negatively correlated with PSQI global scores across all time points (rho= −0.46, −0.41, −0.45; p&lt;0.001). </w:t>
            </w:r>
            <w:r w:rsidRPr="0066602A">
              <w:rPr>
                <w:rFonts w:cstheme="minorHAnsi"/>
                <w:sz w:val="20"/>
                <w:szCs w:val="20"/>
                <w:lang w:val="en-US"/>
              </w:rPr>
              <w:br/>
              <w:t xml:space="preserve">&gt; With group differences being approximately 1 SD (approximately 10 points) in magnitude across all time points (p&lt;0.05) of the four FACT-G subscales, the physical (rho=−0.46, −0.35, −0.57; p&lt;0.001) and functional (rho=−0.57, −0.46, −0.52; p&lt;0.001) well-being subscales were most strongly associated with PSQI global scores over time. </w:t>
            </w:r>
            <w:r w:rsidRPr="0066602A">
              <w:rPr>
                <w:rFonts w:cstheme="minorHAnsi"/>
                <w:sz w:val="20"/>
                <w:szCs w:val="20"/>
                <w:lang w:val="en-US"/>
              </w:rPr>
              <w:br/>
              <w:t>&gt;FACT-ES, and HADS anxiety and depression scores were moderately correlated with PSQI global and daytime dysfunction scores.</w:t>
            </w:r>
            <w:r w:rsidRPr="0066602A">
              <w:rPr>
                <w:rFonts w:cstheme="minorHAnsi"/>
                <w:sz w:val="20"/>
                <w:szCs w:val="20"/>
                <w:lang w:val="en-US"/>
              </w:rPr>
              <w:br/>
            </w:r>
            <w:r w:rsidRPr="0066602A">
              <w:rPr>
                <w:rFonts w:cstheme="minorHAnsi"/>
                <w:sz w:val="20"/>
                <w:szCs w:val="20"/>
                <w:lang w:val="en-US"/>
              </w:rPr>
              <w:lastRenderedPageBreak/>
              <w:t>&gt; HADS depression scores were significantly higher for impaired sleepers (p&lt;0.01) at all three assessments and at pre-chemotherapy and cycle 4 day 1 for the anxiety subscale, indicating worse symptom burden for this subset of participants.</w:t>
            </w:r>
            <w:r w:rsidRPr="0066602A">
              <w:rPr>
                <w:rFonts w:cstheme="minorHAnsi"/>
                <w:sz w:val="20"/>
                <w:szCs w:val="20"/>
                <w:lang w:val="en-US"/>
              </w:rPr>
              <w:br/>
              <w:t xml:space="preserve">&gt; Changes in endocrine symptoms over time were also observed as measured by the FACT-ES (p&lt;0.001). As observed with other symptoms, FACT-ES scores were significantly lower for the impaired sleepers (p&lt;0.05) at all assessment, indicating worse symptom burden. </w:t>
            </w:r>
          </w:p>
        </w:tc>
      </w:tr>
      <w:tr w:rsidR="009A7DFD" w:rsidRPr="0066602A" w14:paraId="290ACF33"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BD98F54"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Savard, 2011</w:t>
            </w:r>
          </w:p>
          <w:p w14:paraId="345C4B2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Canada</w:t>
            </w:r>
          </w:p>
          <w:p w14:paraId="53BBF580"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Longitudinal, observational study, 2002-2005</w:t>
            </w:r>
          </w:p>
        </w:tc>
        <w:tc>
          <w:tcPr>
            <w:tcW w:w="498" w:type="pct"/>
          </w:tcPr>
          <w:p w14:paraId="6CC623A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58</w:t>
            </w:r>
          </w:p>
        </w:tc>
        <w:tc>
          <w:tcPr>
            <w:tcW w:w="451" w:type="pct"/>
          </w:tcPr>
          <w:p w14:paraId="085212E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p>
          <w:p w14:paraId="4FAB4CE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Mean - 54.6</w:t>
            </w:r>
          </w:p>
        </w:tc>
        <w:tc>
          <w:tcPr>
            <w:tcW w:w="740" w:type="pct"/>
          </w:tcPr>
          <w:p w14:paraId="79B1395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58 (100%)</w:t>
            </w:r>
          </w:p>
        </w:tc>
        <w:tc>
          <w:tcPr>
            <w:tcW w:w="1044" w:type="pct"/>
          </w:tcPr>
          <w:p w14:paraId="1EF1A423" w14:textId="760CFBC2"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Patients were included if they were scheduled to receive standard adjuvant treatment of </w:t>
            </w:r>
            <w:r w:rsidR="00480763" w:rsidRPr="0066602A">
              <w:rPr>
                <w:rFonts w:cstheme="minorHAnsi"/>
                <w:sz w:val="20"/>
                <w:szCs w:val="20"/>
                <w:lang w:val="en-US"/>
              </w:rPr>
              <w:t xml:space="preserve">radiation </w:t>
            </w:r>
            <w:r w:rsidRPr="0066602A">
              <w:rPr>
                <w:rFonts w:cstheme="minorHAnsi"/>
                <w:sz w:val="20"/>
                <w:szCs w:val="20"/>
                <w:lang w:val="en-US"/>
              </w:rPr>
              <w:t>therapy, chemotherapy (or both), as well as hormone therapy (</w:t>
            </w:r>
            <w:proofErr w:type="gramStart"/>
            <w:r w:rsidRPr="0066602A">
              <w:rPr>
                <w:rFonts w:cstheme="minorHAnsi"/>
                <w:sz w:val="20"/>
                <w:szCs w:val="20"/>
                <w:lang w:val="en-US"/>
              </w:rPr>
              <w:t>e.g.</w:t>
            </w:r>
            <w:proofErr w:type="gramEnd"/>
            <w:r w:rsidRPr="0066602A">
              <w:rPr>
                <w:rFonts w:cstheme="minorHAnsi"/>
                <w:sz w:val="20"/>
                <w:szCs w:val="20"/>
                <w:lang w:val="en-US"/>
              </w:rPr>
              <w:t xml:space="preserve"> tamoxifen, anastrozole)</w:t>
            </w:r>
            <w:r w:rsidRPr="0066602A">
              <w:rPr>
                <w:rFonts w:cstheme="minorHAnsi"/>
                <w:sz w:val="20"/>
                <w:szCs w:val="20"/>
                <w:lang w:val="en-US"/>
              </w:rPr>
              <w:br/>
            </w:r>
            <w:r w:rsidRPr="0066602A">
              <w:rPr>
                <w:rFonts w:cstheme="minorHAnsi"/>
                <w:sz w:val="20"/>
                <w:szCs w:val="20"/>
                <w:lang w:val="en-US"/>
              </w:rPr>
              <w:br/>
              <w:t>22% to 29% were using another psychotropic medication at each time assessment, mainly benzodiazepines</w:t>
            </w:r>
          </w:p>
        </w:tc>
        <w:tc>
          <w:tcPr>
            <w:tcW w:w="1809" w:type="pct"/>
          </w:tcPr>
          <w:p w14:paraId="37328AFD" w14:textId="6AF46BC6"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Summary</w:t>
            </w:r>
            <w:r w:rsidRPr="0066602A">
              <w:rPr>
                <w:rFonts w:cstheme="minorHAnsi"/>
                <w:sz w:val="20"/>
                <w:szCs w:val="20"/>
                <w:lang w:val="en-US"/>
              </w:rPr>
              <w:br/>
              <w:t>&gt; A first canonical correlation analysis (n=55) revealed a marginally significant relationship between pre-treatment versus post-treatment change scores in hot flashes and sleep (R = 0.39), and a second analysis (n=51)</w:t>
            </w:r>
            <w:r w:rsidRPr="0066602A">
              <w:rPr>
                <w:rFonts w:cstheme="minorHAnsi"/>
                <w:sz w:val="20"/>
                <w:szCs w:val="20"/>
                <w:lang w:val="en-US"/>
              </w:rPr>
              <w:br/>
              <w:t>showed a significant relationship between post-treatment and follow-up changes in hot flash activity and sleep (R = 0.59). The association between HFs and sleep was positive, which indicates two possible scenarios: (1) that increased HFs were associated with aggravation in insomnia symptoms and (2) that reduced HFs were related to improved insomnia symptoms.</w:t>
            </w:r>
            <w:r w:rsidRPr="0066602A">
              <w:rPr>
                <w:rFonts w:cstheme="minorHAnsi"/>
                <w:sz w:val="20"/>
                <w:szCs w:val="20"/>
                <w:lang w:val="en-US"/>
              </w:rPr>
              <w:br/>
              <w:t>Changes from pre-treatment to post-treatment</w:t>
            </w:r>
            <w:r w:rsidRPr="0066602A">
              <w:rPr>
                <w:rFonts w:cstheme="minorHAnsi"/>
                <w:sz w:val="20"/>
                <w:szCs w:val="20"/>
                <w:lang w:val="en-US"/>
              </w:rPr>
              <w:br/>
              <w:t xml:space="preserve">&gt; </w:t>
            </w:r>
            <w:proofErr w:type="gramStart"/>
            <w:r w:rsidRPr="0066602A">
              <w:rPr>
                <w:rFonts w:cstheme="minorHAnsi"/>
                <w:sz w:val="20"/>
                <w:szCs w:val="20"/>
                <w:lang w:val="en-US"/>
              </w:rPr>
              <w:t>With regard to</w:t>
            </w:r>
            <w:proofErr w:type="gramEnd"/>
            <w:r w:rsidRPr="0066602A">
              <w:rPr>
                <w:rFonts w:cstheme="minorHAnsi"/>
                <w:sz w:val="20"/>
                <w:szCs w:val="20"/>
                <w:lang w:val="en-US"/>
              </w:rPr>
              <w:t xml:space="preserve"> insomnia symptoms, most participants (between 44.6% and 76.8%) showed no change (i.e., between j1 and +1 SD). An increase in insomnia symptoms (i.e., Q+1 SD) was reported by 11.0% to 30.4% of the</w:t>
            </w:r>
            <w:r w:rsidR="00891DBA" w:rsidRPr="0066602A">
              <w:rPr>
                <w:rFonts w:cstheme="minorHAnsi"/>
                <w:sz w:val="20"/>
                <w:szCs w:val="20"/>
                <w:lang w:val="en-US"/>
              </w:rPr>
              <w:t xml:space="preserve"> </w:t>
            </w:r>
            <w:r w:rsidRPr="0066602A">
              <w:rPr>
                <w:rFonts w:cstheme="minorHAnsi"/>
                <w:sz w:val="20"/>
                <w:szCs w:val="20"/>
                <w:lang w:val="en-US"/>
              </w:rPr>
              <w:t>participants in the sample, whereas a decrease (i.e., ej1 SD) was found in 8.9% to 25.0% of the participants.</w:t>
            </w:r>
            <w:r w:rsidRPr="0066602A">
              <w:rPr>
                <w:rFonts w:cstheme="minorHAnsi"/>
                <w:sz w:val="20"/>
                <w:szCs w:val="20"/>
                <w:lang w:val="en-US"/>
              </w:rPr>
              <w:br/>
              <w:t xml:space="preserve">&gt;A positive (R = 0.39) and moderate (according to Cohen’s57 1988 standards) association between HFs and insomnia symptoms was reported, which indicated that 16% of the variance (R2) of change scores was shared between HF and sleep canonical variates. However, this </w:t>
            </w:r>
            <w:r w:rsidRPr="0066602A">
              <w:rPr>
                <w:rFonts w:cstheme="minorHAnsi"/>
                <w:sz w:val="20"/>
                <w:szCs w:val="20"/>
                <w:lang w:val="en-US"/>
              </w:rPr>
              <w:lastRenderedPageBreak/>
              <w:t>correlation failed to reach statistical significance (F9,183 = 1.79, P=0.07).</w:t>
            </w:r>
            <w:r w:rsidRPr="0066602A">
              <w:rPr>
                <w:rFonts w:cstheme="minorHAnsi"/>
                <w:sz w:val="20"/>
                <w:szCs w:val="20"/>
                <w:lang w:val="en-US"/>
              </w:rPr>
              <w:br/>
              <w:t>&gt; All sleep variables contributed significantly to the sleep canonical variate (r=0.39-0.88). The redundancy analysis indicated that only 10% of the total variance of sleep changes was explained by the HF canonical variate.</w:t>
            </w:r>
            <w:r w:rsidRPr="0066602A">
              <w:rPr>
                <w:rFonts w:cstheme="minorHAnsi"/>
                <w:sz w:val="20"/>
                <w:szCs w:val="20"/>
                <w:lang w:val="en-US"/>
              </w:rPr>
              <w:br/>
              <w:t>Changes from post-treatment to the 3-month follow-up</w:t>
            </w:r>
            <w:r w:rsidRPr="0066602A">
              <w:rPr>
                <w:rFonts w:cstheme="minorHAnsi"/>
                <w:sz w:val="20"/>
                <w:szCs w:val="20"/>
                <w:lang w:val="en-US"/>
              </w:rPr>
              <w:br/>
              <w:t>&gt; Again, most participants (between 56.9% and 76.5%) showed no change in insomnia symptoms (i.e., between j1 and +1 SD), whereas 11.8% to 19.6% of the participants reported an exacerbation of these symptoms (i.e., Q+1 SD), and 11.8% to 23.5% reported some improvement (i.e., ej1 SD). The second canonical correlation analysis revealed a large positive (R = 0.59) and statistically significant association (F9,183 = 4.18, P G 0.001), and indicated that approximately 35% (R2) of the variance of change scores was shared between HF and sleep canonical variates.</w:t>
            </w:r>
            <w:r w:rsidRPr="0066602A">
              <w:rPr>
                <w:rFonts w:cstheme="minorHAnsi"/>
                <w:sz w:val="20"/>
                <w:szCs w:val="20"/>
                <w:lang w:val="en-US"/>
              </w:rPr>
              <w:br/>
              <w:t>&gt; The redundancy analysis indicated that 22% of the total variance in the changes observed in sleep variables was explained by the HF canonical variate. More specifically, the HF canonical variate accounted for 13% of the changes in SOL, 21% of the changes in WASO, and 23% of the changes in ISI scores observed between the post-treatment and the 3-month follow-up.</w:t>
            </w:r>
          </w:p>
        </w:tc>
      </w:tr>
      <w:tr w:rsidR="009A7DFD" w:rsidRPr="0066602A" w14:paraId="76AB1879"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EBB8F5A"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Schreier, 2019</w:t>
            </w:r>
          </w:p>
          <w:p w14:paraId="1C772F8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USA</w:t>
            </w:r>
          </w:p>
          <w:p w14:paraId="23676B52"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Descriptive correlational study, June - August 2015</w:t>
            </w:r>
          </w:p>
        </w:tc>
        <w:tc>
          <w:tcPr>
            <w:tcW w:w="498" w:type="pct"/>
          </w:tcPr>
          <w:p w14:paraId="518CE66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40</w:t>
            </w:r>
          </w:p>
        </w:tc>
        <w:tc>
          <w:tcPr>
            <w:tcW w:w="451" w:type="pct"/>
          </w:tcPr>
          <w:p w14:paraId="256EFCE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- 58</w:t>
            </w:r>
          </w:p>
        </w:tc>
        <w:tc>
          <w:tcPr>
            <w:tcW w:w="740" w:type="pct"/>
          </w:tcPr>
          <w:p w14:paraId="2DE9898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Breast cancer: 40 (100%)</w:t>
            </w:r>
          </w:p>
        </w:tc>
        <w:tc>
          <w:tcPr>
            <w:tcW w:w="1044" w:type="pct"/>
          </w:tcPr>
          <w:p w14:paraId="734CF44D" w14:textId="222A3299"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b/>
                <w:bCs w:val="0"/>
                <w:sz w:val="20"/>
                <w:szCs w:val="20"/>
                <w:lang w:val="en-US"/>
              </w:rPr>
              <w:t>Current therapy</w:t>
            </w:r>
            <w:r w:rsidRPr="0066602A">
              <w:rPr>
                <w:rFonts w:cstheme="minorHAnsi"/>
                <w:sz w:val="20"/>
                <w:szCs w:val="20"/>
                <w:lang w:val="en-US"/>
              </w:rPr>
              <w:br/>
              <w:t>Hormonal therapy: 21 (52.5%)</w:t>
            </w:r>
            <w:r w:rsidRPr="0066602A">
              <w:rPr>
                <w:rFonts w:cstheme="minorHAnsi"/>
                <w:sz w:val="20"/>
                <w:szCs w:val="20"/>
                <w:lang w:val="en-US"/>
              </w:rPr>
              <w:br/>
            </w:r>
            <w:r w:rsidRPr="0066602A">
              <w:rPr>
                <w:rFonts w:cstheme="minorHAnsi"/>
                <w:b/>
                <w:bCs w:val="0"/>
                <w:sz w:val="20"/>
                <w:szCs w:val="20"/>
                <w:lang w:val="en-US"/>
              </w:rPr>
              <w:t>Previous therapy</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5 (12.5%)</w:t>
            </w:r>
            <w:r w:rsidRPr="0066602A">
              <w:rPr>
                <w:rFonts w:cstheme="minorHAnsi"/>
                <w:sz w:val="20"/>
                <w:szCs w:val="20"/>
                <w:lang w:val="en-US"/>
              </w:rPr>
              <w:br/>
              <w:t>Chemotherapy: 9 (22.5%)</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and chemotherapy: 23 (57.5%)</w:t>
            </w:r>
            <w:r w:rsidRPr="0066602A">
              <w:rPr>
                <w:rFonts w:cstheme="minorHAnsi"/>
                <w:sz w:val="20"/>
                <w:szCs w:val="20"/>
                <w:lang w:val="en-US"/>
              </w:rPr>
              <w:br/>
              <w:t>Unknown: 2 (7.5%)</w:t>
            </w:r>
            <w:r w:rsidRPr="0066602A">
              <w:rPr>
                <w:rFonts w:cstheme="minorHAnsi"/>
                <w:sz w:val="20"/>
                <w:szCs w:val="20"/>
                <w:lang w:val="en-US"/>
              </w:rPr>
              <w:br/>
              <w:t>Surgery (mastectomy): 16 (40%)</w:t>
            </w:r>
            <w:r w:rsidRPr="0066602A">
              <w:rPr>
                <w:rFonts w:cstheme="minorHAnsi"/>
                <w:sz w:val="20"/>
                <w:szCs w:val="20"/>
                <w:lang w:val="en-US"/>
              </w:rPr>
              <w:br/>
            </w:r>
            <w:r w:rsidRPr="0066602A">
              <w:rPr>
                <w:rFonts w:cstheme="minorHAnsi"/>
                <w:sz w:val="20"/>
                <w:szCs w:val="20"/>
                <w:lang w:val="en-US"/>
              </w:rPr>
              <w:lastRenderedPageBreak/>
              <w:t>Surgery (partial mastectomy): 24 (60%)</w:t>
            </w:r>
          </w:p>
        </w:tc>
        <w:tc>
          <w:tcPr>
            <w:tcW w:w="1809" w:type="pct"/>
          </w:tcPr>
          <w:p w14:paraId="6A45110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&gt; A total of 31 women (78%) reported a sleep disturbance score greater than the normalized score of 50.</w:t>
            </w:r>
            <w:r w:rsidRPr="0066602A">
              <w:rPr>
                <w:rFonts w:cstheme="minorHAnsi"/>
                <w:sz w:val="20"/>
                <w:szCs w:val="20"/>
                <w:lang w:val="en-US"/>
              </w:rPr>
              <w:br/>
              <w:t xml:space="preserve">&gt; Black participants reported higher lower sleep disturbance than white participants; however, these differences were not significantly different. </w:t>
            </w:r>
            <w:r w:rsidRPr="0066602A">
              <w:rPr>
                <w:rFonts w:cstheme="minorHAnsi"/>
                <w:sz w:val="20"/>
                <w:szCs w:val="20"/>
                <w:lang w:val="en-US"/>
              </w:rPr>
              <w:br/>
              <w:t xml:space="preserve">&gt; </w:t>
            </w:r>
            <w:proofErr w:type="gramStart"/>
            <w:r w:rsidRPr="0066602A">
              <w:rPr>
                <w:rFonts w:cstheme="minorHAnsi"/>
                <w:sz w:val="20"/>
                <w:szCs w:val="20"/>
                <w:lang w:val="en-US"/>
              </w:rPr>
              <w:t>With the exception of</w:t>
            </w:r>
            <w:proofErr w:type="gramEnd"/>
            <w:r w:rsidRPr="0066602A">
              <w:rPr>
                <w:rFonts w:cstheme="minorHAnsi"/>
                <w:sz w:val="20"/>
                <w:szCs w:val="20"/>
                <w:lang w:val="en-US"/>
              </w:rPr>
              <w:t xml:space="preserve"> the correlation between pain intensity and sleep disturbance, all correlations were statistically significant.</w:t>
            </w:r>
            <w:r w:rsidRPr="0066602A">
              <w:rPr>
                <w:rFonts w:cstheme="minorHAnsi"/>
                <w:sz w:val="20"/>
                <w:szCs w:val="20"/>
                <w:lang w:val="en-US"/>
              </w:rPr>
              <w:br/>
              <w:t xml:space="preserve">&gt; There were moderate correlations among symptoms of pain interference, sleep disturbance, anxiety, and fatigue. </w:t>
            </w:r>
            <w:r w:rsidRPr="0066602A">
              <w:rPr>
                <w:rFonts w:cstheme="minorHAnsi"/>
                <w:sz w:val="20"/>
                <w:szCs w:val="20"/>
                <w:lang w:val="en-US"/>
              </w:rPr>
              <w:lastRenderedPageBreak/>
              <w:t>These findings suggest that these symptoms form a cluster and that women with higher distress on one</w:t>
            </w:r>
            <w:r w:rsidRPr="0066602A">
              <w:rPr>
                <w:rFonts w:cstheme="minorHAnsi"/>
                <w:sz w:val="20"/>
                <w:szCs w:val="20"/>
                <w:lang w:val="en-US"/>
              </w:rPr>
              <w:br/>
              <w:t>symptom also experience distress in the other symptoms.</w:t>
            </w:r>
            <w:r w:rsidRPr="0066602A">
              <w:rPr>
                <w:rFonts w:cstheme="minorHAnsi"/>
                <w:sz w:val="20"/>
                <w:szCs w:val="20"/>
                <w:lang w:val="en-US"/>
              </w:rPr>
              <w:br/>
              <w:t>&gt; The high pain intensity group reported greater pain interference, more sleep disturbance, great anxiety, and more fatigue.</w:t>
            </w:r>
          </w:p>
        </w:tc>
      </w:tr>
      <w:tr w:rsidR="009A7DFD" w:rsidRPr="0066602A" w14:paraId="112D2B84"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CD6DF7B"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lastRenderedPageBreak/>
              <w:t>Steindorfet</w:t>
            </w:r>
            <w:proofErr w:type="spellEnd"/>
            <w:r w:rsidRPr="0066602A">
              <w:rPr>
                <w:rFonts w:cstheme="minorHAnsi"/>
                <w:sz w:val="20"/>
                <w:szCs w:val="20"/>
                <w:lang w:val="en-US"/>
              </w:rPr>
              <w:t>, 2017</w:t>
            </w:r>
          </w:p>
          <w:p w14:paraId="7A483F88"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Germany</w:t>
            </w:r>
          </w:p>
          <w:p w14:paraId="40BA3A0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Prospective randomized controlled intervention trial, 2011 and 2013</w:t>
            </w:r>
          </w:p>
        </w:tc>
        <w:tc>
          <w:tcPr>
            <w:tcW w:w="498" w:type="pct"/>
          </w:tcPr>
          <w:p w14:paraId="435198B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160</w:t>
            </w:r>
          </w:p>
        </w:tc>
        <w:tc>
          <w:tcPr>
            <w:tcW w:w="451" w:type="pct"/>
          </w:tcPr>
          <w:p w14:paraId="2C5D048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- 55.6</w:t>
            </w:r>
          </w:p>
        </w:tc>
        <w:tc>
          <w:tcPr>
            <w:tcW w:w="740" w:type="pct"/>
          </w:tcPr>
          <w:p w14:paraId="078319D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cancer: 160 (100%)</w:t>
            </w:r>
          </w:p>
        </w:tc>
        <w:tc>
          <w:tcPr>
            <w:tcW w:w="1044" w:type="pct"/>
          </w:tcPr>
          <w:p w14:paraId="4B83176F" w14:textId="0DBA5908"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Adjuvant </w:t>
            </w:r>
            <w:r w:rsidR="00480763" w:rsidRPr="0066602A">
              <w:rPr>
                <w:rFonts w:cstheme="minorHAnsi"/>
                <w:sz w:val="20"/>
                <w:szCs w:val="20"/>
                <w:lang w:val="en-US"/>
              </w:rPr>
              <w:t xml:space="preserve">radiation </w:t>
            </w:r>
            <w:r w:rsidRPr="0066602A">
              <w:rPr>
                <w:rFonts w:cstheme="minorHAnsi"/>
                <w:sz w:val="20"/>
                <w:szCs w:val="20"/>
                <w:lang w:val="en-US"/>
              </w:rPr>
              <w:t>therapy part of inclusion criteria</w:t>
            </w:r>
            <w:r w:rsidRPr="0066602A">
              <w:rPr>
                <w:rFonts w:cstheme="minorHAnsi"/>
                <w:sz w:val="20"/>
                <w:szCs w:val="20"/>
                <w:lang w:val="en-US"/>
              </w:rPr>
              <w:br/>
              <w:t>Surgery: Mastectomy: 21 (13.1%); Breast conserving: 139 (86.9%)</w:t>
            </w:r>
            <w:r w:rsidRPr="0066602A">
              <w:rPr>
                <w:rFonts w:cstheme="minorHAnsi"/>
                <w:sz w:val="20"/>
                <w:szCs w:val="20"/>
                <w:lang w:val="en-US"/>
              </w:rPr>
              <w:br/>
              <w:t>Mean days since surgery (SD): 67.8 (56.2)</w:t>
            </w:r>
            <w:r w:rsidRPr="0066602A">
              <w:rPr>
                <w:rFonts w:cstheme="minorHAnsi"/>
                <w:sz w:val="20"/>
                <w:szCs w:val="20"/>
                <w:lang w:val="en-US"/>
              </w:rPr>
              <w:br/>
              <w:t>Other therapies:</w:t>
            </w:r>
            <w:r w:rsidRPr="0066602A">
              <w:rPr>
                <w:rFonts w:cstheme="minorHAnsi"/>
                <w:sz w:val="20"/>
                <w:szCs w:val="20"/>
                <w:lang w:val="en-US"/>
              </w:rPr>
              <w:br/>
              <w:t>&gt; Hormone therapy: 78 (48.8%)</w:t>
            </w:r>
            <w:r w:rsidRPr="0066602A">
              <w:rPr>
                <w:rFonts w:cstheme="minorHAnsi"/>
                <w:sz w:val="20"/>
                <w:szCs w:val="20"/>
                <w:lang w:val="en-US"/>
              </w:rPr>
              <w:br/>
              <w:t>&gt; Radiation boost: 119 (74.4%)</w:t>
            </w:r>
            <w:r w:rsidRPr="0066602A">
              <w:rPr>
                <w:rFonts w:cstheme="minorHAnsi"/>
                <w:sz w:val="20"/>
                <w:szCs w:val="20"/>
                <w:lang w:val="en-US"/>
              </w:rPr>
              <w:br/>
              <w:t>&gt; Psychopharmaceuticals: 19 (11.9%)</w:t>
            </w:r>
          </w:p>
        </w:tc>
        <w:tc>
          <w:tcPr>
            <w:tcW w:w="1809" w:type="pct"/>
          </w:tcPr>
          <w:p w14:paraId="7F26DE5A" w14:textId="55B79129"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Baseline</w:t>
            </w:r>
            <w:r w:rsidRPr="0066602A">
              <w:rPr>
                <w:rFonts w:cstheme="minorHAnsi"/>
                <w:sz w:val="20"/>
                <w:szCs w:val="20"/>
                <w:lang w:val="en-US"/>
              </w:rPr>
              <w:br/>
              <w:t xml:space="preserve">&gt; Patients reported more severe sleep problems than healthy women, especially patients who received chemotherapy before the </w:t>
            </w:r>
            <w:r w:rsidR="00480763" w:rsidRPr="0066602A">
              <w:rPr>
                <w:rFonts w:cstheme="minorHAnsi"/>
                <w:sz w:val="20"/>
                <w:szCs w:val="20"/>
                <w:lang w:val="en-US"/>
              </w:rPr>
              <w:t xml:space="preserve">radiation </w:t>
            </w:r>
            <w:r w:rsidRPr="0066602A">
              <w:rPr>
                <w:rFonts w:cstheme="minorHAnsi"/>
                <w:sz w:val="20"/>
                <w:szCs w:val="20"/>
                <w:lang w:val="en-US"/>
              </w:rPr>
              <w:t>therapy.</w:t>
            </w:r>
            <w:r w:rsidRPr="0066602A">
              <w:rPr>
                <w:rFonts w:cstheme="minorHAnsi"/>
                <w:sz w:val="20"/>
                <w:szCs w:val="20"/>
                <w:lang w:val="en-US"/>
              </w:rPr>
              <w:br/>
              <w:t>&gt; Previous chemotherapy was significantly associated with higher levels of sleep problems at baseline.</w:t>
            </w:r>
            <w:r w:rsidRPr="0066602A">
              <w:rPr>
                <w:rFonts w:cstheme="minorHAnsi"/>
                <w:sz w:val="20"/>
                <w:szCs w:val="20"/>
                <w:lang w:val="en-US"/>
              </w:rPr>
              <w:br/>
              <w:t>&gt; Further determinants for sleep problems were depressive symptoms, higher BMI, previous hysterectomy, degenerative diseases, and thyroid disorders. Higher prevalence's of sleep problems were also observed among patients with several treatment-related symptoms, such as higher levels of hot flashes, greater pain, problems with the operated breast or arm, and dyspnea. (But only hot flashes reached statistical significance (p=0.05). Physical fatigue showed a significant association with sleep problems (p=0.003). However, adding this variable to the models did not change the previous results markedly.</w:t>
            </w:r>
            <w:r w:rsidRPr="0066602A">
              <w:rPr>
                <w:rFonts w:cstheme="minorHAnsi"/>
                <w:sz w:val="20"/>
                <w:szCs w:val="20"/>
                <w:lang w:val="en-US"/>
              </w:rPr>
              <w:br/>
              <w:t>Impact of time and exercise intervention</w:t>
            </w:r>
            <w:r w:rsidRPr="0066602A">
              <w:rPr>
                <w:rFonts w:cstheme="minorHAnsi"/>
                <w:sz w:val="20"/>
                <w:szCs w:val="20"/>
                <w:lang w:val="en-US"/>
              </w:rPr>
              <w:br/>
              <w:t>&gt; Among relaxation controls, mean levels of sleep problems slightly increased from pre- to post-</w:t>
            </w:r>
            <w:r w:rsidR="00480763" w:rsidRPr="0066602A">
              <w:rPr>
                <w:rFonts w:cstheme="minorHAnsi"/>
                <w:sz w:val="20"/>
                <w:szCs w:val="20"/>
                <w:lang w:val="en-US"/>
              </w:rPr>
              <w:t xml:space="preserve">radiation </w:t>
            </w:r>
            <w:r w:rsidRPr="0066602A">
              <w:rPr>
                <w:rFonts w:cstheme="minorHAnsi"/>
                <w:sz w:val="20"/>
                <w:szCs w:val="20"/>
                <w:lang w:val="en-US"/>
              </w:rPr>
              <w:t>therapy, remained at an increased level for about 3 months and fell back to baseline levels about 6 months post-</w:t>
            </w:r>
            <w:r w:rsidR="00480763" w:rsidRPr="0066602A">
              <w:rPr>
                <w:rFonts w:cstheme="minorHAnsi"/>
                <w:sz w:val="20"/>
                <w:szCs w:val="20"/>
                <w:lang w:val="en-US"/>
              </w:rPr>
              <w:t xml:space="preserve">radiation </w:t>
            </w:r>
            <w:r w:rsidRPr="0066602A">
              <w:rPr>
                <w:rFonts w:cstheme="minorHAnsi"/>
                <w:sz w:val="20"/>
                <w:szCs w:val="20"/>
                <w:lang w:val="en-US"/>
              </w:rPr>
              <w:t>therapy.</w:t>
            </w:r>
            <w:r w:rsidRPr="0066602A">
              <w:rPr>
                <w:rFonts w:cstheme="minorHAnsi"/>
                <w:sz w:val="20"/>
                <w:szCs w:val="20"/>
                <w:lang w:val="en-US"/>
              </w:rPr>
              <w:br/>
              <w:t>&gt; Among exercisers, the mean levels of sleep problems slightly decreased during the exercise intervention period and returned back to the baseline level two months post-intervention.</w:t>
            </w:r>
            <w:r w:rsidRPr="0066602A">
              <w:rPr>
                <w:rFonts w:cstheme="minorHAnsi"/>
                <w:sz w:val="20"/>
                <w:szCs w:val="20"/>
                <w:lang w:val="en-US"/>
              </w:rPr>
              <w:br/>
              <w:t xml:space="preserve">&gt; In parallel to the relaxation control group, sleep problems </w:t>
            </w:r>
            <w:r w:rsidRPr="0066602A">
              <w:rPr>
                <w:rFonts w:cstheme="minorHAnsi"/>
                <w:sz w:val="20"/>
                <w:szCs w:val="20"/>
                <w:lang w:val="en-US"/>
              </w:rPr>
              <w:lastRenderedPageBreak/>
              <w:t>decreased about half a year post-</w:t>
            </w:r>
            <w:r w:rsidR="00480763" w:rsidRPr="0066602A">
              <w:rPr>
                <w:rFonts w:cstheme="minorHAnsi"/>
                <w:sz w:val="20"/>
                <w:szCs w:val="20"/>
                <w:lang w:val="en-US"/>
              </w:rPr>
              <w:t xml:space="preserve">radiation </w:t>
            </w:r>
            <w:r w:rsidRPr="0066602A">
              <w:rPr>
                <w:rFonts w:cstheme="minorHAnsi"/>
                <w:sz w:val="20"/>
                <w:szCs w:val="20"/>
                <w:lang w:val="en-US"/>
              </w:rPr>
              <w:t>therapy. The course of sleep problems in exercising women during the training phase was similar in BC patients and in healthy exercisers, yet, patients experienced significantly higher levels of sleep problems at all times.</w:t>
            </w:r>
            <w:r w:rsidRPr="0066602A">
              <w:rPr>
                <w:rFonts w:cstheme="minorHAnsi"/>
                <w:sz w:val="20"/>
                <w:szCs w:val="20"/>
                <w:lang w:val="en-US"/>
              </w:rPr>
              <w:br/>
              <w:t xml:space="preserve">&gt; Multiple regression analyses revealed significant exercise intervention effects regarding the changes in sleep problems from baseline to the end of </w:t>
            </w:r>
            <w:r w:rsidR="00480763" w:rsidRPr="0066602A">
              <w:rPr>
                <w:rFonts w:cstheme="minorHAnsi"/>
                <w:sz w:val="20"/>
                <w:szCs w:val="20"/>
                <w:lang w:val="en-US"/>
              </w:rPr>
              <w:t xml:space="preserve">radiation </w:t>
            </w:r>
            <w:r w:rsidRPr="0066602A">
              <w:rPr>
                <w:rFonts w:cstheme="minorHAnsi"/>
                <w:sz w:val="20"/>
                <w:szCs w:val="20"/>
                <w:lang w:val="en-US"/>
              </w:rPr>
              <w:t>therapy (p=0.03) and to the end of intervention (p=0.005) with increased levels in the relaxation control group but no significant change among the exercise group.</w:t>
            </w:r>
            <w:r w:rsidRPr="0066602A">
              <w:rPr>
                <w:rFonts w:cstheme="minorHAnsi"/>
                <w:sz w:val="20"/>
                <w:szCs w:val="20"/>
                <w:lang w:val="en-US"/>
              </w:rPr>
              <w:br/>
              <w:t>&gt; Differences between the intervention groups were still observed until 12 months after the end of the intervention period, although they were no longer statistically significant.</w:t>
            </w:r>
            <w:r w:rsidRPr="0066602A">
              <w:rPr>
                <w:rFonts w:cstheme="minorHAnsi"/>
                <w:sz w:val="20"/>
                <w:szCs w:val="20"/>
                <w:lang w:val="en-US"/>
              </w:rPr>
              <w:br/>
              <w:t>&gt; Significant or borderline significant (p&lt;0.07) exercise intervention effect was seen on general pain, problems with the affected breast, BMI, and on various muscle strength measures.</w:t>
            </w:r>
            <w:r w:rsidRPr="0066602A">
              <w:rPr>
                <w:rFonts w:cstheme="minorHAnsi"/>
                <w:sz w:val="20"/>
                <w:szCs w:val="20"/>
                <w:lang w:val="en-US"/>
              </w:rPr>
              <w:br/>
              <w:t>&gt; Only breast problems and isometric strength in knee extension tended to some mediation effects (p=0.11 and 0.14, respectively) with significant a-paths (p=0.002 and 0.01, respectively) and a slight decrease of the exercise</w:t>
            </w:r>
            <w:r w:rsidRPr="0066602A">
              <w:rPr>
                <w:rFonts w:cstheme="minorHAnsi"/>
                <w:sz w:val="20"/>
                <w:szCs w:val="20"/>
                <w:lang w:val="en-US"/>
              </w:rPr>
              <w:br/>
              <w:t>effect on change in sleep problems (from p=0.03 to 0.08 and to 0.12, respectively).</w:t>
            </w:r>
            <w:r w:rsidRPr="0066602A">
              <w:rPr>
                <w:rFonts w:cstheme="minorHAnsi"/>
                <w:sz w:val="20"/>
                <w:szCs w:val="20"/>
                <w:lang w:val="en-US"/>
              </w:rPr>
              <w:br/>
              <w:t>Sleep characteristics</w:t>
            </w:r>
            <w:r w:rsidRPr="0066602A">
              <w:rPr>
                <w:rFonts w:cstheme="minorHAnsi"/>
                <w:sz w:val="20"/>
                <w:szCs w:val="20"/>
                <w:lang w:val="en-US"/>
              </w:rPr>
              <w:br/>
              <w:t>&gt; Patients on average slept 6.6 h during the night without significant differences between both intervention groups and without significant changes over time.</w:t>
            </w:r>
            <w:r w:rsidRPr="0066602A">
              <w:rPr>
                <w:rFonts w:cstheme="minorHAnsi"/>
                <w:sz w:val="20"/>
                <w:szCs w:val="20"/>
                <w:lang w:val="en-US"/>
              </w:rPr>
              <w:br/>
              <w:t xml:space="preserve">&gt; Patients’ sleep duration did also not differ significantly from healthy participants. </w:t>
            </w:r>
            <w:r w:rsidRPr="0066602A">
              <w:rPr>
                <w:rFonts w:cstheme="minorHAnsi"/>
                <w:sz w:val="20"/>
                <w:szCs w:val="20"/>
                <w:lang w:val="en-US"/>
              </w:rPr>
              <w:br/>
              <w:t xml:space="preserve">&gt; The number of awakenings during night was slightly higher in the relaxation control group than in the exercise group, and both higher than in healthy women. Yet, the </w:t>
            </w:r>
            <w:r w:rsidRPr="0066602A">
              <w:rPr>
                <w:rFonts w:cstheme="minorHAnsi"/>
                <w:sz w:val="20"/>
                <w:szCs w:val="20"/>
                <w:lang w:val="en-US"/>
              </w:rPr>
              <w:lastRenderedPageBreak/>
              <w:t xml:space="preserve">number of awakenings did not change significantly over time. </w:t>
            </w:r>
            <w:r w:rsidRPr="0066602A">
              <w:rPr>
                <w:rFonts w:cstheme="minorHAnsi"/>
                <w:sz w:val="20"/>
                <w:szCs w:val="20"/>
                <w:lang w:val="en-US"/>
              </w:rPr>
              <w:br/>
              <w:t xml:space="preserve">&gt; The median time of napping during the day among patients was 30 min at the end of </w:t>
            </w:r>
            <w:r w:rsidR="00480763" w:rsidRPr="0066602A">
              <w:rPr>
                <w:rFonts w:cstheme="minorHAnsi"/>
                <w:sz w:val="20"/>
                <w:szCs w:val="20"/>
                <w:lang w:val="en-US"/>
              </w:rPr>
              <w:t xml:space="preserve">radiation </w:t>
            </w:r>
            <w:r w:rsidRPr="0066602A">
              <w:rPr>
                <w:rFonts w:cstheme="minorHAnsi"/>
                <w:sz w:val="20"/>
                <w:szCs w:val="20"/>
                <w:lang w:val="en-US"/>
              </w:rPr>
              <w:t xml:space="preserve">therapy and decreased significantly to 0–15 min at the end of the intervention period. </w:t>
            </w:r>
            <w:r w:rsidRPr="0066602A">
              <w:rPr>
                <w:rFonts w:cstheme="minorHAnsi"/>
                <w:sz w:val="20"/>
                <w:szCs w:val="20"/>
                <w:lang w:val="en-US"/>
              </w:rPr>
              <w:br/>
              <w:t xml:space="preserve">&gt; </w:t>
            </w:r>
            <w:proofErr w:type="gramStart"/>
            <w:r w:rsidRPr="0066602A">
              <w:rPr>
                <w:rFonts w:cstheme="minorHAnsi"/>
                <w:sz w:val="20"/>
                <w:szCs w:val="20"/>
                <w:lang w:val="en-US"/>
              </w:rPr>
              <w:t>The majority of</w:t>
            </w:r>
            <w:proofErr w:type="gramEnd"/>
            <w:r w:rsidRPr="0066602A">
              <w:rPr>
                <w:rFonts w:cstheme="minorHAnsi"/>
                <w:sz w:val="20"/>
                <w:szCs w:val="20"/>
                <w:lang w:val="en-US"/>
              </w:rPr>
              <w:t xml:space="preserve"> healthy women did not take a nap at all. </w:t>
            </w:r>
            <w:r w:rsidRPr="0066602A">
              <w:rPr>
                <w:rFonts w:cstheme="minorHAnsi"/>
                <w:sz w:val="20"/>
                <w:szCs w:val="20"/>
                <w:lang w:val="en-US"/>
              </w:rPr>
              <w:br/>
              <w:t xml:space="preserve">&gt; At baseline, about 40% of patients could not fall asleep within 30 min at 3 or more days per week compared to 24% of healthy women. At the end of </w:t>
            </w:r>
            <w:r w:rsidR="00480763" w:rsidRPr="0066602A">
              <w:rPr>
                <w:rFonts w:cstheme="minorHAnsi"/>
                <w:sz w:val="20"/>
                <w:szCs w:val="20"/>
                <w:lang w:val="en-US"/>
              </w:rPr>
              <w:t xml:space="preserve">radiation </w:t>
            </w:r>
            <w:r w:rsidRPr="0066602A">
              <w:rPr>
                <w:rFonts w:cstheme="minorHAnsi"/>
                <w:sz w:val="20"/>
                <w:szCs w:val="20"/>
                <w:lang w:val="en-US"/>
              </w:rPr>
              <w:t>therapy, these problems remained at a similar level among relaxation</w:t>
            </w:r>
            <w:r w:rsidRPr="0066602A">
              <w:rPr>
                <w:rFonts w:cstheme="minorHAnsi"/>
                <w:sz w:val="20"/>
                <w:szCs w:val="20"/>
                <w:lang w:val="en-US"/>
              </w:rPr>
              <w:br/>
              <w:t>controls, whereas there was a slight improvement in exercisers. About 39% of patients had trouble staying asleep at 3 or more nights during the week compared to only 8% among healthy women. About 27% of patients</w:t>
            </w:r>
            <w:r w:rsidRPr="0066602A">
              <w:rPr>
                <w:rFonts w:cstheme="minorHAnsi"/>
                <w:sz w:val="20"/>
                <w:szCs w:val="20"/>
                <w:lang w:val="en-US"/>
              </w:rPr>
              <w:br/>
              <w:t>woke up too early at 3 or more days per week compared to 4% of healthy women.</w:t>
            </w:r>
            <w:r w:rsidRPr="0066602A">
              <w:rPr>
                <w:rFonts w:cstheme="minorHAnsi"/>
                <w:sz w:val="20"/>
                <w:szCs w:val="20"/>
                <w:lang w:val="en-US"/>
              </w:rPr>
              <w:br/>
              <w:t xml:space="preserve">&gt; Change in the frequency per week having trouble staying asleep (p&lt;.0001) and change in the number of awakenings per night (p=0.01) were significantly associated with change in the global sleep problem variable. </w:t>
            </w:r>
            <w:r w:rsidRPr="0066602A">
              <w:rPr>
                <w:rFonts w:cstheme="minorHAnsi"/>
                <w:sz w:val="20"/>
                <w:szCs w:val="20"/>
                <w:lang w:val="en-US"/>
              </w:rPr>
              <w:br/>
              <w:t xml:space="preserve">&gt; The effect </w:t>
            </w:r>
            <w:proofErr w:type="gramStart"/>
            <w:r w:rsidRPr="0066602A">
              <w:rPr>
                <w:rFonts w:cstheme="minorHAnsi"/>
                <w:sz w:val="20"/>
                <w:szCs w:val="20"/>
                <w:lang w:val="en-US"/>
              </w:rPr>
              <w:t>estimate</w:t>
            </w:r>
            <w:proofErr w:type="gramEnd"/>
            <w:r w:rsidRPr="0066602A">
              <w:rPr>
                <w:rFonts w:cstheme="minorHAnsi"/>
                <w:sz w:val="20"/>
                <w:szCs w:val="20"/>
                <w:lang w:val="en-US"/>
              </w:rPr>
              <w:t xml:space="preserve"> for the exercise group improved (p=0.003 vs. p=0.03). However, there was no significant intervention effect on any of those sleep characteristics and no significant mediation according to the method of MacKinnon. Thus, the exercise effect on sleep problems could not be explained by those single specific sleep issues.</w:t>
            </w:r>
          </w:p>
        </w:tc>
      </w:tr>
      <w:tr w:rsidR="009A7DFD" w:rsidRPr="0066602A" w14:paraId="0CB99540"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CEB3482"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lastRenderedPageBreak/>
              <w:t>Sun, 2011</w:t>
            </w:r>
          </w:p>
          <w:p w14:paraId="364A12A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Taiwan</w:t>
            </w:r>
          </w:p>
          <w:p w14:paraId="52B97531"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Cross-sectional research study, 14.10 </w:t>
            </w:r>
            <w:r w:rsidRPr="0066602A">
              <w:rPr>
                <w:rFonts w:cstheme="minorHAnsi"/>
                <w:sz w:val="20"/>
                <w:szCs w:val="20"/>
                <w:lang w:val="en-US"/>
              </w:rPr>
              <w:lastRenderedPageBreak/>
              <w:t>(average) follow-up</w:t>
            </w:r>
          </w:p>
        </w:tc>
        <w:tc>
          <w:tcPr>
            <w:tcW w:w="498" w:type="pct"/>
          </w:tcPr>
          <w:p w14:paraId="2FD1B65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195</w:t>
            </w:r>
          </w:p>
        </w:tc>
        <w:tc>
          <w:tcPr>
            <w:tcW w:w="451" w:type="pct"/>
          </w:tcPr>
          <w:p w14:paraId="1B4BE8E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- 56.74</w:t>
            </w:r>
          </w:p>
        </w:tc>
        <w:tc>
          <w:tcPr>
            <w:tcW w:w="740" w:type="pct"/>
          </w:tcPr>
          <w:p w14:paraId="4A33284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Gynecologic (10.3%), Lung (5.1%), GI (19.0%), Neurologic (1.0%), Head and neck (19.5%), Genitourinary (9.2%), Hematologic (1.0%), </w:t>
            </w:r>
            <w:r w:rsidRPr="0066602A">
              <w:rPr>
                <w:rFonts w:cstheme="minorHAnsi"/>
                <w:sz w:val="20"/>
                <w:szCs w:val="20"/>
                <w:lang w:val="en-US"/>
              </w:rPr>
              <w:lastRenderedPageBreak/>
              <w:t>Dermatologic (1.5%), Other (1.5%)</w:t>
            </w:r>
          </w:p>
        </w:tc>
        <w:tc>
          <w:tcPr>
            <w:tcW w:w="1044" w:type="pct"/>
          </w:tcPr>
          <w:p w14:paraId="279D32BE" w14:textId="0FEA079A"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Chemotherapy: 28 (14.4%)</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47 (24.1%)</w:t>
            </w:r>
            <w:r w:rsidRPr="0066602A">
              <w:rPr>
                <w:rFonts w:cstheme="minorHAnsi"/>
                <w:sz w:val="20"/>
                <w:szCs w:val="20"/>
                <w:lang w:val="en-US"/>
              </w:rPr>
              <w:br/>
              <w:t xml:space="preserve">Chemotherapy + </w:t>
            </w:r>
            <w:r w:rsidR="00480763" w:rsidRPr="0066602A">
              <w:rPr>
                <w:rFonts w:cstheme="minorHAnsi"/>
                <w:sz w:val="20"/>
                <w:szCs w:val="20"/>
                <w:lang w:val="en-US"/>
              </w:rPr>
              <w:t xml:space="preserve">radiation </w:t>
            </w:r>
            <w:r w:rsidRPr="0066602A">
              <w:rPr>
                <w:rFonts w:cstheme="minorHAnsi"/>
                <w:sz w:val="20"/>
                <w:szCs w:val="20"/>
                <w:lang w:val="en-US"/>
              </w:rPr>
              <w:t>therapy: 37 (19.0%)</w:t>
            </w:r>
            <w:r w:rsidRPr="0066602A">
              <w:rPr>
                <w:rFonts w:cstheme="minorHAnsi"/>
                <w:sz w:val="20"/>
                <w:szCs w:val="20"/>
                <w:lang w:val="en-US"/>
              </w:rPr>
              <w:br/>
              <w:t>No therapy, only follow-up: 68 (34.9%)</w:t>
            </w:r>
            <w:r w:rsidRPr="0066602A">
              <w:rPr>
                <w:rFonts w:cstheme="minorHAnsi"/>
                <w:sz w:val="20"/>
                <w:szCs w:val="20"/>
                <w:lang w:val="en-US"/>
              </w:rPr>
              <w:br/>
              <w:t>Other: 15 (7.7%)</w:t>
            </w:r>
          </w:p>
        </w:tc>
        <w:tc>
          <w:tcPr>
            <w:tcW w:w="1809" w:type="pct"/>
          </w:tcPr>
          <w:p w14:paraId="54B05BAB" w14:textId="353F01A9"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&gt; The AIS-T score had statistical significance on fatigue severity, fatigue interference, and average fatigue score as r=0.47, r=0.55, r=0.56, all P&lt;0.001, respectively. AIS-T severity score was negatively correlated with the physical and mental constructs measured by the SF-36-T.</w:t>
            </w:r>
            <w:r w:rsidRPr="0066602A">
              <w:rPr>
                <w:rFonts w:cstheme="minorHAnsi"/>
                <w:sz w:val="20"/>
                <w:szCs w:val="20"/>
                <w:lang w:val="en-US"/>
              </w:rPr>
              <w:br/>
              <w:t>&gt; The AIS-T scores were 1.64±1.84 for those with high sleep quality and 8.20±4.84 for those with low sleep quality.</w:t>
            </w:r>
            <w:r w:rsidRPr="0066602A">
              <w:rPr>
                <w:rFonts w:cstheme="minorHAnsi"/>
                <w:sz w:val="20"/>
                <w:szCs w:val="20"/>
                <w:lang w:val="en-US"/>
              </w:rPr>
              <w:br/>
            </w:r>
            <w:r w:rsidRPr="0066602A">
              <w:rPr>
                <w:rFonts w:cstheme="minorHAnsi"/>
                <w:sz w:val="20"/>
                <w:szCs w:val="20"/>
                <w:lang w:val="en-US"/>
              </w:rPr>
              <w:lastRenderedPageBreak/>
              <w:t>&gt; The patients’ average score was 6.12±5.14 evaluated by the AIS</w:t>
            </w:r>
            <w:r w:rsidR="00891DBA" w:rsidRPr="0066602A">
              <w:rPr>
                <w:rFonts w:cstheme="minorHAnsi"/>
                <w:sz w:val="20"/>
                <w:szCs w:val="20"/>
                <w:lang w:val="en-US"/>
              </w:rPr>
              <w:noBreakHyphen/>
            </w:r>
            <w:r w:rsidRPr="0066602A">
              <w:rPr>
                <w:rFonts w:cstheme="minorHAnsi"/>
                <w:sz w:val="20"/>
                <w:szCs w:val="20"/>
                <w:lang w:val="en-US"/>
              </w:rPr>
              <w:t>T. It indicated that more than 40% of cancer patients experienced insomnia, but the severity was not great.</w:t>
            </w:r>
            <w:r w:rsidRPr="0066602A">
              <w:rPr>
                <w:rFonts w:cstheme="minorHAnsi"/>
                <w:sz w:val="20"/>
                <w:szCs w:val="20"/>
                <w:lang w:val="en-US"/>
              </w:rPr>
              <w:br/>
              <w:t xml:space="preserve">&gt; Sleep induction showed the highest score of all items. This was also evident in the </w:t>
            </w:r>
            <w:proofErr w:type="spellStart"/>
            <w:r w:rsidRPr="0066602A">
              <w:rPr>
                <w:rFonts w:cstheme="minorHAnsi"/>
                <w:sz w:val="20"/>
                <w:szCs w:val="20"/>
                <w:lang w:val="en-US"/>
              </w:rPr>
              <w:t>Actiwatch</w:t>
            </w:r>
            <w:proofErr w:type="spellEnd"/>
            <w:r w:rsidRPr="0066602A">
              <w:rPr>
                <w:rFonts w:cstheme="minorHAnsi"/>
                <w:sz w:val="20"/>
                <w:szCs w:val="20"/>
                <w:lang w:val="en-US"/>
              </w:rPr>
              <w:t xml:space="preserve"> data where the SOL was 29.00±33.39 minutes.</w:t>
            </w:r>
          </w:p>
        </w:tc>
      </w:tr>
      <w:tr w:rsidR="009A7DFD" w:rsidRPr="0066602A" w14:paraId="67E942C2"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69F81D4" w14:textId="77777777" w:rsidR="009A7DFD" w:rsidRPr="0066602A" w:rsidRDefault="009A7DFD" w:rsidP="001E304D">
            <w:pPr>
              <w:pStyle w:val="Table-Normal"/>
              <w:rPr>
                <w:rFonts w:cstheme="minorHAnsi"/>
                <w:bCs/>
                <w:sz w:val="20"/>
                <w:szCs w:val="20"/>
                <w:lang w:val="en-US"/>
              </w:rPr>
            </w:pPr>
            <w:proofErr w:type="spellStart"/>
            <w:r w:rsidRPr="0066602A">
              <w:rPr>
                <w:rFonts w:cstheme="minorHAnsi"/>
                <w:sz w:val="20"/>
                <w:szCs w:val="20"/>
                <w:lang w:val="en-US"/>
              </w:rPr>
              <w:lastRenderedPageBreak/>
              <w:t>Teke</w:t>
            </w:r>
            <w:proofErr w:type="spellEnd"/>
            <w:r w:rsidRPr="0066602A">
              <w:rPr>
                <w:rFonts w:cstheme="minorHAnsi"/>
                <w:sz w:val="20"/>
                <w:szCs w:val="20"/>
                <w:lang w:val="en-US"/>
              </w:rPr>
              <w:t>, 2016</w:t>
            </w:r>
          </w:p>
          <w:p w14:paraId="70448A17"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Turkey</w:t>
            </w:r>
          </w:p>
          <w:p w14:paraId="107279A9"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Prospective study, November </w:t>
            </w:r>
            <w:proofErr w:type="gramStart"/>
            <w:r w:rsidRPr="0066602A">
              <w:rPr>
                <w:rFonts w:cstheme="minorHAnsi"/>
                <w:sz w:val="20"/>
                <w:szCs w:val="20"/>
                <w:lang w:val="en-US"/>
              </w:rPr>
              <w:t>2013</w:t>
            </w:r>
            <w:proofErr w:type="gramEnd"/>
            <w:r w:rsidRPr="0066602A">
              <w:rPr>
                <w:rFonts w:cstheme="minorHAnsi"/>
                <w:sz w:val="20"/>
                <w:szCs w:val="20"/>
                <w:lang w:val="en-US"/>
              </w:rPr>
              <w:t xml:space="preserve"> and March 2015</w:t>
            </w:r>
          </w:p>
        </w:tc>
        <w:tc>
          <w:tcPr>
            <w:tcW w:w="498" w:type="pct"/>
          </w:tcPr>
          <w:p w14:paraId="12B2120D"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33</w:t>
            </w:r>
          </w:p>
        </w:tc>
        <w:tc>
          <w:tcPr>
            <w:tcW w:w="451" w:type="pct"/>
          </w:tcPr>
          <w:p w14:paraId="546B456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- 56.74</w:t>
            </w:r>
          </w:p>
        </w:tc>
        <w:tc>
          <w:tcPr>
            <w:tcW w:w="740" w:type="pct"/>
          </w:tcPr>
          <w:p w14:paraId="3252619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Breast (n=9)</w:t>
            </w:r>
            <w:r w:rsidRPr="0066602A">
              <w:rPr>
                <w:rFonts w:cstheme="minorHAnsi"/>
                <w:sz w:val="20"/>
                <w:szCs w:val="20"/>
                <w:lang w:val="en-US"/>
              </w:rPr>
              <w:br/>
              <w:t>Gastric (n=1)</w:t>
            </w:r>
            <w:r w:rsidRPr="0066602A">
              <w:rPr>
                <w:rFonts w:cstheme="minorHAnsi"/>
                <w:sz w:val="20"/>
                <w:szCs w:val="20"/>
                <w:lang w:val="en-US"/>
              </w:rPr>
              <w:br/>
              <w:t>Kidney (n=1)</w:t>
            </w:r>
            <w:r w:rsidRPr="0066602A">
              <w:rPr>
                <w:rFonts w:cstheme="minorHAnsi"/>
                <w:sz w:val="20"/>
                <w:szCs w:val="20"/>
                <w:lang w:val="en-US"/>
              </w:rPr>
              <w:br/>
              <w:t>Lung (n=20)</w:t>
            </w:r>
            <w:r w:rsidRPr="0066602A">
              <w:rPr>
                <w:rFonts w:cstheme="minorHAnsi"/>
                <w:sz w:val="20"/>
                <w:szCs w:val="20"/>
                <w:lang w:val="en-US"/>
              </w:rPr>
              <w:br/>
              <w:t>Ovarian (n=1)</w:t>
            </w:r>
            <w:r w:rsidRPr="0066602A">
              <w:rPr>
                <w:rFonts w:cstheme="minorHAnsi"/>
                <w:sz w:val="20"/>
                <w:szCs w:val="20"/>
                <w:lang w:val="en-US"/>
              </w:rPr>
              <w:br/>
              <w:t>Prostate (n=1)</w:t>
            </w:r>
          </w:p>
        </w:tc>
        <w:tc>
          <w:tcPr>
            <w:tcW w:w="1044" w:type="pct"/>
          </w:tcPr>
          <w:p w14:paraId="1D771AF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whole brain radiation therapy (WBRT)</w:t>
            </w:r>
            <w:r w:rsidRPr="0066602A">
              <w:rPr>
                <w:rFonts w:cstheme="minorHAnsi"/>
                <w:sz w:val="20"/>
                <w:szCs w:val="20"/>
                <w:lang w:val="en-US"/>
              </w:rPr>
              <w:br/>
              <w:t>dexamethasone</w:t>
            </w:r>
          </w:p>
        </w:tc>
        <w:tc>
          <w:tcPr>
            <w:tcW w:w="1809" w:type="pct"/>
          </w:tcPr>
          <w:p w14:paraId="7D52ADF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When comparing good and poor sleepers, their bodily pain, general health perceptions, </w:t>
            </w:r>
            <w:proofErr w:type="spellStart"/>
            <w:r w:rsidRPr="0066602A">
              <w:rPr>
                <w:rFonts w:cstheme="minorHAnsi"/>
                <w:sz w:val="20"/>
                <w:szCs w:val="20"/>
                <w:lang w:val="en-US"/>
              </w:rPr>
              <w:t>kamofsky</w:t>
            </w:r>
            <w:proofErr w:type="spellEnd"/>
            <w:r w:rsidRPr="0066602A">
              <w:rPr>
                <w:rFonts w:cstheme="minorHAnsi"/>
                <w:sz w:val="20"/>
                <w:szCs w:val="20"/>
                <w:lang w:val="en-US"/>
              </w:rPr>
              <w:t xml:space="preserve"> performance status, physical role functioning, and vitality scores before WBRT and their </w:t>
            </w:r>
            <w:proofErr w:type="spellStart"/>
            <w:r w:rsidRPr="0066602A">
              <w:rPr>
                <w:rFonts w:cstheme="minorHAnsi"/>
                <w:sz w:val="20"/>
                <w:szCs w:val="20"/>
                <w:lang w:val="en-US"/>
              </w:rPr>
              <w:t>kamofsky</w:t>
            </w:r>
            <w:proofErr w:type="spellEnd"/>
            <w:r w:rsidRPr="0066602A">
              <w:rPr>
                <w:rFonts w:cstheme="minorHAnsi"/>
                <w:sz w:val="20"/>
                <w:szCs w:val="20"/>
                <w:lang w:val="en-US"/>
              </w:rPr>
              <w:t xml:space="preserve"> performance status, mental health, physical role functioning, and social role functioning scores revealed significant differences.</w:t>
            </w:r>
          </w:p>
        </w:tc>
      </w:tr>
      <w:tr w:rsidR="009A7DFD" w:rsidRPr="0066602A" w14:paraId="267C921A"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AB2FEE4"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Zhou, 2020</w:t>
            </w:r>
          </w:p>
          <w:p w14:paraId="3FE958AE"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75FBDBC2"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NR, </w:t>
            </w:r>
            <w:proofErr w:type="gramStart"/>
            <w:r w:rsidRPr="0066602A">
              <w:rPr>
                <w:rFonts w:cstheme="minorHAnsi"/>
                <w:sz w:val="20"/>
                <w:szCs w:val="20"/>
                <w:lang w:val="en-US"/>
              </w:rPr>
              <w:t>2 month</w:t>
            </w:r>
            <w:proofErr w:type="gramEnd"/>
            <w:r w:rsidRPr="0066602A">
              <w:rPr>
                <w:rFonts w:cstheme="minorHAnsi"/>
                <w:sz w:val="20"/>
                <w:szCs w:val="20"/>
                <w:lang w:val="en-US"/>
              </w:rPr>
              <w:t xml:space="preserve"> follow-up</w:t>
            </w:r>
          </w:p>
        </w:tc>
        <w:tc>
          <w:tcPr>
            <w:tcW w:w="498" w:type="pct"/>
          </w:tcPr>
          <w:p w14:paraId="5A2A856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22</w:t>
            </w:r>
          </w:p>
        </w:tc>
        <w:tc>
          <w:tcPr>
            <w:tcW w:w="451" w:type="pct"/>
          </w:tcPr>
          <w:p w14:paraId="2C4DB2C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- 55%</w:t>
            </w:r>
            <w:r w:rsidRPr="0066602A">
              <w:rPr>
                <w:rFonts w:cstheme="minorHAnsi"/>
                <w:color w:val="4E5053"/>
                <w:sz w:val="20"/>
                <w:szCs w:val="20"/>
                <w:lang w:val="en-US"/>
              </w:rPr>
              <w:br/>
              <w:t>Female - 45%</w:t>
            </w:r>
            <w:r w:rsidRPr="0066602A">
              <w:rPr>
                <w:rFonts w:cstheme="minorHAnsi"/>
                <w:color w:val="4E5053"/>
                <w:sz w:val="20"/>
                <w:szCs w:val="20"/>
                <w:lang w:val="en-US"/>
              </w:rPr>
              <w:br/>
              <w:t>Mean - 20.4</w:t>
            </w:r>
          </w:p>
        </w:tc>
        <w:tc>
          <w:tcPr>
            <w:tcW w:w="740" w:type="pct"/>
          </w:tcPr>
          <w:p w14:paraId="3BD0C37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Blood cancer: (54.5%)</w:t>
            </w:r>
            <w:r w:rsidRPr="0066602A">
              <w:rPr>
                <w:rFonts w:cstheme="minorHAnsi"/>
                <w:sz w:val="20"/>
                <w:szCs w:val="20"/>
                <w:lang w:val="en-US"/>
              </w:rPr>
              <w:br/>
              <w:t>Solid Tumor: (45.5%)</w:t>
            </w:r>
          </w:p>
        </w:tc>
        <w:tc>
          <w:tcPr>
            <w:tcW w:w="1044" w:type="pct"/>
          </w:tcPr>
          <w:p w14:paraId="52E70B56" w14:textId="47BE71D1"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No current therapy</w:t>
            </w:r>
            <w:r w:rsidRPr="0066602A">
              <w:rPr>
                <w:rFonts w:cstheme="minorHAnsi"/>
                <w:sz w:val="20"/>
                <w:szCs w:val="20"/>
                <w:lang w:val="en-US"/>
              </w:rPr>
              <w:br/>
            </w:r>
            <w:r w:rsidRPr="0066602A">
              <w:rPr>
                <w:rFonts w:cstheme="minorHAnsi"/>
                <w:sz w:val="20"/>
                <w:szCs w:val="20"/>
                <w:lang w:val="en-US"/>
              </w:rPr>
              <w:br/>
              <w:t>Previous therapy;</w:t>
            </w:r>
            <w:r w:rsidRPr="0066602A">
              <w:rPr>
                <w:rFonts w:cstheme="minorHAnsi"/>
                <w:sz w:val="20"/>
                <w:szCs w:val="20"/>
                <w:lang w:val="en-US"/>
              </w:rPr>
              <w:br/>
              <w:t>Chemotherapy: 22 (100%)</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11 (50%)</w:t>
            </w:r>
            <w:r w:rsidRPr="0066602A">
              <w:rPr>
                <w:rFonts w:cstheme="minorHAnsi"/>
                <w:sz w:val="20"/>
                <w:szCs w:val="20"/>
                <w:lang w:val="en-US"/>
              </w:rPr>
              <w:br/>
              <w:t>Surgery: 12 (54.5%)</w:t>
            </w:r>
            <w:r w:rsidRPr="0066602A">
              <w:rPr>
                <w:rFonts w:cstheme="minorHAnsi"/>
                <w:sz w:val="20"/>
                <w:szCs w:val="20"/>
                <w:lang w:val="en-US"/>
              </w:rPr>
              <w:br/>
              <w:t>Transplant: 3 (13.6%)</w:t>
            </w:r>
          </w:p>
        </w:tc>
        <w:tc>
          <w:tcPr>
            <w:tcW w:w="1809" w:type="pct"/>
          </w:tcPr>
          <w:p w14:paraId="04AAC60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sz w:val="20"/>
                <w:szCs w:val="20"/>
                <w:lang w:val="en-US"/>
              </w:rPr>
            </w:pPr>
            <w:r w:rsidRPr="0066602A">
              <w:rPr>
                <w:rFonts w:cstheme="minorHAnsi"/>
                <w:sz w:val="20"/>
                <w:szCs w:val="20"/>
                <w:lang w:val="en-US"/>
              </w:rPr>
              <w:t xml:space="preserve">&gt; At the follow-up 1 assessment, participants reported statistically significant improvements in the primary study outcome (ISI) and secondary study outcomes (PDSS, </w:t>
            </w:r>
            <w:proofErr w:type="spellStart"/>
            <w:r w:rsidRPr="0066602A">
              <w:rPr>
                <w:rFonts w:cstheme="minorHAnsi"/>
                <w:sz w:val="20"/>
                <w:szCs w:val="20"/>
                <w:lang w:val="en-US"/>
              </w:rPr>
              <w:t>PedsQL</w:t>
            </w:r>
            <w:proofErr w:type="spellEnd"/>
            <w:r w:rsidRPr="0066602A">
              <w:rPr>
                <w:rFonts w:cstheme="minorHAnsi"/>
                <w:sz w:val="20"/>
                <w:szCs w:val="20"/>
                <w:lang w:val="en-US"/>
              </w:rPr>
              <w:t xml:space="preserve">, and multidimensional fatigue scale scores). </w:t>
            </w:r>
            <w:r w:rsidRPr="0066602A">
              <w:rPr>
                <w:rFonts w:cstheme="minorHAnsi"/>
                <w:sz w:val="20"/>
                <w:szCs w:val="20"/>
                <w:lang w:val="en-US"/>
              </w:rPr>
              <w:br/>
              <w:t xml:space="preserve">&gt; These gains were maintained at follow-up 2 assessment across all study measures. </w:t>
            </w:r>
            <w:r w:rsidRPr="0066602A">
              <w:rPr>
                <w:rFonts w:cstheme="minorHAnsi"/>
                <w:sz w:val="20"/>
                <w:szCs w:val="20"/>
                <w:lang w:val="en-US"/>
              </w:rPr>
              <w:br/>
              <w:t xml:space="preserve">&gt; Time since diagnosis and time since treatment were not significantly associated with ISI scores at baseline or either follow-up. </w:t>
            </w:r>
            <w:r w:rsidRPr="0066602A">
              <w:rPr>
                <w:rFonts w:cstheme="minorHAnsi"/>
                <w:sz w:val="20"/>
                <w:szCs w:val="20"/>
                <w:lang w:val="en-US"/>
              </w:rPr>
              <w:br/>
              <w:t xml:space="preserve">&gt; The average ISI change from baseline to follow-up 1 for participants who completed at least two sessions was significantly greater than those who did not. Improvements to the participant’s sleep were also noted in the sleep diary outcomes collected by </w:t>
            </w:r>
            <w:proofErr w:type="spellStart"/>
            <w:r w:rsidRPr="0066602A">
              <w:rPr>
                <w:rFonts w:cstheme="minorHAnsi"/>
                <w:sz w:val="20"/>
                <w:szCs w:val="20"/>
                <w:lang w:val="en-US"/>
              </w:rPr>
              <w:t>SHUTi</w:t>
            </w:r>
            <w:proofErr w:type="spellEnd"/>
            <w:r w:rsidRPr="0066602A">
              <w:rPr>
                <w:rFonts w:cstheme="minorHAnsi"/>
                <w:sz w:val="20"/>
                <w:szCs w:val="20"/>
                <w:lang w:val="en-US"/>
              </w:rPr>
              <w:t>-AYA.</w:t>
            </w:r>
          </w:p>
        </w:tc>
      </w:tr>
      <w:tr w:rsidR="009A7DFD" w:rsidRPr="0066602A" w14:paraId="64579C44"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3FDBDD3" w14:textId="77777777" w:rsidR="009A7DFD" w:rsidRPr="0066602A" w:rsidRDefault="009A7DFD" w:rsidP="001E304D">
            <w:pPr>
              <w:pStyle w:val="Table-Normal"/>
              <w:rPr>
                <w:rFonts w:cstheme="minorHAnsi"/>
                <w:bCs/>
                <w:sz w:val="20"/>
                <w:szCs w:val="20"/>
                <w:lang w:val="en-US"/>
              </w:rPr>
            </w:pPr>
            <w:r w:rsidRPr="0066602A">
              <w:rPr>
                <w:rFonts w:cstheme="minorHAnsi"/>
                <w:sz w:val="20"/>
                <w:szCs w:val="20"/>
                <w:lang w:val="en-US"/>
              </w:rPr>
              <w:t>Zhou, 2014</w:t>
            </w:r>
          </w:p>
          <w:p w14:paraId="0867FAFB"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NR</w:t>
            </w:r>
          </w:p>
          <w:p w14:paraId="181432EC" w14:textId="77777777" w:rsidR="009A7DFD" w:rsidRPr="0066602A" w:rsidRDefault="009A7DFD" w:rsidP="001E304D">
            <w:pPr>
              <w:pStyle w:val="Table-Normal"/>
              <w:rPr>
                <w:rFonts w:cstheme="minorHAnsi"/>
                <w:sz w:val="20"/>
                <w:szCs w:val="20"/>
                <w:lang w:val="en-US"/>
              </w:rPr>
            </w:pPr>
            <w:r w:rsidRPr="0066602A">
              <w:rPr>
                <w:rFonts w:cstheme="minorHAnsi"/>
                <w:sz w:val="20"/>
                <w:szCs w:val="20"/>
                <w:lang w:val="en-US"/>
              </w:rPr>
              <w:t xml:space="preserve">Longitudinal cohort study-Prevalence study, one </w:t>
            </w:r>
            <w:r w:rsidRPr="0066602A">
              <w:rPr>
                <w:rFonts w:cstheme="minorHAnsi"/>
                <w:sz w:val="20"/>
                <w:szCs w:val="20"/>
                <w:lang w:val="en-US"/>
              </w:rPr>
              <w:lastRenderedPageBreak/>
              <w:t>time questionnaire, NR</w:t>
            </w:r>
          </w:p>
        </w:tc>
        <w:tc>
          <w:tcPr>
            <w:tcW w:w="498" w:type="pct"/>
          </w:tcPr>
          <w:p w14:paraId="59F2430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122</w:t>
            </w:r>
          </w:p>
        </w:tc>
        <w:tc>
          <w:tcPr>
            <w:tcW w:w="451" w:type="pct"/>
          </w:tcPr>
          <w:p w14:paraId="3E014AD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color w:val="4E5053"/>
                <w:sz w:val="20"/>
                <w:szCs w:val="20"/>
                <w:lang w:val="en-US"/>
              </w:rPr>
              <w:t>Male - 43%</w:t>
            </w:r>
            <w:r w:rsidRPr="0066602A">
              <w:rPr>
                <w:rFonts w:cstheme="minorHAnsi"/>
                <w:color w:val="4E5053"/>
                <w:sz w:val="20"/>
                <w:szCs w:val="20"/>
                <w:lang w:val="en-US"/>
              </w:rPr>
              <w:br/>
              <w:t>Female - 57%</w:t>
            </w:r>
            <w:r w:rsidRPr="0066602A">
              <w:rPr>
                <w:rFonts w:cstheme="minorHAnsi"/>
                <w:color w:val="4E5053"/>
                <w:sz w:val="20"/>
                <w:szCs w:val="20"/>
                <w:lang w:val="en-US"/>
              </w:rPr>
              <w:br/>
              <w:t>Mean - 31</w:t>
            </w:r>
          </w:p>
        </w:tc>
        <w:tc>
          <w:tcPr>
            <w:tcW w:w="740" w:type="pct"/>
          </w:tcPr>
          <w:p w14:paraId="52A0ECE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Leukemia (32%)</w:t>
            </w:r>
            <w:r w:rsidRPr="0066602A">
              <w:rPr>
                <w:rFonts w:cstheme="minorHAnsi"/>
                <w:sz w:val="20"/>
                <w:szCs w:val="20"/>
                <w:lang w:val="en-US"/>
              </w:rPr>
              <w:br/>
              <w:t>Lymphomas (31.1%)</w:t>
            </w:r>
            <w:r w:rsidRPr="0066602A">
              <w:rPr>
                <w:rFonts w:cstheme="minorHAnsi"/>
                <w:sz w:val="20"/>
                <w:szCs w:val="20"/>
                <w:lang w:val="en-US"/>
              </w:rPr>
              <w:br/>
              <w:t>Sarcomas (18.0%)</w:t>
            </w:r>
            <w:r w:rsidRPr="0066602A">
              <w:rPr>
                <w:rFonts w:cstheme="minorHAnsi"/>
                <w:sz w:val="20"/>
                <w:szCs w:val="20"/>
                <w:lang w:val="en-US"/>
              </w:rPr>
              <w:br/>
              <w:t>Other solid tumors (18.9%)</w:t>
            </w:r>
          </w:p>
        </w:tc>
        <w:tc>
          <w:tcPr>
            <w:tcW w:w="1044" w:type="pct"/>
          </w:tcPr>
          <w:p w14:paraId="02AD28BF" w14:textId="4FE41A32"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t>No current therapy</w:t>
            </w:r>
            <w:r w:rsidRPr="0066602A">
              <w:rPr>
                <w:rFonts w:cstheme="minorHAnsi"/>
                <w:sz w:val="20"/>
                <w:szCs w:val="20"/>
                <w:lang w:val="en-US"/>
              </w:rPr>
              <w:br/>
            </w:r>
            <w:r w:rsidRPr="0066602A">
              <w:rPr>
                <w:rFonts w:cstheme="minorHAnsi"/>
                <w:sz w:val="20"/>
                <w:szCs w:val="20"/>
                <w:lang w:val="en-US"/>
              </w:rPr>
              <w:br/>
              <w:t>Previous therapy;</w:t>
            </w:r>
            <w:r w:rsidRPr="0066602A">
              <w:rPr>
                <w:rFonts w:cstheme="minorHAnsi"/>
                <w:sz w:val="20"/>
                <w:szCs w:val="20"/>
                <w:lang w:val="en-US"/>
              </w:rPr>
              <w:br/>
              <w:t>Chemotherapy: 109</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88</w:t>
            </w:r>
            <w:r w:rsidRPr="0066602A">
              <w:rPr>
                <w:rFonts w:cstheme="minorHAnsi"/>
                <w:sz w:val="20"/>
                <w:szCs w:val="20"/>
                <w:lang w:val="en-US"/>
              </w:rPr>
              <w:br/>
            </w:r>
            <w:r w:rsidRPr="0066602A">
              <w:rPr>
                <w:rFonts w:cstheme="minorHAnsi"/>
                <w:sz w:val="20"/>
                <w:szCs w:val="20"/>
                <w:lang w:val="en-US"/>
              </w:rPr>
              <w:lastRenderedPageBreak/>
              <w:t xml:space="preserve">CNS-directed </w:t>
            </w:r>
            <w:r w:rsidR="00480763" w:rsidRPr="0066602A">
              <w:rPr>
                <w:rFonts w:cstheme="minorHAnsi"/>
                <w:sz w:val="20"/>
                <w:szCs w:val="20"/>
                <w:lang w:val="en-US"/>
              </w:rPr>
              <w:t xml:space="preserve">radiation </w:t>
            </w:r>
            <w:r w:rsidRPr="0066602A">
              <w:rPr>
                <w:rFonts w:cstheme="minorHAnsi"/>
                <w:sz w:val="20"/>
                <w:szCs w:val="20"/>
                <w:lang w:val="en-US"/>
              </w:rPr>
              <w:t>therapy: 37</w:t>
            </w:r>
            <w:r w:rsidRPr="0066602A">
              <w:rPr>
                <w:rFonts w:cstheme="minorHAnsi"/>
                <w:sz w:val="20"/>
                <w:szCs w:val="20"/>
                <w:lang w:val="en-US"/>
              </w:rPr>
              <w:br/>
              <w:t>Surgery: 49</w:t>
            </w:r>
          </w:p>
        </w:tc>
        <w:tc>
          <w:tcPr>
            <w:tcW w:w="1809" w:type="pct"/>
          </w:tcPr>
          <w:p w14:paraId="4800DE2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66602A">
              <w:rPr>
                <w:rFonts w:cstheme="minorHAnsi"/>
                <w:sz w:val="20"/>
                <w:szCs w:val="20"/>
                <w:lang w:val="en-US"/>
              </w:rPr>
              <w:lastRenderedPageBreak/>
              <w:t xml:space="preserve">&gt; Survivors with insomnia were </w:t>
            </w:r>
            <w:proofErr w:type="gramStart"/>
            <w:r w:rsidRPr="0066602A">
              <w:rPr>
                <w:rFonts w:cstheme="minorHAnsi"/>
                <w:sz w:val="20"/>
                <w:szCs w:val="20"/>
                <w:lang w:val="en-US"/>
              </w:rPr>
              <w:t>similar to</w:t>
            </w:r>
            <w:proofErr w:type="gramEnd"/>
            <w:r w:rsidRPr="0066602A">
              <w:rPr>
                <w:rFonts w:cstheme="minorHAnsi"/>
                <w:sz w:val="20"/>
                <w:szCs w:val="20"/>
                <w:lang w:val="en-US"/>
              </w:rPr>
              <w:t xml:space="preserve"> those with no insomnia across demographic and cancer treatment variables including cancer diagnosis, time since diagnosis, and cancer therapies received.</w:t>
            </w:r>
            <w:r w:rsidRPr="0066602A">
              <w:rPr>
                <w:rFonts w:cstheme="minorHAnsi"/>
                <w:sz w:val="20"/>
                <w:szCs w:val="20"/>
                <w:lang w:val="en-US"/>
              </w:rPr>
              <w:br/>
              <w:t xml:space="preserve">&gt; The adult survivors of childhood cancer took an average of 20.2 min to fall asleep (range=0–120min, standard. </w:t>
            </w:r>
            <w:r w:rsidRPr="0066602A">
              <w:rPr>
                <w:rFonts w:cstheme="minorHAnsi"/>
                <w:sz w:val="20"/>
                <w:szCs w:val="20"/>
                <w:lang w:val="en-US"/>
              </w:rPr>
              <w:lastRenderedPageBreak/>
              <w:t xml:space="preserve">deviation (SD)=14.7 min) and slept an average of 7.3 h per day (range=4.5–10.0 h, SD=1.1 h). </w:t>
            </w:r>
            <w:r w:rsidRPr="0066602A">
              <w:rPr>
                <w:rFonts w:cstheme="minorHAnsi"/>
                <w:sz w:val="20"/>
                <w:szCs w:val="20"/>
                <w:lang w:val="en-US"/>
              </w:rPr>
              <w:br/>
              <w:t xml:space="preserve">&gt; Mean sleep efficiency for all participants was 89.9 % (range 50.0 to 100.0 %). </w:t>
            </w:r>
            <w:r w:rsidRPr="0066602A">
              <w:rPr>
                <w:rFonts w:cstheme="minorHAnsi"/>
                <w:sz w:val="20"/>
                <w:szCs w:val="20"/>
                <w:lang w:val="en-US"/>
              </w:rPr>
              <w:br/>
              <w:t>&gt; 34 survivors (27.9 % of the sample) had insomnia (sleep efficiency below 85%) and mean sleep efficiency for those with insomnia was 76.1</w:t>
            </w:r>
            <w:proofErr w:type="gramStart"/>
            <w:r w:rsidRPr="0066602A">
              <w:rPr>
                <w:rFonts w:cstheme="minorHAnsi"/>
                <w:sz w:val="20"/>
                <w:szCs w:val="20"/>
                <w:lang w:val="en-US"/>
              </w:rPr>
              <w:t>%(</w:t>
            </w:r>
            <w:proofErr w:type="gramEnd"/>
            <w:r w:rsidRPr="0066602A">
              <w:rPr>
                <w:rFonts w:cstheme="minorHAnsi"/>
                <w:sz w:val="20"/>
                <w:szCs w:val="20"/>
                <w:lang w:val="en-US"/>
              </w:rPr>
              <w:t xml:space="preserve">SD=8.3 %). Survivors with insomnia reported poorer overall sleep quality on the PSQI (p&lt;0.01). Survivors with insomnia also took longer to fall asleep (26.5 vs 17.7 min, p&lt;0.01) and slept for fewer hours (6.7 vs 7.5 h, p&lt;0.001). Survivors with insomnia were not significantly more likely to take sleep medication at least once per week, although they were more likely to endorse daytime somnolence at least once per week (p&lt;0.05). </w:t>
            </w:r>
            <w:r w:rsidRPr="0066602A">
              <w:rPr>
                <w:rFonts w:cstheme="minorHAnsi"/>
                <w:sz w:val="20"/>
                <w:szCs w:val="20"/>
                <w:lang w:val="en-US"/>
              </w:rPr>
              <w:br/>
              <w:t>&gt; Several indicators of physical and mental health differed between survivors with and without insomnia. Survivors who reported insomnia were more likely to report lower physical functioning on the SF-12 physical health summary score (p&lt;0.05) and lower general health and role emotional functioning on the SF-12 subscales (p&lt;0.05). Survivors with insomnia were also more likely to report the presence of two or more physical comorbidities (p&lt;0.05; odds ratio (OR)=2.4), more likely to report receiving medication for anxiety (p&lt;0.01; OR=3.4</w:t>
            </w:r>
            <w:proofErr w:type="gramStart"/>
            <w:r w:rsidRPr="0066602A">
              <w:rPr>
                <w:rFonts w:cstheme="minorHAnsi"/>
                <w:sz w:val="20"/>
                <w:szCs w:val="20"/>
                <w:lang w:val="en-US"/>
              </w:rPr>
              <w:t>), and</w:t>
            </w:r>
            <w:proofErr w:type="gramEnd"/>
            <w:r w:rsidRPr="0066602A">
              <w:rPr>
                <w:rFonts w:cstheme="minorHAnsi"/>
                <w:sz w:val="20"/>
                <w:szCs w:val="20"/>
                <w:lang w:val="en-US"/>
              </w:rPr>
              <w:t xml:space="preserve"> reported greater anxiety on the BSI-18 anxiety scale (p&lt;0.05).</w:t>
            </w:r>
          </w:p>
        </w:tc>
      </w:tr>
      <w:tr w:rsidR="009A7DFD" w:rsidRPr="0066602A" w14:paraId="3DE56B23"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ED6FF" w:themeFill="accent6" w:themeFillTint="33"/>
          </w:tcPr>
          <w:p w14:paraId="1012D797" w14:textId="081B063F" w:rsidR="009A7DFD" w:rsidRPr="0066602A" w:rsidRDefault="009A7DFD" w:rsidP="001E304D">
            <w:pPr>
              <w:pStyle w:val="Table-Normal"/>
              <w:rPr>
                <w:color w:val="4E5053"/>
                <w:sz w:val="20"/>
                <w:szCs w:val="20"/>
                <w:lang w:val="en-US"/>
              </w:rPr>
            </w:pPr>
            <w:r w:rsidRPr="0066602A">
              <w:rPr>
                <w:bCs/>
                <w:color w:val="4E5053"/>
                <w:sz w:val="20"/>
                <w:szCs w:val="20"/>
                <w:lang w:val="en-US"/>
              </w:rPr>
              <w:lastRenderedPageBreak/>
              <w:t>Fatigue (17</w:t>
            </w:r>
            <w:r w:rsidR="00D31DE7" w:rsidRPr="0066602A">
              <w:rPr>
                <w:bCs/>
                <w:color w:val="4E5053"/>
                <w:sz w:val="20"/>
                <w:szCs w:val="20"/>
                <w:lang w:val="en-US"/>
              </w:rPr>
              <w:t xml:space="preserve"> studies</w:t>
            </w:r>
            <w:r w:rsidRPr="0066602A">
              <w:rPr>
                <w:bCs/>
                <w:color w:val="4E5053"/>
                <w:sz w:val="20"/>
                <w:szCs w:val="20"/>
                <w:lang w:val="en-US"/>
              </w:rPr>
              <w:t>)</w:t>
            </w:r>
          </w:p>
        </w:tc>
      </w:tr>
      <w:tr w:rsidR="009A7DFD" w:rsidRPr="0066602A" w14:paraId="7E926E8E"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54BE8CC" w14:textId="77777777" w:rsidR="009A7DFD" w:rsidRPr="0066602A" w:rsidRDefault="009A7DFD" w:rsidP="001E304D">
            <w:pPr>
              <w:pStyle w:val="Table-Normal"/>
              <w:rPr>
                <w:rFonts w:eastAsia="Times New Roman"/>
                <w:sz w:val="20"/>
                <w:szCs w:val="20"/>
                <w:lang w:val="en-US" w:eastAsia="en-GB"/>
              </w:rPr>
            </w:pPr>
            <w:r w:rsidRPr="0066602A">
              <w:rPr>
                <w:color w:val="4E5053"/>
                <w:sz w:val="20"/>
                <w:szCs w:val="20"/>
                <w:lang w:val="en-US"/>
              </w:rPr>
              <w:t>Cheng, 2011</w:t>
            </w:r>
          </w:p>
          <w:p w14:paraId="6C2E8DBC" w14:textId="77777777" w:rsidR="009A7DFD" w:rsidRPr="0066602A" w:rsidRDefault="009A7DFD" w:rsidP="001E304D">
            <w:pPr>
              <w:pStyle w:val="Table-Normal"/>
              <w:rPr>
                <w:rFonts w:eastAsia="Times New Roman"/>
                <w:sz w:val="20"/>
                <w:szCs w:val="20"/>
                <w:lang w:val="en-US" w:eastAsia="ja-JP"/>
              </w:rPr>
            </w:pPr>
            <w:r w:rsidRPr="0066602A">
              <w:rPr>
                <w:color w:val="4E5053"/>
                <w:sz w:val="20"/>
                <w:szCs w:val="20"/>
                <w:lang w:val="en-US"/>
              </w:rPr>
              <w:t>China</w:t>
            </w:r>
          </w:p>
          <w:p w14:paraId="510044E8" w14:textId="77777777" w:rsidR="009A7DFD" w:rsidRPr="0066602A" w:rsidRDefault="009A7DFD" w:rsidP="001E304D">
            <w:pPr>
              <w:pStyle w:val="Table-Normal"/>
              <w:rPr>
                <w:sz w:val="20"/>
                <w:szCs w:val="20"/>
                <w:lang w:val="en-US"/>
              </w:rPr>
            </w:pPr>
            <w:r w:rsidRPr="0066602A">
              <w:rPr>
                <w:color w:val="4E5053"/>
                <w:sz w:val="20"/>
                <w:szCs w:val="20"/>
                <w:lang w:val="en-US"/>
              </w:rPr>
              <w:t>Cross-sectional descriptive study, NA</w:t>
            </w:r>
          </w:p>
        </w:tc>
        <w:tc>
          <w:tcPr>
            <w:tcW w:w="498" w:type="pct"/>
          </w:tcPr>
          <w:p w14:paraId="1260496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120</w:t>
            </w:r>
          </w:p>
        </w:tc>
        <w:tc>
          <w:tcPr>
            <w:tcW w:w="451" w:type="pct"/>
          </w:tcPr>
          <w:p w14:paraId="12EDCFF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Male - 58%</w:t>
            </w:r>
            <w:r w:rsidRPr="0066602A">
              <w:rPr>
                <w:rFonts w:cstheme="minorHAnsi"/>
                <w:color w:val="4E5053"/>
                <w:sz w:val="20"/>
                <w:szCs w:val="20"/>
                <w:lang w:val="en-US"/>
              </w:rPr>
              <w:br/>
              <w:t>Female - 42%</w:t>
            </w:r>
            <w:r w:rsidRPr="0066602A">
              <w:rPr>
                <w:rFonts w:cstheme="minorHAnsi"/>
                <w:color w:val="4E5053"/>
                <w:sz w:val="20"/>
                <w:szCs w:val="20"/>
                <w:lang w:val="en-US"/>
              </w:rPr>
              <w:br/>
              <w:t>Mean – 68.82</w:t>
            </w:r>
          </w:p>
        </w:tc>
        <w:tc>
          <w:tcPr>
            <w:tcW w:w="740" w:type="pct"/>
          </w:tcPr>
          <w:p w14:paraId="484EEEE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color w:val="4E5053"/>
                <w:sz w:val="20"/>
                <w:szCs w:val="20"/>
                <w:lang w:val="en-US"/>
              </w:rPr>
              <w:t>Head and neck: 19 (15.8%)</w:t>
            </w:r>
            <w:r w:rsidRPr="0066602A">
              <w:rPr>
                <w:color w:val="4E5053"/>
                <w:sz w:val="20"/>
                <w:szCs w:val="20"/>
                <w:lang w:val="en-US"/>
              </w:rPr>
              <w:br/>
              <w:t>Breast: 13 (10.8%)</w:t>
            </w:r>
            <w:r w:rsidRPr="0066602A">
              <w:rPr>
                <w:color w:val="4E5053"/>
                <w:sz w:val="20"/>
                <w:szCs w:val="20"/>
                <w:lang w:val="en-US"/>
              </w:rPr>
              <w:br/>
              <w:t>Lung: 24 (20%)</w:t>
            </w:r>
            <w:r w:rsidRPr="0066602A">
              <w:rPr>
                <w:color w:val="4E5053"/>
                <w:sz w:val="20"/>
                <w:szCs w:val="20"/>
                <w:lang w:val="en-US"/>
              </w:rPr>
              <w:br/>
              <w:t>Colorectal: 38 (31.7%)</w:t>
            </w:r>
            <w:r w:rsidRPr="0066602A">
              <w:rPr>
                <w:color w:val="4E5053"/>
                <w:sz w:val="20"/>
                <w:szCs w:val="20"/>
                <w:lang w:val="en-US"/>
              </w:rPr>
              <w:br/>
              <w:t>Gynecological: 7 (5.8%)</w:t>
            </w:r>
            <w:r w:rsidRPr="0066602A">
              <w:rPr>
                <w:color w:val="4E5053"/>
                <w:sz w:val="20"/>
                <w:szCs w:val="20"/>
                <w:lang w:val="en-US"/>
              </w:rPr>
              <w:br/>
              <w:t>Prostate: 7 (5.8%)</w:t>
            </w:r>
            <w:r w:rsidRPr="0066602A">
              <w:rPr>
                <w:color w:val="4E5053"/>
                <w:sz w:val="20"/>
                <w:szCs w:val="20"/>
                <w:lang w:val="en-US"/>
              </w:rPr>
              <w:br/>
            </w:r>
            <w:r w:rsidRPr="0066602A">
              <w:rPr>
                <w:color w:val="4E5053"/>
                <w:sz w:val="20"/>
                <w:szCs w:val="20"/>
                <w:lang w:val="en-US"/>
              </w:rPr>
              <w:lastRenderedPageBreak/>
              <w:t>Esophagus: 4 (3.3%)</w:t>
            </w:r>
            <w:r w:rsidRPr="0066602A">
              <w:rPr>
                <w:color w:val="4E5053"/>
                <w:sz w:val="20"/>
                <w:szCs w:val="20"/>
                <w:lang w:val="en-US"/>
              </w:rPr>
              <w:br/>
              <w:t>Others: 8 (6.7%)</w:t>
            </w:r>
          </w:p>
        </w:tc>
        <w:tc>
          <w:tcPr>
            <w:tcW w:w="1044" w:type="pct"/>
          </w:tcPr>
          <w:p w14:paraId="172FB6B0" w14:textId="4648881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color w:val="4E5053"/>
                <w:sz w:val="20"/>
                <w:szCs w:val="20"/>
                <w:lang w:val="en-US"/>
              </w:rPr>
              <w:lastRenderedPageBreak/>
              <w:t>Chemotherapy: 49 (40.8%)</w:t>
            </w:r>
            <w:r w:rsidRPr="0066602A">
              <w:rPr>
                <w:color w:val="4E5053"/>
                <w:sz w:val="20"/>
                <w:szCs w:val="20"/>
                <w:lang w:val="en-US"/>
              </w:rPr>
              <w:br/>
            </w:r>
            <w:r w:rsidR="00480763" w:rsidRPr="0066602A">
              <w:rPr>
                <w:color w:val="4E5053"/>
                <w:sz w:val="20"/>
                <w:szCs w:val="20"/>
                <w:lang w:val="en-US"/>
              </w:rPr>
              <w:t xml:space="preserve">Radiation </w:t>
            </w:r>
            <w:r w:rsidRPr="0066602A">
              <w:rPr>
                <w:color w:val="4E5053"/>
                <w:sz w:val="20"/>
                <w:szCs w:val="20"/>
                <w:lang w:val="en-US"/>
              </w:rPr>
              <w:t>therapy: 39 (32.5%)</w:t>
            </w:r>
            <w:r w:rsidRPr="0066602A">
              <w:rPr>
                <w:color w:val="4E5053"/>
                <w:sz w:val="20"/>
                <w:szCs w:val="20"/>
                <w:lang w:val="en-US"/>
              </w:rPr>
              <w:br/>
              <w:t>Chemo-</w:t>
            </w:r>
            <w:r w:rsidR="00480763" w:rsidRPr="0066602A">
              <w:rPr>
                <w:color w:val="4E5053"/>
                <w:sz w:val="20"/>
                <w:szCs w:val="20"/>
                <w:lang w:val="en-US"/>
              </w:rPr>
              <w:t xml:space="preserve">radiation </w:t>
            </w:r>
            <w:r w:rsidRPr="0066602A">
              <w:rPr>
                <w:color w:val="4E5053"/>
                <w:sz w:val="20"/>
                <w:szCs w:val="20"/>
                <w:lang w:val="en-US"/>
              </w:rPr>
              <w:t>therapy: 32 (26.7%)</w:t>
            </w:r>
          </w:p>
        </w:tc>
        <w:tc>
          <w:tcPr>
            <w:tcW w:w="1809" w:type="pct"/>
          </w:tcPr>
          <w:p w14:paraId="1C803C3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color w:val="4E5053"/>
                <w:sz w:val="20"/>
                <w:szCs w:val="20"/>
                <w:lang w:val="en-US"/>
              </w:rPr>
              <w:t>&gt; Symptom Distress Scale (SDS-C)</w:t>
            </w:r>
            <w:r w:rsidRPr="0066602A">
              <w:rPr>
                <w:color w:val="4E5053"/>
                <w:sz w:val="20"/>
                <w:szCs w:val="20"/>
                <w:lang w:val="en-US"/>
              </w:rPr>
              <w:br/>
              <w:t>Insomnia and fatigue: 0.411 (p&lt; 0.001)</w:t>
            </w:r>
          </w:p>
        </w:tc>
      </w:tr>
      <w:tr w:rsidR="009A7DFD" w:rsidRPr="0066602A" w14:paraId="0B607D06"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2A82B5B"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Coleman, 2011</w:t>
            </w:r>
          </w:p>
          <w:p w14:paraId="18941FF2" w14:textId="77777777" w:rsidR="009A7DFD" w:rsidRPr="0066602A" w:rsidRDefault="009A7DFD" w:rsidP="001E304D">
            <w:pPr>
              <w:pStyle w:val="Table-Normal"/>
              <w:rPr>
                <w:color w:val="4E5053"/>
                <w:sz w:val="20"/>
                <w:szCs w:val="20"/>
                <w:lang w:val="en-US"/>
              </w:rPr>
            </w:pPr>
            <w:r w:rsidRPr="0066602A">
              <w:rPr>
                <w:color w:val="4E5053"/>
                <w:sz w:val="20"/>
                <w:szCs w:val="20"/>
                <w:lang w:val="en-US"/>
              </w:rPr>
              <w:t>International</w:t>
            </w:r>
          </w:p>
          <w:p w14:paraId="059A513F" w14:textId="77777777" w:rsidR="009A7DFD" w:rsidRPr="0066602A" w:rsidRDefault="009A7DFD" w:rsidP="001E304D">
            <w:pPr>
              <w:pStyle w:val="Table-Normal"/>
              <w:rPr>
                <w:color w:val="4E5053"/>
                <w:sz w:val="20"/>
                <w:szCs w:val="20"/>
                <w:lang w:val="en-US"/>
              </w:rPr>
            </w:pPr>
            <w:r w:rsidRPr="0066602A">
              <w:rPr>
                <w:color w:val="4E5053"/>
                <w:sz w:val="20"/>
                <w:szCs w:val="20"/>
                <w:lang w:val="en-US"/>
              </w:rPr>
              <w:t>NR</w:t>
            </w:r>
          </w:p>
        </w:tc>
        <w:tc>
          <w:tcPr>
            <w:tcW w:w="498" w:type="pct"/>
          </w:tcPr>
          <w:p w14:paraId="0C2B988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187</w:t>
            </w:r>
          </w:p>
        </w:tc>
        <w:tc>
          <w:tcPr>
            <w:tcW w:w="451" w:type="pct"/>
          </w:tcPr>
          <w:p w14:paraId="7F88620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Male - 58%</w:t>
            </w:r>
            <w:r w:rsidRPr="0066602A">
              <w:rPr>
                <w:rFonts w:cstheme="minorHAnsi"/>
                <w:color w:val="4E5053"/>
                <w:sz w:val="20"/>
                <w:szCs w:val="20"/>
                <w:lang w:val="en-US"/>
              </w:rPr>
              <w:br/>
              <w:t>Female - 42%</w:t>
            </w:r>
            <w:r w:rsidRPr="0066602A">
              <w:rPr>
                <w:rFonts w:cstheme="minorHAnsi"/>
                <w:color w:val="4E5053"/>
                <w:sz w:val="20"/>
                <w:szCs w:val="20"/>
                <w:lang w:val="en-US"/>
              </w:rPr>
              <w:br/>
              <w:t>Mean - 56</w:t>
            </w:r>
          </w:p>
        </w:tc>
        <w:tc>
          <w:tcPr>
            <w:tcW w:w="740" w:type="pct"/>
          </w:tcPr>
          <w:p w14:paraId="2E260D6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Multiple myeloma: 187 (100%)</w:t>
            </w:r>
          </w:p>
        </w:tc>
        <w:tc>
          <w:tcPr>
            <w:tcW w:w="1044" w:type="pct"/>
          </w:tcPr>
          <w:p w14:paraId="04DCCDF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Chemotherapy: 187 (100%)</w:t>
            </w:r>
          </w:p>
        </w:tc>
        <w:tc>
          <w:tcPr>
            <w:tcW w:w="1809" w:type="pct"/>
          </w:tcPr>
          <w:p w14:paraId="25D609E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 Patients presented with fatigue with mean FACT-F scores of 32.1 for females and 38.7 for males.</w:t>
            </w:r>
          </w:p>
          <w:p w14:paraId="1F47550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&gt;Severe fatigue was present at baseline with 36/187 (19.3%) patients having a FACT-F score&lt; 25.</w:t>
            </w:r>
          </w:p>
          <w:p w14:paraId="0E95295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&gt;Fatigue was more of a problem for the females with 30.8% (24/78) of them having scores &lt; 25. Fatigue scores from the FACT-F and the POMS-F were highly correlated (Pearson r=−0.84,), only FACT-F scores were used in the regression model for fatigue</w:t>
            </w:r>
            <w:r w:rsidRPr="0066602A">
              <w:rPr>
                <w:color w:val="4E5053"/>
                <w:sz w:val="20"/>
                <w:szCs w:val="20"/>
                <w:lang w:val="en-US"/>
              </w:rPr>
              <w:br/>
              <w:t xml:space="preserve">&gt; Night-time sleep and fatigue </w:t>
            </w:r>
            <w:r w:rsidRPr="0066602A">
              <w:rPr>
                <w:color w:val="4E5053"/>
                <w:sz w:val="20"/>
                <w:szCs w:val="20"/>
                <w:lang w:val="en-US"/>
              </w:rPr>
              <w:br/>
              <w:t>r= -0.025; Sig.2 (2-tailed) = 0.742; N= 178</w:t>
            </w:r>
            <w:r w:rsidRPr="0066602A">
              <w:rPr>
                <w:color w:val="4E5053"/>
                <w:sz w:val="20"/>
                <w:szCs w:val="20"/>
                <w:lang w:val="en-US"/>
              </w:rPr>
              <w:br/>
              <w:t>&gt; Sleep efficiency and fatigue</w:t>
            </w:r>
            <w:r w:rsidRPr="0066602A">
              <w:rPr>
                <w:color w:val="4E5053"/>
                <w:sz w:val="20"/>
                <w:szCs w:val="20"/>
                <w:lang w:val="en-US"/>
              </w:rPr>
              <w:br/>
              <w:t>r= -0.148a; Sig.2 (2-tailed) =0.048; N=178</w:t>
            </w:r>
            <w:r w:rsidRPr="0066602A">
              <w:rPr>
                <w:color w:val="4E5053"/>
                <w:sz w:val="20"/>
                <w:szCs w:val="20"/>
                <w:lang w:val="en-US"/>
              </w:rPr>
              <w:br/>
              <w:t>&gt; Night-time sleep and fatigue</w:t>
            </w:r>
            <w:r w:rsidRPr="0066602A">
              <w:rPr>
                <w:color w:val="4E5053"/>
                <w:sz w:val="20"/>
                <w:szCs w:val="20"/>
                <w:lang w:val="en-US"/>
              </w:rPr>
              <w:br/>
              <w:t>r= -0.025</w:t>
            </w:r>
            <w:r w:rsidRPr="0066602A">
              <w:rPr>
                <w:color w:val="4E5053"/>
                <w:sz w:val="20"/>
                <w:szCs w:val="20"/>
                <w:lang w:val="en-US"/>
              </w:rPr>
              <w:br/>
              <w:t>&gt; Sleep efficiency and fatigue</w:t>
            </w:r>
            <w:r w:rsidRPr="0066602A">
              <w:rPr>
                <w:color w:val="4E5053"/>
                <w:sz w:val="20"/>
                <w:szCs w:val="20"/>
                <w:lang w:val="en-US"/>
              </w:rPr>
              <w:br/>
              <w:t>percent of time asleep while in bed at night: -0.148 (a)</w:t>
            </w:r>
            <w:r w:rsidRPr="0066602A">
              <w:rPr>
                <w:color w:val="4E5053"/>
                <w:sz w:val="20"/>
                <w:szCs w:val="20"/>
                <w:lang w:val="en-US"/>
              </w:rPr>
              <w:br/>
              <w:t>Sig.2 (2-tailed) = 0.048; n=178.</w:t>
            </w:r>
          </w:p>
        </w:tc>
      </w:tr>
      <w:tr w:rsidR="009A7DFD" w:rsidRPr="0066602A" w14:paraId="0920AD74"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FA9176A"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Daniel, 2019</w:t>
            </w:r>
          </w:p>
          <w:p w14:paraId="64F3F4E1" w14:textId="77777777" w:rsidR="009A7DFD" w:rsidRPr="0066602A" w:rsidRDefault="009A7DFD" w:rsidP="001E304D">
            <w:pPr>
              <w:pStyle w:val="Table-Normal"/>
              <w:rPr>
                <w:color w:val="4E5053"/>
                <w:sz w:val="20"/>
                <w:szCs w:val="20"/>
                <w:lang w:val="en-US"/>
              </w:rPr>
            </w:pPr>
            <w:r w:rsidRPr="0066602A">
              <w:rPr>
                <w:color w:val="4E5053"/>
                <w:sz w:val="20"/>
                <w:szCs w:val="20"/>
                <w:lang w:val="en-US"/>
              </w:rPr>
              <w:t>NR</w:t>
            </w:r>
          </w:p>
          <w:p w14:paraId="7E063E7E" w14:textId="77777777" w:rsidR="009A7DFD" w:rsidRPr="0066602A" w:rsidRDefault="009A7DFD" w:rsidP="001E304D">
            <w:pPr>
              <w:pStyle w:val="Table-Normal"/>
              <w:rPr>
                <w:color w:val="4E5053"/>
                <w:sz w:val="20"/>
                <w:szCs w:val="20"/>
                <w:lang w:val="en-US"/>
              </w:rPr>
            </w:pPr>
            <w:r w:rsidRPr="0066602A">
              <w:rPr>
                <w:color w:val="4E5053"/>
                <w:sz w:val="20"/>
                <w:szCs w:val="20"/>
                <w:lang w:val="en-US"/>
              </w:rPr>
              <w:t>Retrospective, 1994-2007</w:t>
            </w:r>
          </w:p>
        </w:tc>
        <w:tc>
          <w:tcPr>
            <w:tcW w:w="498" w:type="pct"/>
          </w:tcPr>
          <w:p w14:paraId="5098510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Total of number survivors= 1931</w:t>
            </w:r>
            <w:r w:rsidRPr="0066602A">
              <w:rPr>
                <w:color w:val="4E5053"/>
                <w:sz w:val="20"/>
                <w:szCs w:val="20"/>
                <w:lang w:val="en-US"/>
              </w:rPr>
              <w:br/>
              <w:t xml:space="preserve">Total number of </w:t>
            </w:r>
            <w:proofErr w:type="gramStart"/>
            <w:r w:rsidRPr="0066602A">
              <w:rPr>
                <w:color w:val="4E5053"/>
                <w:sz w:val="20"/>
                <w:szCs w:val="20"/>
                <w:lang w:val="en-US"/>
              </w:rPr>
              <w:t>sibling</w:t>
            </w:r>
            <w:proofErr w:type="gramEnd"/>
            <w:r w:rsidRPr="0066602A">
              <w:rPr>
                <w:color w:val="4E5053"/>
                <w:sz w:val="20"/>
                <w:szCs w:val="20"/>
                <w:lang w:val="en-US"/>
              </w:rPr>
              <w:t>= 380</w:t>
            </w:r>
          </w:p>
        </w:tc>
        <w:tc>
          <w:tcPr>
            <w:tcW w:w="451" w:type="pct"/>
          </w:tcPr>
          <w:p w14:paraId="7E6A1B2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Male - 44%</w:t>
            </w:r>
            <w:r w:rsidRPr="0066602A">
              <w:rPr>
                <w:rFonts w:cstheme="minorHAnsi"/>
                <w:color w:val="4E5053"/>
                <w:sz w:val="20"/>
                <w:szCs w:val="20"/>
                <w:lang w:val="en-US"/>
              </w:rPr>
              <w:br/>
              <w:t>Female - 56%</w:t>
            </w:r>
            <w:r w:rsidRPr="0066602A">
              <w:rPr>
                <w:rFonts w:cstheme="minorHAnsi"/>
                <w:color w:val="4E5053"/>
                <w:sz w:val="20"/>
                <w:szCs w:val="20"/>
                <w:lang w:val="en-US"/>
              </w:rPr>
              <w:br/>
              <w:t>Mean - 17.23</w:t>
            </w:r>
          </w:p>
        </w:tc>
        <w:tc>
          <w:tcPr>
            <w:tcW w:w="740" w:type="pct"/>
          </w:tcPr>
          <w:p w14:paraId="47A00F7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Hodgkin lymphoma: 1018 (52.7%)</w:t>
            </w:r>
            <w:r w:rsidRPr="0066602A">
              <w:rPr>
                <w:color w:val="4E5053"/>
                <w:sz w:val="20"/>
                <w:szCs w:val="20"/>
                <w:lang w:val="en-US"/>
              </w:rPr>
              <w:br/>
              <w:t>CNS Tumor: 303 (15.7%)</w:t>
            </w:r>
            <w:r w:rsidRPr="0066602A">
              <w:rPr>
                <w:color w:val="4E5053"/>
                <w:sz w:val="20"/>
                <w:szCs w:val="20"/>
                <w:lang w:val="en-US"/>
              </w:rPr>
              <w:br/>
              <w:t>Leukemia: 302 (15.6%)</w:t>
            </w:r>
            <w:r w:rsidRPr="0066602A">
              <w:rPr>
                <w:color w:val="4E5053"/>
                <w:sz w:val="20"/>
                <w:szCs w:val="20"/>
                <w:lang w:val="en-US"/>
              </w:rPr>
              <w:br/>
              <w:t>Bone cancer: 159 (8.2%)</w:t>
            </w:r>
            <w:r w:rsidRPr="0066602A">
              <w:rPr>
                <w:color w:val="4E5053"/>
                <w:sz w:val="20"/>
                <w:szCs w:val="20"/>
                <w:lang w:val="en-US"/>
              </w:rPr>
              <w:br/>
              <w:t>Soft tissue sarcoma: 151 (7.8%)</w:t>
            </w:r>
          </w:p>
        </w:tc>
        <w:tc>
          <w:tcPr>
            <w:tcW w:w="1044" w:type="pct"/>
          </w:tcPr>
          <w:p w14:paraId="627F1F5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&gt; Chemotherapy: 1140 (65.65%)</w:t>
            </w:r>
            <w:r w:rsidRPr="0066602A">
              <w:rPr>
                <w:color w:val="4E5053"/>
                <w:sz w:val="20"/>
                <w:szCs w:val="20"/>
                <w:lang w:val="en-US"/>
              </w:rPr>
              <w:br/>
              <w:t>&gt; Radiation therapy in the first 5 years of therapy: 1371 (77.7%)</w:t>
            </w:r>
          </w:p>
        </w:tc>
        <w:tc>
          <w:tcPr>
            <w:tcW w:w="1809" w:type="pct"/>
          </w:tcPr>
          <w:p w14:paraId="41E1A91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&gt; Sleep disordered breathing symptoms (snoring, fatigue, daytime sleepiness, night awakenings, poor sleep efficiency) were associated with pre-existing hypertension.</w:t>
            </w:r>
            <w:r w:rsidRPr="0066602A">
              <w:rPr>
                <w:color w:val="4E5053"/>
                <w:sz w:val="20"/>
                <w:szCs w:val="20"/>
                <w:lang w:val="en-US"/>
              </w:rPr>
              <w:br/>
            </w:r>
            <w:r w:rsidRPr="0066602A">
              <w:rPr>
                <w:b/>
                <w:bCs w:val="0"/>
                <w:color w:val="4E5053"/>
                <w:sz w:val="20"/>
                <w:szCs w:val="20"/>
                <w:lang w:val="en-US"/>
              </w:rPr>
              <w:t>Fatigue (FACIT ≤ 43) ±</w:t>
            </w:r>
            <w:r w:rsidRPr="0066602A">
              <w:rPr>
                <w:color w:val="4E5053"/>
                <w:sz w:val="20"/>
                <w:szCs w:val="20"/>
                <w:lang w:val="en-US"/>
              </w:rPr>
              <w:br/>
              <w:t>Cancer survivors: 874 (48.0%)</w:t>
            </w:r>
            <w:r w:rsidRPr="0066602A">
              <w:rPr>
                <w:color w:val="4E5053"/>
                <w:sz w:val="20"/>
                <w:szCs w:val="20"/>
                <w:lang w:val="en-US"/>
              </w:rPr>
              <w:br/>
              <w:t>Cancer siblings: 160 (42.3%).</w:t>
            </w:r>
          </w:p>
        </w:tc>
      </w:tr>
      <w:tr w:rsidR="009A7DFD" w:rsidRPr="0066602A" w14:paraId="30085A10"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5AAE34D"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Evangelista, 2012</w:t>
            </w:r>
          </w:p>
          <w:p w14:paraId="47DEE899" w14:textId="77777777" w:rsidR="009A7DFD" w:rsidRPr="0066602A" w:rsidRDefault="009A7DFD" w:rsidP="001E304D">
            <w:pPr>
              <w:pStyle w:val="Table-Normal"/>
              <w:rPr>
                <w:color w:val="4E5053"/>
                <w:sz w:val="20"/>
                <w:szCs w:val="20"/>
                <w:lang w:val="en-US"/>
              </w:rPr>
            </w:pPr>
            <w:r w:rsidRPr="0066602A">
              <w:rPr>
                <w:color w:val="4E5053"/>
                <w:sz w:val="20"/>
                <w:szCs w:val="20"/>
                <w:lang w:val="en-US"/>
              </w:rPr>
              <w:t>Brazil</w:t>
            </w:r>
          </w:p>
          <w:p w14:paraId="4D8E1770" w14:textId="77777777" w:rsidR="009A7DFD" w:rsidRPr="0066602A" w:rsidRDefault="009A7DFD" w:rsidP="001E304D">
            <w:pPr>
              <w:pStyle w:val="Table-Normal"/>
              <w:rPr>
                <w:color w:val="4E5053"/>
                <w:sz w:val="20"/>
                <w:szCs w:val="20"/>
                <w:lang w:val="en-US"/>
              </w:rPr>
            </w:pPr>
            <w:r w:rsidRPr="0066602A">
              <w:rPr>
                <w:color w:val="4E5053"/>
                <w:sz w:val="20"/>
                <w:szCs w:val="20"/>
                <w:lang w:val="en-US"/>
              </w:rPr>
              <w:lastRenderedPageBreak/>
              <w:t>NR, 3-24 months</w:t>
            </w:r>
          </w:p>
        </w:tc>
        <w:tc>
          <w:tcPr>
            <w:tcW w:w="498" w:type="pct"/>
          </w:tcPr>
          <w:p w14:paraId="5F26061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lastRenderedPageBreak/>
              <w:t>138</w:t>
            </w:r>
          </w:p>
        </w:tc>
        <w:tc>
          <w:tcPr>
            <w:tcW w:w="451" w:type="pct"/>
          </w:tcPr>
          <w:p w14:paraId="50C3A6F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- 51</w:t>
            </w:r>
          </w:p>
        </w:tc>
        <w:tc>
          <w:tcPr>
            <w:tcW w:w="740" w:type="pct"/>
          </w:tcPr>
          <w:p w14:paraId="7CE96E6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Breast cancer: 138 (100%)</w:t>
            </w:r>
          </w:p>
        </w:tc>
        <w:tc>
          <w:tcPr>
            <w:tcW w:w="1044" w:type="pct"/>
          </w:tcPr>
          <w:p w14:paraId="223D5E5B" w14:textId="0F85C99F"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Chemotherapy: 87 (63%)</w:t>
            </w:r>
            <w:r w:rsidRPr="0066602A">
              <w:rPr>
                <w:color w:val="4E5053"/>
                <w:sz w:val="20"/>
                <w:szCs w:val="20"/>
                <w:lang w:val="en-US"/>
              </w:rPr>
              <w:br/>
            </w:r>
            <w:r w:rsidR="00480763" w:rsidRPr="0066602A">
              <w:rPr>
                <w:color w:val="4E5053"/>
                <w:sz w:val="20"/>
                <w:szCs w:val="20"/>
                <w:lang w:val="en-US"/>
              </w:rPr>
              <w:t xml:space="preserve">Radiation </w:t>
            </w:r>
            <w:r w:rsidRPr="0066602A">
              <w:rPr>
                <w:color w:val="4E5053"/>
                <w:sz w:val="20"/>
                <w:szCs w:val="20"/>
                <w:lang w:val="en-US"/>
              </w:rPr>
              <w:t>therapy: 89 (64.5%)</w:t>
            </w:r>
            <w:r w:rsidRPr="0066602A">
              <w:rPr>
                <w:color w:val="4E5053"/>
                <w:sz w:val="20"/>
                <w:szCs w:val="20"/>
                <w:lang w:val="en-US"/>
              </w:rPr>
              <w:br/>
              <w:t>Hormone therapy: 76 (55.1%)</w:t>
            </w:r>
          </w:p>
        </w:tc>
        <w:tc>
          <w:tcPr>
            <w:tcW w:w="1809" w:type="pct"/>
          </w:tcPr>
          <w:p w14:paraId="2759832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&gt; </w:t>
            </w:r>
            <w:proofErr w:type="gramStart"/>
            <w:r w:rsidRPr="0066602A">
              <w:rPr>
                <w:color w:val="4E5053"/>
                <w:sz w:val="20"/>
                <w:szCs w:val="20"/>
                <w:lang w:val="en-US"/>
              </w:rPr>
              <w:t>With regard to</w:t>
            </w:r>
            <w:proofErr w:type="gramEnd"/>
            <w:r w:rsidRPr="0066602A">
              <w:rPr>
                <w:color w:val="4E5053"/>
                <w:sz w:val="20"/>
                <w:szCs w:val="20"/>
                <w:lang w:val="en-US"/>
              </w:rPr>
              <w:t xml:space="preserve"> symptoms, correlations were encountered between insomnia, fatigue, tension, depression, and anger (p&lt;0.001).</w:t>
            </w:r>
            <w:r w:rsidRPr="0066602A">
              <w:rPr>
                <w:color w:val="4E5053"/>
                <w:sz w:val="20"/>
                <w:szCs w:val="20"/>
                <w:lang w:val="en-US"/>
              </w:rPr>
              <w:br/>
              <w:t>*p=0.05</w:t>
            </w:r>
            <w:r w:rsidRPr="0066602A">
              <w:rPr>
                <w:color w:val="4E5053"/>
                <w:sz w:val="20"/>
                <w:szCs w:val="20"/>
                <w:lang w:val="en-US"/>
              </w:rPr>
              <w:br/>
            </w:r>
            <w:r w:rsidRPr="0066602A">
              <w:rPr>
                <w:color w:val="4E5053"/>
                <w:sz w:val="20"/>
                <w:szCs w:val="20"/>
                <w:lang w:val="en-US"/>
              </w:rPr>
              <w:lastRenderedPageBreak/>
              <w:t xml:space="preserve">&gt; EORTC-C30 insomnia and POMS fatigue (r):0.320* </w:t>
            </w:r>
            <w:r w:rsidRPr="0066602A">
              <w:rPr>
                <w:color w:val="4E5053"/>
                <w:sz w:val="20"/>
                <w:szCs w:val="20"/>
                <w:lang w:val="en-US"/>
              </w:rPr>
              <w:br/>
              <w:t>&gt; EORTC-QLQ-C30 insomnia and factor 2: 0.609</w:t>
            </w:r>
            <w:r w:rsidRPr="0066602A">
              <w:rPr>
                <w:color w:val="4E5053"/>
                <w:sz w:val="20"/>
                <w:szCs w:val="20"/>
                <w:lang w:val="en-US"/>
              </w:rPr>
              <w:br/>
              <w:t xml:space="preserve">&gt; Factor 2 corresponds to physical symptoms, which include pain, dyspnea, arm symptoms, and insomnia. This factor responds to 15.27% of variance. </w:t>
            </w:r>
          </w:p>
        </w:tc>
      </w:tr>
      <w:tr w:rsidR="009A7DFD" w:rsidRPr="0066602A" w14:paraId="4B8C02B8"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B73DFD1"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Flynn, 2010</w:t>
            </w:r>
          </w:p>
          <w:p w14:paraId="375E441F"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36682205" w14:textId="77777777" w:rsidR="009A7DFD" w:rsidRPr="0066602A" w:rsidRDefault="009A7DFD" w:rsidP="001E304D">
            <w:pPr>
              <w:pStyle w:val="Table-Normal"/>
              <w:rPr>
                <w:color w:val="4E5053"/>
                <w:sz w:val="20"/>
                <w:szCs w:val="20"/>
                <w:lang w:val="en-US"/>
              </w:rPr>
            </w:pPr>
            <w:r w:rsidRPr="0066602A">
              <w:rPr>
                <w:color w:val="4E5053"/>
                <w:sz w:val="20"/>
                <w:szCs w:val="20"/>
                <w:lang w:val="en-US"/>
              </w:rPr>
              <w:t>Focus groups, 70-90min</w:t>
            </w:r>
          </w:p>
        </w:tc>
        <w:tc>
          <w:tcPr>
            <w:tcW w:w="498" w:type="pct"/>
          </w:tcPr>
          <w:p w14:paraId="53EDDB9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67</w:t>
            </w:r>
          </w:p>
        </w:tc>
        <w:tc>
          <w:tcPr>
            <w:tcW w:w="451" w:type="pct"/>
          </w:tcPr>
          <w:p w14:paraId="670E8F3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Male - 64%</w:t>
            </w:r>
            <w:r w:rsidRPr="0066602A">
              <w:rPr>
                <w:rFonts w:cstheme="minorHAnsi"/>
                <w:color w:val="4E5053"/>
                <w:sz w:val="20"/>
                <w:szCs w:val="20"/>
                <w:lang w:val="en-US"/>
              </w:rPr>
              <w:br/>
              <w:t>Female - 36%</w:t>
            </w:r>
            <w:r w:rsidRPr="0066602A">
              <w:rPr>
                <w:rFonts w:cstheme="minorHAnsi"/>
                <w:color w:val="4E5053"/>
                <w:sz w:val="20"/>
                <w:szCs w:val="20"/>
                <w:lang w:val="en-US"/>
              </w:rPr>
              <w:br/>
              <w:t>Mean - NR</w:t>
            </w:r>
          </w:p>
        </w:tc>
        <w:tc>
          <w:tcPr>
            <w:tcW w:w="740" w:type="pct"/>
          </w:tcPr>
          <w:p w14:paraId="34991CE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Brain: 1 (1%)</w:t>
            </w:r>
            <w:r w:rsidRPr="0066602A">
              <w:rPr>
                <w:color w:val="4E5053"/>
                <w:sz w:val="20"/>
                <w:szCs w:val="20"/>
                <w:lang w:val="en-US"/>
              </w:rPr>
              <w:br/>
              <w:t>Breast: 12 (18%)</w:t>
            </w:r>
            <w:r w:rsidRPr="0066602A">
              <w:rPr>
                <w:color w:val="4E5053"/>
                <w:sz w:val="20"/>
                <w:szCs w:val="20"/>
                <w:lang w:val="en-US"/>
              </w:rPr>
              <w:br/>
              <w:t>Colorectal: 3 (4%)</w:t>
            </w:r>
            <w:r w:rsidRPr="0066602A">
              <w:rPr>
                <w:color w:val="4E5053"/>
                <w:sz w:val="20"/>
                <w:szCs w:val="20"/>
                <w:lang w:val="en-US"/>
              </w:rPr>
              <w:br/>
              <w:t>Gynecologic: 5 (7%)</w:t>
            </w:r>
            <w:r w:rsidRPr="0066602A">
              <w:rPr>
                <w:color w:val="4E5053"/>
                <w:sz w:val="20"/>
                <w:szCs w:val="20"/>
                <w:lang w:val="en-US"/>
              </w:rPr>
              <w:br/>
              <w:t>Hematologic: 10 (15%)</w:t>
            </w:r>
            <w:r w:rsidRPr="0066602A">
              <w:rPr>
                <w:color w:val="4E5053"/>
                <w:sz w:val="20"/>
                <w:szCs w:val="20"/>
                <w:lang w:val="en-US"/>
              </w:rPr>
              <w:br/>
              <w:t>Lung: 5 (7%)</w:t>
            </w:r>
            <w:r w:rsidRPr="0066602A">
              <w:rPr>
                <w:color w:val="4E5053"/>
                <w:sz w:val="20"/>
                <w:szCs w:val="20"/>
                <w:lang w:val="en-US"/>
              </w:rPr>
              <w:br/>
              <w:t>Other GI: 3 (4%)</w:t>
            </w:r>
            <w:r w:rsidRPr="0066602A">
              <w:rPr>
                <w:color w:val="4E5053"/>
                <w:sz w:val="20"/>
                <w:szCs w:val="20"/>
                <w:lang w:val="en-US"/>
              </w:rPr>
              <w:br/>
              <w:t>Prostate: 18 (27%)</w:t>
            </w:r>
            <w:r w:rsidRPr="0066602A">
              <w:rPr>
                <w:color w:val="4E5053"/>
                <w:sz w:val="20"/>
                <w:szCs w:val="20"/>
                <w:lang w:val="en-US"/>
              </w:rPr>
              <w:br/>
              <w:t>Other: 10 (15%)</w:t>
            </w:r>
          </w:p>
        </w:tc>
        <w:tc>
          <w:tcPr>
            <w:tcW w:w="1044" w:type="pct"/>
          </w:tcPr>
          <w:p w14:paraId="70F5ACC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Active treatment, early stage: 17 (25%)</w:t>
            </w:r>
            <w:r w:rsidRPr="0066602A">
              <w:rPr>
                <w:color w:val="4E5053"/>
                <w:sz w:val="20"/>
                <w:szCs w:val="20"/>
                <w:lang w:val="en-US"/>
              </w:rPr>
              <w:br/>
              <w:t>Active treatment, advanced stage: 22 (33%)</w:t>
            </w:r>
            <w:r w:rsidRPr="0066602A">
              <w:rPr>
                <w:color w:val="4E5053"/>
                <w:sz w:val="20"/>
                <w:szCs w:val="20"/>
                <w:lang w:val="en-US"/>
              </w:rPr>
              <w:br/>
              <w:t>Active treatment, unknown stage: 9 (13%)</w:t>
            </w:r>
          </w:p>
        </w:tc>
        <w:tc>
          <w:tcPr>
            <w:tcW w:w="1809" w:type="pct"/>
          </w:tcPr>
          <w:p w14:paraId="1BF2C56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Daytime sleepiness was discussed in all 10 groups and fatigue (by name) in 9 of the 10 groups. </w:t>
            </w:r>
            <w:r w:rsidRPr="0066602A">
              <w:rPr>
                <w:color w:val="4E5053"/>
                <w:sz w:val="20"/>
                <w:szCs w:val="20"/>
                <w:lang w:val="en-US"/>
              </w:rPr>
              <w:br/>
              <w:t xml:space="preserve">&gt;The concepts overlapped for many participants, though not all. Some participants described daytime sleepiness and feeling tired. </w:t>
            </w:r>
            <w:r w:rsidRPr="0066602A">
              <w:rPr>
                <w:color w:val="4E5053"/>
                <w:sz w:val="20"/>
                <w:szCs w:val="20"/>
                <w:lang w:val="en-US"/>
              </w:rPr>
              <w:br/>
              <w:t>&gt;A few participants distinguished fatigue from daytime sleepiness, linking fatigue with anemia.</w:t>
            </w:r>
          </w:p>
        </w:tc>
      </w:tr>
      <w:tr w:rsidR="009A7DFD" w:rsidRPr="0066602A" w14:paraId="7F82AC37"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55121D0" w14:textId="77777777" w:rsidR="009A7DFD" w:rsidRPr="0066602A" w:rsidRDefault="009A7DFD" w:rsidP="001E304D">
            <w:pPr>
              <w:pStyle w:val="Table-Normal"/>
              <w:rPr>
                <w:bCs/>
                <w:color w:val="4E5053"/>
                <w:sz w:val="20"/>
                <w:szCs w:val="20"/>
                <w:lang w:val="en-US"/>
              </w:rPr>
            </w:pPr>
            <w:proofErr w:type="spellStart"/>
            <w:r w:rsidRPr="0066602A">
              <w:rPr>
                <w:color w:val="4E5053"/>
                <w:sz w:val="20"/>
                <w:szCs w:val="20"/>
                <w:lang w:val="en-US"/>
              </w:rPr>
              <w:t>Fortmann</w:t>
            </w:r>
            <w:proofErr w:type="spellEnd"/>
            <w:r w:rsidRPr="0066602A">
              <w:rPr>
                <w:color w:val="4E5053"/>
                <w:sz w:val="20"/>
                <w:szCs w:val="20"/>
                <w:lang w:val="en-US"/>
              </w:rPr>
              <w:t>, 2018</w:t>
            </w:r>
          </w:p>
          <w:p w14:paraId="248B01A7" w14:textId="77777777" w:rsidR="009A7DFD" w:rsidRPr="0066602A" w:rsidRDefault="009A7DFD" w:rsidP="001E304D">
            <w:pPr>
              <w:pStyle w:val="Table-Normal"/>
              <w:rPr>
                <w:color w:val="4E5053"/>
                <w:sz w:val="20"/>
                <w:szCs w:val="20"/>
                <w:lang w:val="en-US"/>
              </w:rPr>
            </w:pPr>
            <w:r w:rsidRPr="0066602A">
              <w:rPr>
                <w:color w:val="4E5053"/>
                <w:sz w:val="20"/>
                <w:szCs w:val="20"/>
                <w:lang w:val="en-US"/>
              </w:rPr>
              <w:t>UK</w:t>
            </w:r>
          </w:p>
          <w:p w14:paraId="03CB3C63" w14:textId="77777777" w:rsidR="009A7DFD" w:rsidRPr="0066602A" w:rsidRDefault="009A7DFD" w:rsidP="001E304D">
            <w:pPr>
              <w:pStyle w:val="Table-Normal"/>
              <w:rPr>
                <w:color w:val="4E5053"/>
                <w:sz w:val="20"/>
                <w:szCs w:val="20"/>
                <w:lang w:val="en-US"/>
              </w:rPr>
            </w:pPr>
            <w:r w:rsidRPr="0066602A">
              <w:rPr>
                <w:color w:val="4E5053"/>
                <w:sz w:val="20"/>
                <w:szCs w:val="20"/>
                <w:lang w:val="en-US"/>
              </w:rPr>
              <w:t>Cross-sectional survey design, 1 year</w:t>
            </w:r>
          </w:p>
        </w:tc>
        <w:tc>
          <w:tcPr>
            <w:tcW w:w="498" w:type="pct"/>
          </w:tcPr>
          <w:p w14:paraId="26D857D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TYA survivors on treatment (n=67)</w:t>
            </w:r>
            <w:r w:rsidRPr="0066602A">
              <w:rPr>
                <w:color w:val="4E5053"/>
                <w:sz w:val="20"/>
                <w:szCs w:val="20"/>
                <w:lang w:val="en-US"/>
              </w:rPr>
              <w:br/>
              <w:t xml:space="preserve">TYA survivors off treatment (n=135). </w:t>
            </w:r>
          </w:p>
        </w:tc>
        <w:tc>
          <w:tcPr>
            <w:tcW w:w="451" w:type="pct"/>
          </w:tcPr>
          <w:p w14:paraId="54AE9D9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Male - 35%</w:t>
            </w:r>
            <w:r w:rsidRPr="0066602A">
              <w:rPr>
                <w:rFonts w:cstheme="minorHAnsi"/>
                <w:color w:val="4E5053"/>
                <w:sz w:val="20"/>
                <w:szCs w:val="20"/>
                <w:lang w:val="en-US"/>
              </w:rPr>
              <w:br/>
              <w:t>Female - 65%</w:t>
            </w:r>
            <w:r w:rsidRPr="0066602A">
              <w:rPr>
                <w:rFonts w:cstheme="minorHAnsi"/>
                <w:color w:val="4E5053"/>
                <w:sz w:val="20"/>
                <w:szCs w:val="20"/>
                <w:lang w:val="en-US"/>
              </w:rPr>
              <w:br/>
              <w:t>Mean - 20.17</w:t>
            </w:r>
          </w:p>
        </w:tc>
        <w:tc>
          <w:tcPr>
            <w:tcW w:w="740" w:type="pct"/>
          </w:tcPr>
          <w:p w14:paraId="49E04C1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NR</w:t>
            </w:r>
          </w:p>
        </w:tc>
        <w:tc>
          <w:tcPr>
            <w:tcW w:w="1044" w:type="pct"/>
          </w:tcPr>
          <w:p w14:paraId="3CD4354C" w14:textId="52B79098"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Almost all TYAs on (95.52%) and off treatment (94.81%) reported to have received/receive chemotherapy and/or </w:t>
            </w:r>
            <w:r w:rsidR="00480763" w:rsidRPr="0066602A">
              <w:rPr>
                <w:color w:val="4E5053"/>
                <w:sz w:val="20"/>
                <w:szCs w:val="20"/>
                <w:lang w:val="en-US"/>
              </w:rPr>
              <w:t xml:space="preserve">radiation </w:t>
            </w:r>
            <w:r w:rsidRPr="0066602A">
              <w:rPr>
                <w:color w:val="4E5053"/>
                <w:sz w:val="20"/>
                <w:szCs w:val="20"/>
                <w:lang w:val="en-US"/>
              </w:rPr>
              <w:t>therapy as cancer treatment</w:t>
            </w:r>
          </w:p>
        </w:tc>
        <w:tc>
          <w:tcPr>
            <w:tcW w:w="1809" w:type="pct"/>
          </w:tcPr>
          <w:p w14:paraId="340D72C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b/>
                <w:bCs w:val="0"/>
                <w:color w:val="4E5053"/>
                <w:sz w:val="20"/>
                <w:szCs w:val="20"/>
                <w:lang w:val="en-US"/>
              </w:rPr>
            </w:pPr>
            <w:r w:rsidRPr="0066602A">
              <w:rPr>
                <w:b/>
                <w:bCs w:val="0"/>
                <w:color w:val="4E5053"/>
                <w:sz w:val="20"/>
                <w:szCs w:val="20"/>
                <w:lang w:val="en-US"/>
              </w:rPr>
              <w:t>Fatigue scores indicating clinically significant levels of fatigue:</w:t>
            </w:r>
          </w:p>
          <w:p w14:paraId="02F867A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TYAs on treatment: 56.72%</w:t>
            </w:r>
          </w:p>
          <w:p w14:paraId="0EAC353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TYAs off treatment: 26.67% </w:t>
            </w:r>
            <w:r w:rsidRPr="0066602A">
              <w:rPr>
                <w:color w:val="4E5053"/>
                <w:sz w:val="20"/>
                <w:szCs w:val="20"/>
                <w:lang w:val="en-US"/>
              </w:rPr>
              <w:br/>
              <w:t>&gt; Sleep quality and fatigue were significantly associated among TYA survivors on treatment (β=0.41, 95% CI=0.54-1.98,B=1.26, p=0.001) and off treatment (β=0.54, 95% CI=1.21-2.17, B=1.69, p&lt;0.001).</w:t>
            </w:r>
            <w:r w:rsidRPr="0066602A">
              <w:rPr>
                <w:color w:val="4E5053"/>
                <w:sz w:val="20"/>
                <w:szCs w:val="20"/>
                <w:lang w:val="en-US"/>
              </w:rPr>
              <w:br/>
              <w:t xml:space="preserve">&gt; After entering sleep quality and fatigue into the same model fatigue was strongly associated with </w:t>
            </w:r>
            <w:proofErr w:type="spellStart"/>
            <w:r w:rsidRPr="0066602A">
              <w:rPr>
                <w:color w:val="4E5053"/>
                <w:sz w:val="20"/>
                <w:szCs w:val="20"/>
                <w:lang w:val="en-US"/>
              </w:rPr>
              <w:t>HRQoL</w:t>
            </w:r>
            <w:proofErr w:type="spellEnd"/>
            <w:r w:rsidRPr="0066602A">
              <w:rPr>
                <w:color w:val="4E5053"/>
                <w:sz w:val="20"/>
                <w:szCs w:val="20"/>
                <w:lang w:val="en-US"/>
              </w:rPr>
              <w:t xml:space="preserve"> (β=0.63, 95% CI=0.01-0.02, B=0.02, p&lt;0.001).</w:t>
            </w:r>
          </w:p>
        </w:tc>
      </w:tr>
      <w:tr w:rsidR="009A7DFD" w:rsidRPr="0066602A" w14:paraId="5D088C18"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315A906"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Gehrman, 2017</w:t>
            </w:r>
          </w:p>
          <w:p w14:paraId="01022C84"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4B72758E" w14:textId="77777777" w:rsidR="009A7DFD" w:rsidRPr="0066602A" w:rsidRDefault="009A7DFD" w:rsidP="001E304D">
            <w:pPr>
              <w:pStyle w:val="Table-Normal"/>
              <w:rPr>
                <w:color w:val="4E5053"/>
                <w:sz w:val="20"/>
                <w:szCs w:val="20"/>
                <w:lang w:val="en-US"/>
              </w:rPr>
            </w:pPr>
            <w:r w:rsidRPr="0066602A">
              <w:rPr>
                <w:color w:val="4E5053"/>
                <w:sz w:val="20"/>
                <w:szCs w:val="20"/>
                <w:lang w:val="en-US"/>
              </w:rPr>
              <w:t>Cross-sectional survey, NR</w:t>
            </w:r>
          </w:p>
        </w:tc>
        <w:tc>
          <w:tcPr>
            <w:tcW w:w="498" w:type="pct"/>
          </w:tcPr>
          <w:p w14:paraId="0114ABD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413</w:t>
            </w:r>
          </w:p>
        </w:tc>
        <w:tc>
          <w:tcPr>
            <w:tcW w:w="451" w:type="pct"/>
          </w:tcPr>
          <w:p w14:paraId="11123C7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- 61.7</w:t>
            </w:r>
          </w:p>
        </w:tc>
        <w:tc>
          <w:tcPr>
            <w:tcW w:w="740" w:type="pct"/>
          </w:tcPr>
          <w:p w14:paraId="03A577E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Breast cancer: 413 (100%)</w:t>
            </w:r>
          </w:p>
        </w:tc>
        <w:tc>
          <w:tcPr>
            <w:tcW w:w="1044" w:type="pct"/>
          </w:tcPr>
          <w:p w14:paraId="7DF55E0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Patients were currently taking a third-generation aromatase inhibitor (anastrozole, letrozole, or exemestane). </w:t>
            </w:r>
            <w:r w:rsidRPr="0066602A">
              <w:rPr>
                <w:color w:val="4E5053"/>
                <w:sz w:val="20"/>
                <w:szCs w:val="20"/>
                <w:lang w:val="en-US"/>
              </w:rPr>
              <w:br/>
              <w:t>(Aromatase inhibitors are a class of drugs used in the treatment of breast cancer in postmenopausal women)</w:t>
            </w:r>
          </w:p>
        </w:tc>
        <w:tc>
          <w:tcPr>
            <w:tcW w:w="1809" w:type="pct"/>
          </w:tcPr>
          <w:p w14:paraId="4925F05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b/>
                <w:bCs w:val="0"/>
                <w:color w:val="4E5053"/>
                <w:sz w:val="20"/>
                <w:szCs w:val="20"/>
                <w:lang w:val="en-US"/>
              </w:rPr>
              <w:t>Factor loadings for each scale were:</w:t>
            </w:r>
            <w:r w:rsidRPr="0066602A">
              <w:rPr>
                <w:color w:val="4E5053"/>
                <w:sz w:val="20"/>
                <w:szCs w:val="20"/>
                <w:lang w:val="en-US"/>
              </w:rPr>
              <w:t xml:space="preserve"> ISI = 0.67, BFI = 0.81, BPI = 0.56, HADS Anxiety = 0.63, HADS Depression = 0.78, indicating that all symptoms contributed significantly to the factor, with depression and fatigue carrying the most weight and pain the least.</w:t>
            </w:r>
          </w:p>
          <w:p w14:paraId="4F8283D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The factor score accounted for 53.3% of the variance in ISI total score.</w:t>
            </w:r>
            <w:r w:rsidRPr="0066602A">
              <w:rPr>
                <w:color w:val="4E5053"/>
                <w:sz w:val="20"/>
                <w:szCs w:val="20"/>
                <w:lang w:val="en-US"/>
              </w:rPr>
              <w:br/>
            </w:r>
            <w:r w:rsidRPr="0066602A">
              <w:rPr>
                <w:color w:val="4E5053"/>
                <w:sz w:val="20"/>
                <w:szCs w:val="20"/>
                <w:lang w:val="en-US"/>
              </w:rPr>
              <w:lastRenderedPageBreak/>
              <w:t xml:space="preserve">Descriptive statistics for symptom measures, [mean (SD), range]: </w:t>
            </w:r>
            <w:r w:rsidRPr="0066602A">
              <w:rPr>
                <w:b/>
                <w:bCs w:val="0"/>
                <w:color w:val="4E5053"/>
                <w:sz w:val="20"/>
                <w:szCs w:val="20"/>
                <w:lang w:val="en-US"/>
              </w:rPr>
              <w:t>BFI:</w:t>
            </w:r>
            <w:r w:rsidRPr="0066602A">
              <w:rPr>
                <w:color w:val="4E5053"/>
                <w:sz w:val="20"/>
                <w:szCs w:val="20"/>
                <w:lang w:val="en-US"/>
              </w:rPr>
              <w:t xml:space="preserve"> 2.3 (2.3), 0–9.7.</w:t>
            </w:r>
          </w:p>
        </w:tc>
      </w:tr>
      <w:tr w:rsidR="009A7DFD" w:rsidRPr="0066602A" w14:paraId="2BFFFFCF"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BF36F61"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Kramer, 2000</w:t>
            </w:r>
          </w:p>
          <w:p w14:paraId="35049CFA" w14:textId="77777777" w:rsidR="009A7DFD" w:rsidRPr="0066602A" w:rsidRDefault="009A7DFD" w:rsidP="001E304D">
            <w:pPr>
              <w:pStyle w:val="Table-Normal"/>
              <w:rPr>
                <w:color w:val="4E5053"/>
                <w:sz w:val="20"/>
                <w:szCs w:val="20"/>
                <w:lang w:val="en-US"/>
              </w:rPr>
            </w:pPr>
            <w:r w:rsidRPr="0066602A">
              <w:rPr>
                <w:color w:val="4E5053"/>
                <w:sz w:val="20"/>
                <w:szCs w:val="20"/>
                <w:lang w:val="en-US"/>
              </w:rPr>
              <w:t>Brussels</w:t>
            </w:r>
          </w:p>
          <w:p w14:paraId="0D06FA44" w14:textId="77777777" w:rsidR="009A7DFD" w:rsidRPr="0066602A" w:rsidRDefault="009A7DFD" w:rsidP="001E304D">
            <w:pPr>
              <w:pStyle w:val="Table-Normal"/>
              <w:rPr>
                <w:color w:val="4E5053"/>
                <w:sz w:val="20"/>
                <w:szCs w:val="20"/>
                <w:lang w:val="en-US"/>
              </w:rPr>
            </w:pPr>
            <w:r w:rsidRPr="0066602A">
              <w:rPr>
                <w:color w:val="4E5053"/>
                <w:sz w:val="20"/>
                <w:szCs w:val="20"/>
                <w:lang w:val="en-US"/>
              </w:rPr>
              <w:t>Exploratory prognostic factor analysis from a randomized phase II/III trial, September 1993-April 1996</w:t>
            </w:r>
          </w:p>
        </w:tc>
        <w:tc>
          <w:tcPr>
            <w:tcW w:w="498" w:type="pct"/>
          </w:tcPr>
          <w:p w14:paraId="5FBBB53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187</w:t>
            </w:r>
          </w:p>
        </w:tc>
        <w:tc>
          <w:tcPr>
            <w:tcW w:w="451" w:type="pct"/>
          </w:tcPr>
          <w:p w14:paraId="3F23761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NR</w:t>
            </w:r>
          </w:p>
        </w:tc>
        <w:tc>
          <w:tcPr>
            <w:tcW w:w="740" w:type="pct"/>
          </w:tcPr>
          <w:p w14:paraId="4E752C6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Breast Cancer: 100%</w:t>
            </w:r>
          </w:p>
        </w:tc>
        <w:tc>
          <w:tcPr>
            <w:tcW w:w="1044" w:type="pct"/>
          </w:tcPr>
          <w:p w14:paraId="0035A7D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Chemotherapy:</w:t>
            </w:r>
            <w:r w:rsidRPr="0066602A">
              <w:rPr>
                <w:color w:val="4E5053"/>
                <w:sz w:val="20"/>
                <w:szCs w:val="20"/>
                <w:lang w:val="en-US"/>
              </w:rPr>
              <w:br/>
              <w:t>Paclitaxel: 94 (50.3%)</w:t>
            </w:r>
            <w:r w:rsidRPr="0066602A">
              <w:rPr>
                <w:color w:val="4E5053"/>
                <w:sz w:val="20"/>
                <w:szCs w:val="20"/>
                <w:lang w:val="en-US"/>
              </w:rPr>
              <w:br/>
              <w:t>Doxorubicin: 93 (49.7%)</w:t>
            </w:r>
          </w:p>
        </w:tc>
        <w:tc>
          <w:tcPr>
            <w:tcW w:w="1809" w:type="pct"/>
          </w:tcPr>
          <w:p w14:paraId="25759C7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Correlation matrix for Insomnia and fatigue: 0.203 </w:t>
            </w:r>
          </w:p>
        </w:tc>
      </w:tr>
      <w:tr w:rsidR="009A7DFD" w:rsidRPr="0066602A" w14:paraId="438CFA99"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7057F1E" w14:textId="77777777" w:rsidR="009A7DFD" w:rsidRPr="0066602A" w:rsidRDefault="009A7DFD" w:rsidP="001E304D">
            <w:pPr>
              <w:pStyle w:val="Table-Normal"/>
              <w:rPr>
                <w:bCs/>
                <w:color w:val="4E5053"/>
                <w:sz w:val="20"/>
                <w:szCs w:val="20"/>
                <w:lang w:val="en-US"/>
              </w:rPr>
            </w:pPr>
            <w:proofErr w:type="spellStart"/>
            <w:r w:rsidRPr="0066602A">
              <w:rPr>
                <w:color w:val="4E5053"/>
                <w:sz w:val="20"/>
                <w:szCs w:val="20"/>
                <w:lang w:val="en-US"/>
              </w:rPr>
              <w:t>Kwekkeboom</w:t>
            </w:r>
            <w:proofErr w:type="spellEnd"/>
            <w:r w:rsidRPr="0066602A">
              <w:rPr>
                <w:color w:val="4E5053"/>
                <w:sz w:val="20"/>
                <w:szCs w:val="20"/>
                <w:lang w:val="en-US"/>
              </w:rPr>
              <w:t>, 2018</w:t>
            </w:r>
          </w:p>
          <w:p w14:paraId="48EA7059"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64E4E6FD" w14:textId="77777777" w:rsidR="009A7DFD" w:rsidRPr="0066602A" w:rsidRDefault="009A7DFD" w:rsidP="001E304D">
            <w:pPr>
              <w:pStyle w:val="Table-Normal"/>
              <w:rPr>
                <w:color w:val="4E5053"/>
                <w:sz w:val="20"/>
                <w:szCs w:val="20"/>
                <w:lang w:val="en-US"/>
              </w:rPr>
            </w:pPr>
            <w:r w:rsidRPr="0066602A">
              <w:rPr>
                <w:color w:val="4E5053"/>
                <w:sz w:val="20"/>
                <w:szCs w:val="20"/>
                <w:lang w:val="en-US"/>
              </w:rPr>
              <w:t xml:space="preserve">Descriptive correlational analysis from </w:t>
            </w:r>
            <w:proofErr w:type="gramStart"/>
            <w:r w:rsidRPr="0066602A">
              <w:rPr>
                <w:color w:val="4E5053"/>
                <w:sz w:val="20"/>
                <w:szCs w:val="20"/>
                <w:lang w:val="en-US"/>
              </w:rPr>
              <w:t>a</w:t>
            </w:r>
            <w:proofErr w:type="gramEnd"/>
            <w:r w:rsidRPr="0066602A">
              <w:rPr>
                <w:color w:val="4E5053"/>
                <w:sz w:val="20"/>
                <w:szCs w:val="20"/>
                <w:lang w:val="en-US"/>
              </w:rPr>
              <w:t xml:space="preserve"> RCT, NR</w:t>
            </w:r>
          </w:p>
        </w:tc>
        <w:tc>
          <w:tcPr>
            <w:tcW w:w="498" w:type="pct"/>
          </w:tcPr>
          <w:p w14:paraId="3C7E5DE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158</w:t>
            </w:r>
          </w:p>
        </w:tc>
        <w:tc>
          <w:tcPr>
            <w:tcW w:w="451" w:type="pct"/>
          </w:tcPr>
          <w:p w14:paraId="56E4AF7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Male - 28%</w:t>
            </w:r>
            <w:r w:rsidRPr="0066602A">
              <w:rPr>
                <w:rFonts w:cstheme="minorHAnsi"/>
                <w:color w:val="4E5053"/>
                <w:sz w:val="20"/>
                <w:szCs w:val="20"/>
                <w:lang w:val="en-US"/>
              </w:rPr>
              <w:br/>
              <w:t>Female - 72%</w:t>
            </w:r>
            <w:r w:rsidRPr="0066602A">
              <w:rPr>
                <w:rFonts w:cstheme="minorHAnsi"/>
                <w:color w:val="4E5053"/>
                <w:sz w:val="20"/>
                <w:szCs w:val="20"/>
                <w:lang w:val="en-US"/>
              </w:rPr>
              <w:br/>
              <w:t>Mean - 58.68</w:t>
            </w:r>
          </w:p>
        </w:tc>
        <w:tc>
          <w:tcPr>
            <w:tcW w:w="740" w:type="pct"/>
          </w:tcPr>
          <w:p w14:paraId="1E2C7EE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Breast cancer: 36 (23%)</w:t>
            </w:r>
            <w:r w:rsidRPr="0066602A">
              <w:rPr>
                <w:rFonts w:cstheme="minorHAnsi"/>
                <w:color w:val="4E5053"/>
                <w:sz w:val="20"/>
                <w:szCs w:val="20"/>
                <w:lang w:val="en-US"/>
              </w:rPr>
              <w:br/>
              <w:t>GI cancer: 34 (22%)</w:t>
            </w:r>
            <w:r w:rsidRPr="0066602A">
              <w:rPr>
                <w:rFonts w:cstheme="minorHAnsi"/>
                <w:color w:val="4E5053"/>
                <w:sz w:val="20"/>
                <w:szCs w:val="20"/>
                <w:lang w:val="en-US"/>
              </w:rPr>
              <w:br/>
              <w:t>Lung cancer: 30 (19%)</w:t>
            </w:r>
            <w:r w:rsidRPr="0066602A">
              <w:rPr>
                <w:rFonts w:cstheme="minorHAnsi"/>
                <w:color w:val="4E5053"/>
                <w:sz w:val="20"/>
                <w:szCs w:val="20"/>
                <w:lang w:val="en-US"/>
              </w:rPr>
              <w:br/>
              <w:t>Gynecologic cancer: 29 (18%)</w:t>
            </w:r>
          </w:p>
        </w:tc>
        <w:tc>
          <w:tcPr>
            <w:tcW w:w="1044" w:type="pct"/>
          </w:tcPr>
          <w:p w14:paraId="2C0D953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Cytotoxic chemotherapy alone: 84 (53%)</w:t>
            </w:r>
            <w:r w:rsidRPr="0066602A">
              <w:rPr>
                <w:color w:val="4E5053"/>
                <w:sz w:val="20"/>
                <w:szCs w:val="20"/>
                <w:lang w:val="en-US"/>
              </w:rPr>
              <w:br/>
              <w:t>Combination of cytotoxic and targeted therapies: 39 (25%)</w:t>
            </w:r>
          </w:p>
        </w:tc>
        <w:tc>
          <w:tcPr>
            <w:tcW w:w="1809" w:type="pct"/>
          </w:tcPr>
          <w:p w14:paraId="2021963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Psychological stress was positively related to symptom cluster distress in the analyses including CRP (b = 0.24, P=0.011) and IL-1b (b = 0.24, P=0.011), such that higher levels of stress correlated with greater pain, fatigue, and sleep disturbance symptom cluster-related distress. </w:t>
            </w:r>
            <w:r w:rsidRPr="0066602A">
              <w:rPr>
                <w:color w:val="4E5053"/>
                <w:sz w:val="20"/>
                <w:szCs w:val="20"/>
                <w:lang w:val="en-US"/>
              </w:rPr>
              <w:br/>
              <w:t>&gt; Higher levels of TNF-a were associated with greater distress from the pain, fatigue, and sleep disturbance symptom cluster (b= 0.20, P =0.003)</w:t>
            </w:r>
            <w:r w:rsidRPr="0066602A">
              <w:rPr>
                <w:color w:val="4E5053"/>
                <w:sz w:val="20"/>
                <w:szCs w:val="20"/>
                <w:lang w:val="en-US"/>
              </w:rPr>
              <w:br/>
              <w:t>&gt; Higher levels of TNF-a were associated with more pain, fatigue, and sleep disturbance symptom cluster-related distress, which, in turn, resulted in greater interference with daily life.</w:t>
            </w:r>
          </w:p>
        </w:tc>
      </w:tr>
      <w:tr w:rsidR="009A7DFD" w:rsidRPr="0066602A" w14:paraId="6071BA8C"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2769D05"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Liu, 2009</w:t>
            </w:r>
          </w:p>
          <w:p w14:paraId="6B728FB2"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24FF996D" w14:textId="77777777" w:rsidR="009A7DFD" w:rsidRPr="0066602A" w:rsidRDefault="009A7DFD" w:rsidP="001E304D">
            <w:pPr>
              <w:pStyle w:val="Table-Normal"/>
              <w:rPr>
                <w:color w:val="4E5053"/>
                <w:sz w:val="20"/>
                <w:szCs w:val="20"/>
                <w:lang w:val="en-US"/>
              </w:rPr>
            </w:pPr>
            <w:r w:rsidRPr="0066602A">
              <w:rPr>
                <w:color w:val="4E5053"/>
                <w:sz w:val="20"/>
                <w:szCs w:val="20"/>
                <w:lang w:val="en-US"/>
              </w:rPr>
              <w:t>Prospective Study, NR</w:t>
            </w:r>
          </w:p>
        </w:tc>
        <w:tc>
          <w:tcPr>
            <w:tcW w:w="498" w:type="pct"/>
          </w:tcPr>
          <w:p w14:paraId="7CADA48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sz w:val="20"/>
                <w:szCs w:val="20"/>
                <w:lang w:val="en-US"/>
              </w:rPr>
              <w:t>76</w:t>
            </w:r>
          </w:p>
        </w:tc>
        <w:tc>
          <w:tcPr>
            <w:tcW w:w="451" w:type="pct"/>
          </w:tcPr>
          <w:p w14:paraId="2C8D457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- 51.1</w:t>
            </w:r>
          </w:p>
        </w:tc>
        <w:tc>
          <w:tcPr>
            <w:tcW w:w="740" w:type="pct"/>
          </w:tcPr>
          <w:p w14:paraId="42AE436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Breast Cancer: 76 (100%)</w:t>
            </w:r>
          </w:p>
        </w:tc>
        <w:tc>
          <w:tcPr>
            <w:tcW w:w="1044" w:type="pct"/>
          </w:tcPr>
          <w:p w14:paraId="325C1B6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Chemotherapy (Adjuvant or neoadjuvant): 76 (100%)</w:t>
            </w:r>
            <w:r w:rsidRPr="0066602A">
              <w:rPr>
                <w:color w:val="4E5053"/>
                <w:sz w:val="20"/>
                <w:szCs w:val="20"/>
                <w:lang w:val="en-US"/>
              </w:rPr>
              <w:br/>
            </w:r>
            <w:r w:rsidRPr="0066602A">
              <w:rPr>
                <w:color w:val="4E5053"/>
                <w:sz w:val="20"/>
                <w:szCs w:val="20"/>
                <w:lang w:val="en-US"/>
              </w:rPr>
              <w:br/>
              <w:t>Regimens broken down;</w:t>
            </w:r>
            <w:r w:rsidRPr="0066602A">
              <w:rPr>
                <w:color w:val="4E5053"/>
                <w:sz w:val="20"/>
                <w:szCs w:val="20"/>
                <w:lang w:val="en-US"/>
              </w:rPr>
              <w:br/>
            </w:r>
            <w:proofErr w:type="spellStart"/>
            <w:r w:rsidRPr="0066602A">
              <w:rPr>
                <w:color w:val="4E5053"/>
                <w:sz w:val="20"/>
                <w:szCs w:val="20"/>
                <w:lang w:val="en-US"/>
              </w:rPr>
              <w:t>AC+fluorouracil</w:t>
            </w:r>
            <w:proofErr w:type="spellEnd"/>
            <w:r w:rsidRPr="0066602A">
              <w:rPr>
                <w:color w:val="4E5053"/>
                <w:sz w:val="20"/>
                <w:szCs w:val="20"/>
                <w:lang w:val="en-US"/>
              </w:rPr>
              <w:t>/docetaxel/paclitaxel: 72 (94.7%)</w:t>
            </w:r>
            <w:r w:rsidRPr="0066602A">
              <w:rPr>
                <w:color w:val="4E5053"/>
                <w:sz w:val="20"/>
                <w:szCs w:val="20"/>
                <w:lang w:val="en-US"/>
              </w:rPr>
              <w:br/>
              <w:t>CEF: 4 (5.3%)</w:t>
            </w:r>
            <w:r w:rsidRPr="0066602A">
              <w:rPr>
                <w:color w:val="4E5053"/>
                <w:sz w:val="20"/>
                <w:szCs w:val="20"/>
                <w:lang w:val="en-US"/>
              </w:rPr>
              <w:br/>
              <w:t xml:space="preserve">(AC, </w:t>
            </w:r>
            <w:proofErr w:type="gramStart"/>
            <w:r w:rsidRPr="0066602A">
              <w:rPr>
                <w:color w:val="4E5053"/>
                <w:sz w:val="20"/>
                <w:szCs w:val="20"/>
                <w:lang w:val="en-US"/>
              </w:rPr>
              <w:t>doxorubicin</w:t>
            </w:r>
            <w:proofErr w:type="gramEnd"/>
            <w:r w:rsidRPr="0066602A">
              <w:rPr>
                <w:color w:val="4E5053"/>
                <w:sz w:val="20"/>
                <w:szCs w:val="20"/>
                <w:lang w:val="en-US"/>
              </w:rPr>
              <w:t xml:space="preserve"> and </w:t>
            </w:r>
            <w:r w:rsidRPr="0066602A">
              <w:rPr>
                <w:color w:val="4E5053"/>
                <w:sz w:val="20"/>
                <w:szCs w:val="20"/>
                <w:lang w:val="en-US"/>
              </w:rPr>
              <w:lastRenderedPageBreak/>
              <w:t>cyclophosphamide; CEF, cyclophosphamide)</w:t>
            </w:r>
          </w:p>
        </w:tc>
        <w:tc>
          <w:tcPr>
            <w:tcW w:w="1809" w:type="pct"/>
          </w:tcPr>
          <w:p w14:paraId="12945AF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lastRenderedPageBreak/>
              <w:t xml:space="preserve">&gt; 50 (66%) of the 76 women reported poor sleep quality (PSQI score &gt;5), 48 (63%) reported fatigue (MFSI-SF score &gt;0.85) and 19 (25%) reported depressive symptoms (CES-D score &gt;16). These symptoms were significantly correlated with each other. </w:t>
            </w:r>
            <w:r w:rsidRPr="0066602A">
              <w:rPr>
                <w:color w:val="4E5053"/>
                <w:sz w:val="20"/>
                <w:szCs w:val="20"/>
                <w:lang w:val="en-US"/>
              </w:rPr>
              <w:br/>
              <w:t xml:space="preserve">&gt; The significant time effect suggests that there were changes in fatigue over time. </w:t>
            </w:r>
            <w:r w:rsidRPr="0066602A">
              <w:rPr>
                <w:color w:val="4E5053"/>
                <w:sz w:val="20"/>
                <w:szCs w:val="20"/>
                <w:lang w:val="en-US"/>
              </w:rPr>
              <w:br/>
              <w:t xml:space="preserve">&gt; During treatment, MFSI-SF scores for the SCI 0 group </w:t>
            </w:r>
            <w:r w:rsidRPr="0066602A">
              <w:rPr>
                <w:color w:val="4E5053"/>
                <w:sz w:val="20"/>
                <w:szCs w:val="20"/>
                <w:lang w:val="en-US"/>
              </w:rPr>
              <w:lastRenderedPageBreak/>
              <w:t>significantly increased from baseline to C1W1 (p =0.001), C4W1 (p =0.011), C4W2 (p=0.002) and C4W3 (p=0.012).</w:t>
            </w:r>
          </w:p>
        </w:tc>
      </w:tr>
      <w:tr w:rsidR="009A7DFD" w:rsidRPr="0066602A" w14:paraId="34819648"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060E7563"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Nishiura, 2013</w:t>
            </w:r>
          </w:p>
          <w:p w14:paraId="73BA1959" w14:textId="77777777" w:rsidR="009A7DFD" w:rsidRPr="0066602A" w:rsidRDefault="009A7DFD" w:rsidP="001E304D">
            <w:pPr>
              <w:pStyle w:val="Table-Normal"/>
              <w:rPr>
                <w:color w:val="4E5053"/>
                <w:sz w:val="20"/>
                <w:szCs w:val="20"/>
                <w:lang w:val="en-US"/>
              </w:rPr>
            </w:pPr>
            <w:r w:rsidRPr="0066602A">
              <w:rPr>
                <w:color w:val="4E5053"/>
                <w:sz w:val="20"/>
                <w:szCs w:val="20"/>
                <w:lang w:val="en-US"/>
              </w:rPr>
              <w:t>Japan</w:t>
            </w:r>
          </w:p>
          <w:p w14:paraId="456B68FD" w14:textId="77777777" w:rsidR="009A7DFD" w:rsidRPr="0066602A" w:rsidRDefault="009A7DFD" w:rsidP="001E304D">
            <w:pPr>
              <w:pStyle w:val="Table-Normal"/>
              <w:rPr>
                <w:color w:val="4E5053"/>
                <w:sz w:val="20"/>
                <w:szCs w:val="20"/>
                <w:lang w:val="en-US"/>
              </w:rPr>
            </w:pPr>
            <w:r w:rsidRPr="0066602A">
              <w:rPr>
                <w:color w:val="4E5053"/>
                <w:sz w:val="20"/>
                <w:szCs w:val="20"/>
                <w:lang w:val="en-US"/>
              </w:rPr>
              <w:t>Questionnaire, NR</w:t>
            </w:r>
          </w:p>
        </w:tc>
        <w:tc>
          <w:tcPr>
            <w:tcW w:w="498" w:type="pct"/>
          </w:tcPr>
          <w:p w14:paraId="44A77CE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50</w:t>
            </w:r>
          </w:p>
        </w:tc>
        <w:tc>
          <w:tcPr>
            <w:tcW w:w="451" w:type="pct"/>
          </w:tcPr>
          <w:p w14:paraId="686FF00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ascii="Calibri" w:hAnsi="Calibri" w:cs="Calibri"/>
                <w:color w:val="4E5053"/>
                <w:sz w:val="20"/>
                <w:szCs w:val="20"/>
                <w:lang w:val="en-US"/>
              </w:rPr>
              <w:t>Male - 70%</w:t>
            </w:r>
            <w:r w:rsidRPr="0066602A">
              <w:rPr>
                <w:rFonts w:ascii="Calibri" w:hAnsi="Calibri" w:cs="Calibri"/>
                <w:color w:val="4E5053"/>
                <w:sz w:val="20"/>
                <w:szCs w:val="20"/>
                <w:lang w:val="en-US"/>
              </w:rPr>
              <w:br/>
              <w:t>Female - 30%</w:t>
            </w:r>
            <w:r w:rsidRPr="0066602A">
              <w:rPr>
                <w:rFonts w:ascii="Calibri" w:hAnsi="Calibri" w:cs="Calibri"/>
                <w:color w:val="4E5053"/>
                <w:sz w:val="20"/>
                <w:szCs w:val="20"/>
                <w:lang w:val="en-US"/>
              </w:rPr>
              <w:br/>
              <w:t>Mean - 71.8</w:t>
            </w:r>
          </w:p>
        </w:tc>
        <w:tc>
          <w:tcPr>
            <w:tcW w:w="740" w:type="pct"/>
          </w:tcPr>
          <w:p w14:paraId="2958204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Lung cancer: 50 (100%)</w:t>
            </w:r>
          </w:p>
        </w:tc>
        <w:tc>
          <w:tcPr>
            <w:tcW w:w="1044" w:type="pct"/>
          </w:tcPr>
          <w:p w14:paraId="34DAEE3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Receiving chemotherapy</w:t>
            </w:r>
            <w:r w:rsidRPr="0066602A">
              <w:rPr>
                <w:color w:val="4E5053"/>
                <w:sz w:val="20"/>
                <w:szCs w:val="20"/>
                <w:lang w:val="en-US"/>
              </w:rPr>
              <w:br/>
              <w:t>Yes (inpatient): 21 (42%)</w:t>
            </w:r>
            <w:r w:rsidRPr="0066602A">
              <w:rPr>
                <w:color w:val="4E5053"/>
                <w:sz w:val="20"/>
                <w:szCs w:val="20"/>
                <w:lang w:val="en-US"/>
              </w:rPr>
              <w:br/>
              <w:t>Yes (outpatient): 10 (20%)</w:t>
            </w:r>
          </w:p>
        </w:tc>
        <w:tc>
          <w:tcPr>
            <w:tcW w:w="1809" w:type="pct"/>
          </w:tcPr>
          <w:p w14:paraId="4DF1136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&gt; Patients with sleep disturbance (AIS≥6) Mean (SD)</w:t>
            </w:r>
            <w:r w:rsidRPr="0066602A">
              <w:rPr>
                <w:color w:val="4E5053"/>
                <w:sz w:val="20"/>
                <w:szCs w:val="20"/>
                <w:lang w:val="en-US"/>
              </w:rPr>
              <w:br/>
              <w:t>&gt; Fatigue, 45.3 (22.0)</w:t>
            </w:r>
            <w:r w:rsidRPr="0066602A">
              <w:rPr>
                <w:color w:val="4E5053"/>
                <w:sz w:val="20"/>
                <w:szCs w:val="20"/>
                <w:lang w:val="en-US"/>
              </w:rPr>
              <w:br/>
              <w:t>&gt; Patients without sleep disturbance (AIS&lt;6) Mean (SD)</w:t>
            </w:r>
            <w:r w:rsidRPr="0066602A">
              <w:rPr>
                <w:color w:val="4E5053"/>
                <w:sz w:val="20"/>
                <w:szCs w:val="20"/>
                <w:lang w:val="en-US"/>
              </w:rPr>
              <w:br/>
              <w:t>&gt; Fatigue, 28.5 (18.0)</w:t>
            </w:r>
            <w:r w:rsidRPr="0066602A">
              <w:rPr>
                <w:color w:val="4E5053"/>
                <w:sz w:val="20"/>
                <w:szCs w:val="20"/>
                <w:lang w:val="en-US"/>
              </w:rPr>
              <w:br/>
              <w:t>&gt; Patients with sleep disturbance had significantly higher scores for fatigue than those without sleep disturbance.</w:t>
            </w:r>
          </w:p>
        </w:tc>
      </w:tr>
      <w:tr w:rsidR="009A7DFD" w:rsidRPr="0066602A" w14:paraId="17D383DE"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6A6F0F69"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Nock, 2020</w:t>
            </w:r>
          </w:p>
          <w:p w14:paraId="41AF2562"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7739EC33" w14:textId="77777777" w:rsidR="009A7DFD" w:rsidRPr="0066602A" w:rsidRDefault="009A7DFD" w:rsidP="001E304D">
            <w:pPr>
              <w:pStyle w:val="Table-Normal"/>
              <w:rPr>
                <w:color w:val="4E5053"/>
                <w:sz w:val="20"/>
                <w:szCs w:val="20"/>
                <w:lang w:val="en-US"/>
              </w:rPr>
            </w:pPr>
            <w:r w:rsidRPr="0066602A">
              <w:rPr>
                <w:color w:val="4E5053"/>
                <w:sz w:val="20"/>
                <w:szCs w:val="20"/>
                <w:lang w:val="en-US"/>
              </w:rPr>
              <w:t>Cross-sectional, NR</w:t>
            </w:r>
          </w:p>
        </w:tc>
        <w:tc>
          <w:tcPr>
            <w:tcW w:w="498" w:type="pct"/>
          </w:tcPr>
          <w:p w14:paraId="04276B4C"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sz w:val="20"/>
                <w:szCs w:val="20"/>
                <w:lang w:val="en-US"/>
              </w:rPr>
              <w:t>100</w:t>
            </w:r>
          </w:p>
        </w:tc>
        <w:tc>
          <w:tcPr>
            <w:tcW w:w="451" w:type="pct"/>
          </w:tcPr>
          <w:p w14:paraId="774C055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- 59.9</w:t>
            </w:r>
          </w:p>
        </w:tc>
        <w:tc>
          <w:tcPr>
            <w:tcW w:w="740" w:type="pct"/>
          </w:tcPr>
          <w:p w14:paraId="3A76E14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Endometrial cancer: 100 (100%)</w:t>
            </w:r>
          </w:p>
        </w:tc>
        <w:tc>
          <w:tcPr>
            <w:tcW w:w="1044" w:type="pct"/>
          </w:tcPr>
          <w:p w14:paraId="7DAD63F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Previous therapy</w:t>
            </w:r>
            <w:r w:rsidRPr="0066602A">
              <w:rPr>
                <w:color w:val="4E5053"/>
                <w:sz w:val="20"/>
                <w:szCs w:val="20"/>
                <w:lang w:val="en-US"/>
              </w:rPr>
              <w:br/>
              <w:t>Surgery only: 84 (86%)</w:t>
            </w:r>
            <w:r w:rsidRPr="0066602A">
              <w:rPr>
                <w:color w:val="4E5053"/>
                <w:sz w:val="20"/>
                <w:szCs w:val="20"/>
                <w:lang w:val="en-US"/>
              </w:rPr>
              <w:br/>
              <w:t>Radiation (plus surgery): 14 (14%)</w:t>
            </w:r>
          </w:p>
        </w:tc>
        <w:tc>
          <w:tcPr>
            <w:tcW w:w="1809" w:type="pct"/>
          </w:tcPr>
          <w:p w14:paraId="7FE1E32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 Survivors fatigue scores were not significantly different between those with “poor” and “good” sleep quality.</w:t>
            </w:r>
            <w:r w:rsidRPr="0066602A">
              <w:rPr>
                <w:color w:val="4E5053"/>
                <w:sz w:val="20"/>
                <w:szCs w:val="20"/>
                <w:lang w:val="en-US"/>
              </w:rPr>
              <w:br/>
              <w:t>FACIT-fatigue, mean (SD)</w:t>
            </w:r>
            <w:r w:rsidRPr="0066602A">
              <w:rPr>
                <w:color w:val="4E5053"/>
                <w:sz w:val="20"/>
                <w:szCs w:val="20"/>
                <w:lang w:val="en-US"/>
              </w:rPr>
              <w:br/>
              <w:t>Poor-quality: 36.59 ± 4.27</w:t>
            </w:r>
            <w:r w:rsidRPr="0066602A">
              <w:rPr>
                <w:color w:val="4E5053"/>
                <w:sz w:val="20"/>
                <w:szCs w:val="20"/>
                <w:lang w:val="en-US"/>
              </w:rPr>
              <w:br/>
              <w:t xml:space="preserve">Good </w:t>
            </w:r>
            <w:proofErr w:type="spellStart"/>
            <w:r w:rsidRPr="0066602A">
              <w:rPr>
                <w:color w:val="4E5053"/>
                <w:sz w:val="20"/>
                <w:szCs w:val="20"/>
                <w:lang w:val="en-US"/>
              </w:rPr>
              <w:t>qualtiy</w:t>
            </w:r>
            <w:proofErr w:type="spellEnd"/>
            <w:r w:rsidRPr="0066602A">
              <w:rPr>
                <w:color w:val="4E5053"/>
                <w:sz w:val="20"/>
                <w:szCs w:val="20"/>
                <w:lang w:val="en-US"/>
              </w:rPr>
              <w:t>: 36.04 ± 4.1</w:t>
            </w:r>
          </w:p>
        </w:tc>
      </w:tr>
      <w:tr w:rsidR="009A7DFD" w:rsidRPr="0066602A" w14:paraId="1FAE08A6"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2876A082"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Rumble, 2005</w:t>
            </w:r>
          </w:p>
          <w:p w14:paraId="69F8724A"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7B4583A1" w14:textId="77777777" w:rsidR="009A7DFD" w:rsidRPr="0066602A" w:rsidRDefault="009A7DFD" w:rsidP="001E304D">
            <w:pPr>
              <w:pStyle w:val="Table-Normal"/>
              <w:rPr>
                <w:color w:val="4E5053"/>
                <w:sz w:val="20"/>
                <w:szCs w:val="20"/>
                <w:lang w:val="en-US"/>
              </w:rPr>
            </w:pPr>
            <w:r w:rsidRPr="0066602A">
              <w:rPr>
                <w:color w:val="4E5053"/>
                <w:sz w:val="20"/>
                <w:szCs w:val="20"/>
                <w:lang w:val="en-US"/>
              </w:rPr>
              <w:t>Pilot study, 1 month</w:t>
            </w:r>
          </w:p>
        </w:tc>
        <w:tc>
          <w:tcPr>
            <w:tcW w:w="498" w:type="pct"/>
          </w:tcPr>
          <w:p w14:paraId="34D7B64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32</w:t>
            </w:r>
            <w:r w:rsidRPr="0066602A">
              <w:rPr>
                <w:color w:val="4E5053"/>
                <w:sz w:val="20"/>
                <w:szCs w:val="20"/>
                <w:lang w:val="en-US"/>
              </w:rPr>
              <w:br/>
              <w:t>Insomnia group (n=19)</w:t>
            </w:r>
            <w:r w:rsidRPr="0066602A">
              <w:rPr>
                <w:color w:val="4E5053"/>
                <w:sz w:val="20"/>
                <w:szCs w:val="20"/>
                <w:lang w:val="en-US"/>
              </w:rPr>
              <w:br/>
              <w:t>Comparison group (n=13)</w:t>
            </w:r>
          </w:p>
        </w:tc>
        <w:tc>
          <w:tcPr>
            <w:tcW w:w="451" w:type="pct"/>
          </w:tcPr>
          <w:p w14:paraId="5278356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 xml:space="preserve">Male - 26% </w:t>
            </w:r>
            <w:r w:rsidRPr="0066602A">
              <w:rPr>
                <w:rFonts w:cstheme="minorHAnsi"/>
                <w:color w:val="4E5053"/>
                <w:sz w:val="20"/>
                <w:szCs w:val="20"/>
                <w:lang w:val="en-US"/>
              </w:rPr>
              <w:br/>
              <w:t>Female - 74%</w:t>
            </w:r>
            <w:r w:rsidRPr="0066602A">
              <w:rPr>
                <w:rFonts w:cstheme="minorHAnsi"/>
                <w:color w:val="4E5053"/>
                <w:sz w:val="20"/>
                <w:szCs w:val="20"/>
                <w:lang w:val="en-US"/>
              </w:rPr>
              <w:br/>
              <w:t>Mean 65.63</w:t>
            </w:r>
          </w:p>
        </w:tc>
        <w:tc>
          <w:tcPr>
            <w:tcW w:w="740" w:type="pct"/>
          </w:tcPr>
          <w:p w14:paraId="68A697EC"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proofErr w:type="gramStart"/>
            <w:r w:rsidRPr="0066602A">
              <w:rPr>
                <w:color w:val="4E5053"/>
                <w:sz w:val="20"/>
                <w:szCs w:val="20"/>
                <w:lang w:val="en-US"/>
              </w:rPr>
              <w:t>Early stage</w:t>
            </w:r>
            <w:proofErr w:type="gramEnd"/>
            <w:r w:rsidRPr="0066602A">
              <w:rPr>
                <w:color w:val="4E5053"/>
                <w:sz w:val="20"/>
                <w:szCs w:val="20"/>
                <w:lang w:val="en-US"/>
              </w:rPr>
              <w:t xml:space="preserve"> lung cancer: 31 (100%)</w:t>
            </w:r>
          </w:p>
        </w:tc>
        <w:tc>
          <w:tcPr>
            <w:tcW w:w="1044" w:type="pct"/>
          </w:tcPr>
          <w:p w14:paraId="5A1F263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NR</w:t>
            </w:r>
          </w:p>
        </w:tc>
        <w:tc>
          <w:tcPr>
            <w:tcW w:w="1809" w:type="pct"/>
          </w:tcPr>
          <w:p w14:paraId="7809813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Analyses revealed that male lung cancer patients in the insomnia group (M = 60.00; SD=32.01) reported significantly higher levels of fatigue than male lung cancer patients in the comparison group (M = 14.81; SD=13.46; F (1, 28) = 10.60, P=0.003), whereas there was no difference between female lung cancer patients in the insomnia and comparison groups [M = 32.54; SD=26.68; M = 28.57; SD=8.74, respectively; F (1, 28) = 0.14, P=0.71]. </w:t>
            </w:r>
          </w:p>
        </w:tc>
      </w:tr>
      <w:tr w:rsidR="009A7DFD" w:rsidRPr="0066602A" w14:paraId="3EECDB42"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28E85AB"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Sanford, 2013</w:t>
            </w:r>
          </w:p>
          <w:p w14:paraId="60AAE841"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179CFEA0" w14:textId="77777777" w:rsidR="009A7DFD" w:rsidRPr="0066602A" w:rsidRDefault="009A7DFD" w:rsidP="001E304D">
            <w:pPr>
              <w:pStyle w:val="Table-Normal"/>
              <w:rPr>
                <w:color w:val="4E5053"/>
                <w:sz w:val="20"/>
                <w:szCs w:val="20"/>
                <w:lang w:val="en-US"/>
              </w:rPr>
            </w:pPr>
            <w:r w:rsidRPr="0066602A">
              <w:rPr>
                <w:color w:val="4E5053"/>
                <w:sz w:val="20"/>
                <w:szCs w:val="20"/>
                <w:lang w:val="en-US"/>
              </w:rPr>
              <w:t>Secondary analysis of a Longitudinal Prospective study, pre-chemotheray-</w:t>
            </w:r>
            <w:proofErr w:type="gramStart"/>
            <w:r w:rsidRPr="0066602A">
              <w:rPr>
                <w:color w:val="4E5053"/>
                <w:sz w:val="20"/>
                <w:szCs w:val="20"/>
                <w:lang w:val="en-US"/>
              </w:rPr>
              <w:t>6 month</w:t>
            </w:r>
            <w:proofErr w:type="gramEnd"/>
            <w:r w:rsidRPr="0066602A">
              <w:rPr>
                <w:color w:val="4E5053"/>
                <w:sz w:val="20"/>
                <w:szCs w:val="20"/>
                <w:lang w:val="en-US"/>
              </w:rPr>
              <w:t xml:space="preserve"> follow-up</w:t>
            </w:r>
          </w:p>
        </w:tc>
        <w:tc>
          <w:tcPr>
            <w:tcW w:w="498" w:type="pct"/>
          </w:tcPr>
          <w:p w14:paraId="7CE1010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80</w:t>
            </w:r>
          </w:p>
        </w:tc>
        <w:tc>
          <w:tcPr>
            <w:tcW w:w="451" w:type="pct"/>
          </w:tcPr>
          <w:p w14:paraId="5EF0B57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w:t>
            </w:r>
          </w:p>
          <w:p w14:paraId="536E8D4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- 98%</w:t>
            </w:r>
          </w:p>
          <w:p w14:paraId="532F41C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Mean - 49.7</w:t>
            </w:r>
          </w:p>
        </w:tc>
        <w:tc>
          <w:tcPr>
            <w:tcW w:w="740" w:type="pct"/>
          </w:tcPr>
          <w:p w14:paraId="56FB265D"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Breast cancer: 80 (100%)</w:t>
            </w:r>
          </w:p>
        </w:tc>
        <w:tc>
          <w:tcPr>
            <w:tcW w:w="1044" w:type="pct"/>
          </w:tcPr>
          <w:p w14:paraId="7BFBAB0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Chemotherapy: 80 (100%)</w:t>
            </w:r>
          </w:p>
        </w:tc>
        <w:tc>
          <w:tcPr>
            <w:tcW w:w="1809" w:type="pct"/>
          </w:tcPr>
          <w:p w14:paraId="00DD254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&gt; FACT-F scores were moderately correlated with PSQI global and daytime dysfunction scores. </w:t>
            </w:r>
            <w:r w:rsidRPr="0066602A">
              <w:rPr>
                <w:color w:val="4E5053"/>
                <w:sz w:val="20"/>
                <w:szCs w:val="20"/>
                <w:lang w:val="en-US"/>
              </w:rPr>
              <w:br/>
              <w:t xml:space="preserve">&gt; The mixed-effects model indicated there was a significant change in FACT-F scores over time (p&lt;0.001) with cycle 4 day 1 scores being worse (p&lt; 0.01) than pre-chemotherapy and 6-month follow-up scores. </w:t>
            </w:r>
            <w:r w:rsidRPr="0066602A">
              <w:rPr>
                <w:color w:val="4E5053"/>
                <w:sz w:val="20"/>
                <w:szCs w:val="20"/>
                <w:lang w:val="en-US"/>
              </w:rPr>
              <w:br/>
              <w:t>&gt; FACT-F scores were significantly worse for the impaired sleepers (p&lt;0.05 at all assessment).</w:t>
            </w:r>
          </w:p>
        </w:tc>
      </w:tr>
      <w:tr w:rsidR="009A7DFD" w:rsidRPr="0066602A" w14:paraId="4E41ABAB"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FA4361E"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Schreier, 2019</w:t>
            </w:r>
          </w:p>
          <w:p w14:paraId="79BCD23F"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5BDAA150" w14:textId="77777777" w:rsidR="009A7DFD" w:rsidRPr="0066602A" w:rsidRDefault="009A7DFD" w:rsidP="001E304D">
            <w:pPr>
              <w:pStyle w:val="Table-Normal"/>
              <w:rPr>
                <w:color w:val="4E5053"/>
                <w:sz w:val="20"/>
                <w:szCs w:val="20"/>
                <w:lang w:val="en-US"/>
              </w:rPr>
            </w:pPr>
            <w:r w:rsidRPr="0066602A">
              <w:rPr>
                <w:color w:val="4E5053"/>
                <w:sz w:val="20"/>
                <w:szCs w:val="20"/>
                <w:lang w:val="en-US"/>
              </w:rPr>
              <w:lastRenderedPageBreak/>
              <w:t>Descriptive correlational study, June - August 2015</w:t>
            </w:r>
          </w:p>
        </w:tc>
        <w:tc>
          <w:tcPr>
            <w:tcW w:w="498" w:type="pct"/>
          </w:tcPr>
          <w:p w14:paraId="6D6B5F9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lastRenderedPageBreak/>
              <w:t>40</w:t>
            </w:r>
          </w:p>
        </w:tc>
        <w:tc>
          <w:tcPr>
            <w:tcW w:w="451" w:type="pct"/>
          </w:tcPr>
          <w:p w14:paraId="4B3F026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- 58</w:t>
            </w:r>
          </w:p>
        </w:tc>
        <w:tc>
          <w:tcPr>
            <w:tcW w:w="740" w:type="pct"/>
          </w:tcPr>
          <w:p w14:paraId="4B4C7F5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Breast cancer: 40 (100%)</w:t>
            </w:r>
          </w:p>
        </w:tc>
        <w:tc>
          <w:tcPr>
            <w:tcW w:w="1044" w:type="pct"/>
          </w:tcPr>
          <w:p w14:paraId="50BDF67C" w14:textId="0CFDC070"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Current therapy</w:t>
            </w:r>
            <w:r w:rsidRPr="0066602A">
              <w:rPr>
                <w:color w:val="4E5053"/>
                <w:sz w:val="20"/>
                <w:szCs w:val="20"/>
                <w:lang w:val="en-US"/>
              </w:rPr>
              <w:br/>
              <w:t>Hormonal therapy: 21 (52.5%)</w:t>
            </w:r>
            <w:r w:rsidRPr="0066602A">
              <w:rPr>
                <w:color w:val="4E5053"/>
                <w:sz w:val="20"/>
                <w:szCs w:val="20"/>
                <w:lang w:val="en-US"/>
              </w:rPr>
              <w:br/>
            </w:r>
            <w:r w:rsidRPr="0066602A">
              <w:rPr>
                <w:color w:val="4E5053"/>
                <w:sz w:val="20"/>
                <w:szCs w:val="20"/>
                <w:lang w:val="en-US"/>
              </w:rPr>
              <w:br/>
            </w:r>
            <w:r w:rsidRPr="0066602A">
              <w:rPr>
                <w:color w:val="4E5053"/>
                <w:sz w:val="20"/>
                <w:szCs w:val="20"/>
                <w:lang w:val="en-US"/>
              </w:rPr>
              <w:lastRenderedPageBreak/>
              <w:t>Previous therapy</w:t>
            </w:r>
            <w:r w:rsidRPr="0066602A">
              <w:rPr>
                <w:color w:val="4E5053"/>
                <w:sz w:val="20"/>
                <w:szCs w:val="20"/>
                <w:lang w:val="en-US"/>
              </w:rPr>
              <w:br/>
            </w:r>
            <w:r w:rsidR="00480763" w:rsidRPr="0066602A">
              <w:rPr>
                <w:color w:val="4E5053"/>
                <w:sz w:val="20"/>
                <w:szCs w:val="20"/>
                <w:lang w:val="en-US"/>
              </w:rPr>
              <w:t xml:space="preserve">Radiation </w:t>
            </w:r>
            <w:r w:rsidRPr="0066602A">
              <w:rPr>
                <w:color w:val="4E5053"/>
                <w:sz w:val="20"/>
                <w:szCs w:val="20"/>
                <w:lang w:val="en-US"/>
              </w:rPr>
              <w:t>therapy: 5 (12.5%)</w:t>
            </w:r>
            <w:r w:rsidRPr="0066602A">
              <w:rPr>
                <w:color w:val="4E5053"/>
                <w:sz w:val="20"/>
                <w:szCs w:val="20"/>
                <w:lang w:val="en-US"/>
              </w:rPr>
              <w:br/>
              <w:t>Chemotherapy: 9 (22.5%)</w:t>
            </w:r>
            <w:r w:rsidRPr="0066602A">
              <w:rPr>
                <w:color w:val="4E5053"/>
                <w:sz w:val="20"/>
                <w:szCs w:val="20"/>
                <w:lang w:val="en-US"/>
              </w:rPr>
              <w:br/>
            </w:r>
            <w:r w:rsidR="00480763" w:rsidRPr="0066602A">
              <w:rPr>
                <w:color w:val="4E5053"/>
                <w:sz w:val="20"/>
                <w:szCs w:val="20"/>
                <w:lang w:val="en-US"/>
              </w:rPr>
              <w:t xml:space="preserve">Radiation </w:t>
            </w:r>
            <w:r w:rsidRPr="0066602A">
              <w:rPr>
                <w:color w:val="4E5053"/>
                <w:sz w:val="20"/>
                <w:szCs w:val="20"/>
                <w:lang w:val="en-US"/>
              </w:rPr>
              <w:t>therapy and chemotherapy: 23 (57.5%)</w:t>
            </w:r>
            <w:r w:rsidRPr="0066602A">
              <w:rPr>
                <w:color w:val="4E5053"/>
                <w:sz w:val="20"/>
                <w:szCs w:val="20"/>
                <w:lang w:val="en-US"/>
              </w:rPr>
              <w:br/>
              <w:t>Unknown: 2 (7.5%)</w:t>
            </w:r>
            <w:r w:rsidRPr="0066602A">
              <w:rPr>
                <w:color w:val="4E5053"/>
                <w:sz w:val="20"/>
                <w:szCs w:val="20"/>
                <w:lang w:val="en-US"/>
              </w:rPr>
              <w:br/>
              <w:t>Surgery (mastectomy): 16 (40%)</w:t>
            </w:r>
            <w:r w:rsidRPr="0066602A">
              <w:rPr>
                <w:color w:val="4E5053"/>
                <w:sz w:val="20"/>
                <w:szCs w:val="20"/>
                <w:lang w:val="en-US"/>
              </w:rPr>
              <w:br/>
              <w:t>Surgery (partial mastectomy): 24 (60%)</w:t>
            </w:r>
          </w:p>
        </w:tc>
        <w:tc>
          <w:tcPr>
            <w:tcW w:w="1809" w:type="pct"/>
          </w:tcPr>
          <w:p w14:paraId="22A5D0A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lastRenderedPageBreak/>
              <w:t xml:space="preserve">&gt; A total of 31 women (78%) reported a sleep disturbance score greater than the normalized score of </w:t>
            </w:r>
            <w:r w:rsidRPr="0066602A">
              <w:rPr>
                <w:color w:val="4E5053"/>
                <w:sz w:val="20"/>
                <w:szCs w:val="20"/>
                <w:lang w:val="en-US"/>
              </w:rPr>
              <w:br/>
              <w:t xml:space="preserve">&gt; There were moderate correlations among symptoms of </w:t>
            </w:r>
            <w:r w:rsidRPr="0066602A">
              <w:rPr>
                <w:color w:val="4E5053"/>
                <w:sz w:val="20"/>
                <w:szCs w:val="20"/>
                <w:lang w:val="en-US"/>
              </w:rPr>
              <w:lastRenderedPageBreak/>
              <w:t>pain interference, sleep disturbance, anxiety, and fatigue. These findings suggest that these symptoms form a cluster and that women with higher distress on one</w:t>
            </w:r>
            <w:r w:rsidRPr="0066602A">
              <w:rPr>
                <w:color w:val="4E5053"/>
                <w:sz w:val="20"/>
                <w:szCs w:val="20"/>
                <w:lang w:val="en-US"/>
              </w:rPr>
              <w:br/>
              <w:t>symptom also experience distress in the other symptoms.</w:t>
            </w:r>
            <w:r w:rsidRPr="0066602A">
              <w:rPr>
                <w:color w:val="4E5053"/>
                <w:sz w:val="20"/>
                <w:szCs w:val="20"/>
                <w:lang w:val="en-US"/>
              </w:rPr>
              <w:br/>
              <w:t>&gt; The high pain intensity group reported greater pain interference, more sleep disturbance, great anxiety, and more fatigue.</w:t>
            </w:r>
          </w:p>
        </w:tc>
      </w:tr>
      <w:tr w:rsidR="009A7DFD" w:rsidRPr="0066602A" w14:paraId="07EF2F41"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863B0A3" w14:textId="77777777" w:rsidR="009A7DFD" w:rsidRPr="0066602A" w:rsidRDefault="009A7DFD" w:rsidP="001E304D">
            <w:pPr>
              <w:pStyle w:val="Table-Normal"/>
              <w:rPr>
                <w:bCs/>
                <w:color w:val="4E5053"/>
                <w:sz w:val="20"/>
                <w:szCs w:val="20"/>
                <w:lang w:val="en-US"/>
              </w:rPr>
            </w:pPr>
            <w:proofErr w:type="spellStart"/>
            <w:r w:rsidRPr="0066602A">
              <w:rPr>
                <w:color w:val="4E5053"/>
                <w:sz w:val="20"/>
                <w:szCs w:val="20"/>
                <w:lang w:val="en-US"/>
              </w:rPr>
              <w:lastRenderedPageBreak/>
              <w:t>Steindorfet</w:t>
            </w:r>
            <w:proofErr w:type="spellEnd"/>
            <w:r w:rsidRPr="0066602A">
              <w:rPr>
                <w:color w:val="4E5053"/>
                <w:sz w:val="20"/>
                <w:szCs w:val="20"/>
                <w:lang w:val="en-US"/>
              </w:rPr>
              <w:t>, 2017</w:t>
            </w:r>
          </w:p>
          <w:p w14:paraId="337C3E2C" w14:textId="77777777" w:rsidR="009A7DFD" w:rsidRPr="0066602A" w:rsidRDefault="009A7DFD" w:rsidP="001E304D">
            <w:pPr>
              <w:pStyle w:val="Table-Normal"/>
              <w:rPr>
                <w:color w:val="4E5053"/>
                <w:sz w:val="20"/>
                <w:szCs w:val="20"/>
                <w:lang w:val="en-US"/>
              </w:rPr>
            </w:pPr>
            <w:r w:rsidRPr="0066602A">
              <w:rPr>
                <w:color w:val="4E5053"/>
                <w:sz w:val="20"/>
                <w:szCs w:val="20"/>
                <w:lang w:val="en-US"/>
              </w:rPr>
              <w:t>Germany</w:t>
            </w:r>
          </w:p>
          <w:p w14:paraId="4069F979" w14:textId="77777777" w:rsidR="009A7DFD" w:rsidRPr="0066602A" w:rsidRDefault="009A7DFD" w:rsidP="001E304D">
            <w:pPr>
              <w:pStyle w:val="Table-Normal"/>
              <w:rPr>
                <w:color w:val="4E5053"/>
                <w:sz w:val="20"/>
                <w:szCs w:val="20"/>
                <w:lang w:val="en-US"/>
              </w:rPr>
            </w:pPr>
            <w:r w:rsidRPr="0066602A">
              <w:rPr>
                <w:color w:val="4E5053"/>
                <w:sz w:val="20"/>
                <w:szCs w:val="20"/>
                <w:lang w:val="en-US"/>
              </w:rPr>
              <w:t>Prospective randomized controlled intervention trial, 2011 and 2013</w:t>
            </w:r>
          </w:p>
        </w:tc>
        <w:tc>
          <w:tcPr>
            <w:tcW w:w="498" w:type="pct"/>
          </w:tcPr>
          <w:p w14:paraId="3C94687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160</w:t>
            </w:r>
          </w:p>
        </w:tc>
        <w:tc>
          <w:tcPr>
            <w:tcW w:w="451" w:type="pct"/>
          </w:tcPr>
          <w:p w14:paraId="2479022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- 55.6</w:t>
            </w:r>
          </w:p>
        </w:tc>
        <w:tc>
          <w:tcPr>
            <w:tcW w:w="740" w:type="pct"/>
          </w:tcPr>
          <w:p w14:paraId="5153CF2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Breast cancer: 160 (100%)</w:t>
            </w:r>
          </w:p>
        </w:tc>
        <w:tc>
          <w:tcPr>
            <w:tcW w:w="1044" w:type="pct"/>
          </w:tcPr>
          <w:p w14:paraId="17400915" w14:textId="1DA31AA6"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Adjuvant </w:t>
            </w:r>
            <w:r w:rsidR="00480763" w:rsidRPr="0066602A">
              <w:rPr>
                <w:color w:val="4E5053"/>
                <w:sz w:val="20"/>
                <w:szCs w:val="20"/>
                <w:lang w:val="en-US"/>
              </w:rPr>
              <w:t xml:space="preserve">radiation </w:t>
            </w:r>
            <w:r w:rsidRPr="0066602A">
              <w:rPr>
                <w:color w:val="4E5053"/>
                <w:sz w:val="20"/>
                <w:szCs w:val="20"/>
                <w:lang w:val="en-US"/>
              </w:rPr>
              <w:t>therapy part of inclusion criteria</w:t>
            </w:r>
            <w:r w:rsidRPr="0066602A">
              <w:rPr>
                <w:color w:val="4E5053"/>
                <w:sz w:val="20"/>
                <w:szCs w:val="20"/>
                <w:lang w:val="en-US"/>
              </w:rPr>
              <w:br/>
              <w:t>Surgery: Mastectomy: 21 (13.1%); Breast conserving: 139 (86.9%)</w:t>
            </w:r>
            <w:r w:rsidRPr="0066602A">
              <w:rPr>
                <w:color w:val="4E5053"/>
                <w:sz w:val="20"/>
                <w:szCs w:val="20"/>
                <w:lang w:val="en-US"/>
              </w:rPr>
              <w:br/>
              <w:t>Mean days since surgery (SD): 67.8 (56.2)</w:t>
            </w:r>
            <w:r w:rsidRPr="0066602A">
              <w:rPr>
                <w:color w:val="4E5053"/>
                <w:sz w:val="20"/>
                <w:szCs w:val="20"/>
                <w:lang w:val="en-US"/>
              </w:rPr>
              <w:br/>
              <w:t>Other therapies:</w:t>
            </w:r>
            <w:r w:rsidRPr="0066602A">
              <w:rPr>
                <w:color w:val="4E5053"/>
                <w:sz w:val="20"/>
                <w:szCs w:val="20"/>
                <w:lang w:val="en-US"/>
              </w:rPr>
              <w:br/>
              <w:t>&gt; Hormone therapy: 78 (48.8%)</w:t>
            </w:r>
            <w:r w:rsidRPr="0066602A">
              <w:rPr>
                <w:color w:val="4E5053"/>
                <w:sz w:val="20"/>
                <w:szCs w:val="20"/>
                <w:lang w:val="en-US"/>
              </w:rPr>
              <w:br/>
              <w:t>&gt; Radiation boost: 119 (74.4%)</w:t>
            </w:r>
            <w:r w:rsidRPr="0066602A">
              <w:rPr>
                <w:color w:val="4E5053"/>
                <w:sz w:val="20"/>
                <w:szCs w:val="20"/>
                <w:lang w:val="en-US"/>
              </w:rPr>
              <w:br/>
              <w:t>&gt; Psychopharmaceuticals: 19 (11.9%)</w:t>
            </w:r>
          </w:p>
        </w:tc>
        <w:tc>
          <w:tcPr>
            <w:tcW w:w="1809" w:type="pct"/>
          </w:tcPr>
          <w:p w14:paraId="0EA9174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 Physical fatigue showed a significant association with sleep problems (p=0.003). However, adding this variable to the models did not change the previous results markedly.</w:t>
            </w:r>
          </w:p>
        </w:tc>
      </w:tr>
      <w:tr w:rsidR="009A7DFD" w:rsidRPr="0066602A" w14:paraId="20734174"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DF47B05"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Sun, 2011</w:t>
            </w:r>
          </w:p>
          <w:p w14:paraId="272067AD" w14:textId="77777777" w:rsidR="009A7DFD" w:rsidRPr="0066602A" w:rsidRDefault="009A7DFD" w:rsidP="001E304D">
            <w:pPr>
              <w:pStyle w:val="Table-Normal"/>
              <w:rPr>
                <w:color w:val="4E5053"/>
                <w:sz w:val="20"/>
                <w:szCs w:val="20"/>
                <w:lang w:val="en-US"/>
              </w:rPr>
            </w:pPr>
            <w:r w:rsidRPr="0066602A">
              <w:rPr>
                <w:color w:val="4E5053"/>
                <w:sz w:val="20"/>
                <w:szCs w:val="20"/>
                <w:lang w:val="en-US"/>
              </w:rPr>
              <w:t>Taiwan</w:t>
            </w:r>
          </w:p>
          <w:p w14:paraId="2136313D" w14:textId="77777777" w:rsidR="009A7DFD" w:rsidRPr="0066602A" w:rsidRDefault="009A7DFD" w:rsidP="001E304D">
            <w:pPr>
              <w:pStyle w:val="Table-Normal"/>
              <w:rPr>
                <w:color w:val="4E5053"/>
                <w:sz w:val="20"/>
                <w:szCs w:val="20"/>
                <w:lang w:val="en-US"/>
              </w:rPr>
            </w:pPr>
            <w:r w:rsidRPr="0066602A">
              <w:rPr>
                <w:color w:val="4E5053"/>
                <w:sz w:val="20"/>
                <w:szCs w:val="20"/>
                <w:lang w:val="en-US"/>
              </w:rPr>
              <w:t>Cross-sectional research study, 14.10 (average) follow-up</w:t>
            </w:r>
          </w:p>
        </w:tc>
        <w:tc>
          <w:tcPr>
            <w:tcW w:w="498" w:type="pct"/>
          </w:tcPr>
          <w:p w14:paraId="370BBF6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195</w:t>
            </w:r>
          </w:p>
        </w:tc>
        <w:tc>
          <w:tcPr>
            <w:tcW w:w="451" w:type="pct"/>
          </w:tcPr>
          <w:p w14:paraId="58BA04B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- 56.74</w:t>
            </w:r>
          </w:p>
        </w:tc>
        <w:tc>
          <w:tcPr>
            <w:tcW w:w="740" w:type="pct"/>
          </w:tcPr>
          <w:p w14:paraId="7353D2D1"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Gynecologic (10.3%), Lung (5.1%), GI (19.0%), Neurologic (1.0%), Head and neck (19.5%), Genitourinary (9.2%), Hematologic (1.0%), Dermatologic (1.5%), Other (1.5%)</w:t>
            </w:r>
          </w:p>
        </w:tc>
        <w:tc>
          <w:tcPr>
            <w:tcW w:w="1044" w:type="pct"/>
          </w:tcPr>
          <w:p w14:paraId="71CBA32B" w14:textId="22BD01E9"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Chemotherapy: 28 (14.4%)</w:t>
            </w:r>
            <w:r w:rsidRPr="0066602A">
              <w:rPr>
                <w:color w:val="4E5053"/>
                <w:sz w:val="20"/>
                <w:szCs w:val="20"/>
                <w:lang w:val="en-US"/>
              </w:rPr>
              <w:br/>
            </w:r>
            <w:r w:rsidR="00480763" w:rsidRPr="0066602A">
              <w:rPr>
                <w:color w:val="4E5053"/>
                <w:sz w:val="20"/>
                <w:szCs w:val="20"/>
                <w:lang w:val="en-US"/>
              </w:rPr>
              <w:t xml:space="preserve">Radiation </w:t>
            </w:r>
            <w:r w:rsidRPr="0066602A">
              <w:rPr>
                <w:color w:val="4E5053"/>
                <w:sz w:val="20"/>
                <w:szCs w:val="20"/>
                <w:lang w:val="en-US"/>
              </w:rPr>
              <w:t>therapy: 47 (24.1%)</w:t>
            </w:r>
            <w:r w:rsidRPr="0066602A">
              <w:rPr>
                <w:color w:val="4E5053"/>
                <w:sz w:val="20"/>
                <w:szCs w:val="20"/>
                <w:lang w:val="en-US"/>
              </w:rPr>
              <w:br/>
              <w:t xml:space="preserve">Chemotherapy + </w:t>
            </w:r>
            <w:r w:rsidR="00480763" w:rsidRPr="0066602A">
              <w:rPr>
                <w:color w:val="4E5053"/>
                <w:sz w:val="20"/>
                <w:szCs w:val="20"/>
                <w:lang w:val="en-US"/>
              </w:rPr>
              <w:t xml:space="preserve">radiation </w:t>
            </w:r>
            <w:r w:rsidRPr="0066602A">
              <w:rPr>
                <w:color w:val="4E5053"/>
                <w:sz w:val="20"/>
                <w:szCs w:val="20"/>
                <w:lang w:val="en-US"/>
              </w:rPr>
              <w:t>therapy: 37 (19.0%)</w:t>
            </w:r>
            <w:r w:rsidRPr="0066602A">
              <w:rPr>
                <w:color w:val="4E5053"/>
                <w:sz w:val="20"/>
                <w:szCs w:val="20"/>
                <w:lang w:val="en-US"/>
              </w:rPr>
              <w:br/>
              <w:t>No therapy, only follow-up: 68 (34.9%)</w:t>
            </w:r>
            <w:r w:rsidRPr="0066602A">
              <w:rPr>
                <w:color w:val="4E5053"/>
                <w:sz w:val="20"/>
                <w:szCs w:val="20"/>
                <w:lang w:val="en-US"/>
              </w:rPr>
              <w:br/>
              <w:t>Other: 15 (7.7%)</w:t>
            </w:r>
          </w:p>
        </w:tc>
        <w:tc>
          <w:tcPr>
            <w:tcW w:w="1809" w:type="pct"/>
          </w:tcPr>
          <w:p w14:paraId="2C3FA39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&gt; The AIS-T score had statistical significance on fatigue severity, fatigue interference, and average fatigue score as r =0.47, r=0.55, r=0.56, all P&lt;0.001, respectively. AIS-T severity score was negatively correlated with the physical and mental constructs measured by the SF-36-T.</w:t>
            </w:r>
            <w:r w:rsidRPr="0066602A">
              <w:rPr>
                <w:color w:val="4E5053"/>
                <w:sz w:val="20"/>
                <w:szCs w:val="20"/>
                <w:lang w:val="en-US"/>
              </w:rPr>
              <w:br/>
              <w:t>&gt; The AIS-T scores were 1.64±1.84 for those with high sleep quality and 8.20±4.84 for those with low sleep quality.</w:t>
            </w:r>
            <w:r w:rsidRPr="0066602A">
              <w:rPr>
                <w:color w:val="4E5053"/>
                <w:sz w:val="20"/>
                <w:szCs w:val="20"/>
                <w:lang w:val="en-US"/>
              </w:rPr>
              <w:br/>
              <w:t>&gt; The patients’ average score was 6.12±5.14 evaluated by the AIS-T. It indicated that more than 40% of cancer patients experienced insomnia, but the severity was not great.</w:t>
            </w:r>
            <w:r w:rsidRPr="0066602A">
              <w:rPr>
                <w:color w:val="4E5053"/>
                <w:sz w:val="20"/>
                <w:szCs w:val="20"/>
                <w:lang w:val="en-US"/>
              </w:rPr>
              <w:br/>
              <w:t xml:space="preserve">&gt; Sleep induction showed the highest score of all items. </w:t>
            </w:r>
          </w:p>
        </w:tc>
      </w:tr>
      <w:tr w:rsidR="009A7DFD" w:rsidRPr="0066602A" w14:paraId="00A1DB6C"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ED6FF" w:themeFill="accent6" w:themeFillTint="33"/>
          </w:tcPr>
          <w:p w14:paraId="00A2CD12" w14:textId="041B5B85" w:rsidR="009A7DFD" w:rsidRPr="0066602A" w:rsidRDefault="009A7DFD" w:rsidP="001E304D">
            <w:pPr>
              <w:pStyle w:val="Table-Normal"/>
              <w:rPr>
                <w:color w:val="4E5053"/>
                <w:sz w:val="20"/>
                <w:szCs w:val="20"/>
                <w:lang w:val="en-US"/>
              </w:rPr>
            </w:pPr>
            <w:r w:rsidRPr="0066602A">
              <w:rPr>
                <w:color w:val="4E5053"/>
                <w:sz w:val="20"/>
                <w:szCs w:val="20"/>
                <w:lang w:val="en-US"/>
              </w:rPr>
              <w:t>Caregivers (5</w:t>
            </w:r>
            <w:r w:rsidR="00D31DE7" w:rsidRPr="0066602A">
              <w:rPr>
                <w:color w:val="4E5053"/>
                <w:sz w:val="20"/>
                <w:szCs w:val="20"/>
                <w:lang w:val="en-US"/>
              </w:rPr>
              <w:t xml:space="preserve"> studies</w:t>
            </w:r>
            <w:r w:rsidRPr="0066602A">
              <w:rPr>
                <w:color w:val="4E5053"/>
                <w:sz w:val="20"/>
                <w:szCs w:val="20"/>
                <w:lang w:val="en-US"/>
              </w:rPr>
              <w:t>)</w:t>
            </w:r>
          </w:p>
        </w:tc>
      </w:tr>
      <w:tr w:rsidR="009A7DFD" w:rsidRPr="0066602A" w14:paraId="2996EC93"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5C6B7455"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Chen, 2020</w:t>
            </w:r>
          </w:p>
          <w:p w14:paraId="215ACBC4" w14:textId="77777777" w:rsidR="009A7DFD" w:rsidRPr="0066602A" w:rsidRDefault="009A7DFD" w:rsidP="001E304D">
            <w:pPr>
              <w:pStyle w:val="Table-Normal"/>
              <w:rPr>
                <w:color w:val="4E5053"/>
                <w:sz w:val="20"/>
                <w:szCs w:val="20"/>
                <w:lang w:val="en-US"/>
              </w:rPr>
            </w:pPr>
            <w:r w:rsidRPr="0066602A">
              <w:rPr>
                <w:color w:val="4E5053"/>
                <w:sz w:val="20"/>
                <w:szCs w:val="20"/>
                <w:lang w:val="en-US"/>
              </w:rPr>
              <w:t>USA</w:t>
            </w:r>
          </w:p>
          <w:p w14:paraId="3347D221" w14:textId="77777777" w:rsidR="009A7DFD" w:rsidRPr="0066602A" w:rsidRDefault="009A7DFD" w:rsidP="001E304D">
            <w:pPr>
              <w:pStyle w:val="Table-Normal"/>
              <w:rPr>
                <w:color w:val="4E5053"/>
                <w:sz w:val="20"/>
                <w:szCs w:val="20"/>
                <w:lang w:val="en-US"/>
              </w:rPr>
            </w:pPr>
            <w:r w:rsidRPr="0066602A">
              <w:rPr>
                <w:color w:val="4E5053"/>
                <w:sz w:val="20"/>
                <w:szCs w:val="20"/>
                <w:lang w:val="en-US"/>
              </w:rPr>
              <w:t>Prospective observational study, 6 Months (4 timepoints), Enrolled January 2008 - June 2012</w:t>
            </w:r>
          </w:p>
        </w:tc>
        <w:tc>
          <w:tcPr>
            <w:tcW w:w="498" w:type="pct"/>
          </w:tcPr>
          <w:p w14:paraId="6555111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54 cancer patients and their partners (n=108)</w:t>
            </w:r>
          </w:p>
        </w:tc>
        <w:tc>
          <w:tcPr>
            <w:tcW w:w="451" w:type="pct"/>
          </w:tcPr>
          <w:p w14:paraId="0B7E1FD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Patient</w:t>
            </w:r>
          </w:p>
          <w:p w14:paraId="0098253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65%</w:t>
            </w:r>
          </w:p>
          <w:p w14:paraId="67D88BF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35%</w:t>
            </w:r>
          </w:p>
          <w:p w14:paraId="797E6C8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62</w:t>
            </w:r>
          </w:p>
          <w:p w14:paraId="02166EA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Caregiver</w:t>
            </w:r>
          </w:p>
          <w:p w14:paraId="319EEC6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29%</w:t>
            </w:r>
          </w:p>
          <w:p w14:paraId="38E11EE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71%</w:t>
            </w:r>
          </w:p>
          <w:p w14:paraId="2F6BD78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 xml:space="preserve">Mean – 55 </w:t>
            </w:r>
          </w:p>
        </w:tc>
        <w:tc>
          <w:tcPr>
            <w:tcW w:w="740" w:type="pct"/>
          </w:tcPr>
          <w:p w14:paraId="5737BAF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Hepatocellular or </w:t>
            </w:r>
            <w:proofErr w:type="spellStart"/>
            <w:r w:rsidRPr="0066602A">
              <w:rPr>
                <w:color w:val="4E5053"/>
                <w:sz w:val="20"/>
                <w:szCs w:val="20"/>
                <w:lang w:val="en-US"/>
              </w:rPr>
              <w:t>Cholangio</w:t>
            </w:r>
            <w:proofErr w:type="spellEnd"/>
            <w:r w:rsidRPr="0066602A">
              <w:rPr>
                <w:color w:val="4E5053"/>
                <w:sz w:val="20"/>
                <w:szCs w:val="20"/>
                <w:lang w:val="en-US"/>
              </w:rPr>
              <w:t xml:space="preserve"> Carcinoma: 36 (67%)</w:t>
            </w:r>
            <w:r w:rsidRPr="0066602A">
              <w:rPr>
                <w:color w:val="4E5053"/>
                <w:sz w:val="20"/>
                <w:szCs w:val="20"/>
                <w:lang w:val="en-US"/>
              </w:rPr>
              <w:br/>
              <w:t>Colorectal with liver metastases: 6 (11%)</w:t>
            </w:r>
            <w:r w:rsidRPr="0066602A">
              <w:rPr>
                <w:color w:val="4E5053"/>
                <w:sz w:val="20"/>
                <w:szCs w:val="20"/>
                <w:lang w:val="en-US"/>
              </w:rPr>
              <w:br/>
              <w:t>Other: 12 (22%)</w:t>
            </w:r>
          </w:p>
        </w:tc>
        <w:tc>
          <w:tcPr>
            <w:tcW w:w="1044" w:type="pct"/>
          </w:tcPr>
          <w:p w14:paraId="100D8C8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Regional chemo/90Y (radiation): 41 (76%)</w:t>
            </w:r>
            <w:r w:rsidRPr="0066602A">
              <w:rPr>
                <w:color w:val="4E5053"/>
                <w:sz w:val="20"/>
                <w:szCs w:val="20"/>
                <w:lang w:val="en-US"/>
              </w:rPr>
              <w:br/>
              <w:t>Radiofrequency ablation/resection: 13 (24%)</w:t>
            </w:r>
          </w:p>
        </w:tc>
        <w:tc>
          <w:tcPr>
            <w:tcW w:w="1809" w:type="pct"/>
          </w:tcPr>
          <w:p w14:paraId="72D4B9E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&gt; Caregivers reported on average sleeping 6.0 h per night (SD=2.1; range 1–9 h) and a mean sleep latency of 24 min (SD=21.8)</w:t>
            </w:r>
          </w:p>
          <w:p w14:paraId="65EBFEB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27% reported a sleep latency of greater than 30 min. </w:t>
            </w:r>
            <w:r w:rsidRPr="0066602A">
              <w:rPr>
                <w:color w:val="4E5053"/>
                <w:sz w:val="20"/>
                <w:szCs w:val="20"/>
                <w:lang w:val="en-US"/>
              </w:rPr>
              <w:br/>
              <w:t xml:space="preserve">&gt; 30% of family caregivers reported using a sleep aid in the last week and 22% of caregivers reported using a sleep aid more than 3 times per week. </w:t>
            </w:r>
            <w:r w:rsidRPr="0066602A">
              <w:rPr>
                <w:color w:val="4E5053"/>
                <w:sz w:val="20"/>
                <w:szCs w:val="20"/>
                <w:lang w:val="en-US"/>
              </w:rPr>
              <w:br/>
              <w:t xml:space="preserve">&gt; Caregivers reported a mean sleep efficiency of 83%. </w:t>
            </w:r>
            <w:r w:rsidRPr="0066602A">
              <w:rPr>
                <w:color w:val="4E5053"/>
                <w:sz w:val="20"/>
                <w:szCs w:val="20"/>
                <w:lang w:val="en-US"/>
              </w:rPr>
              <w:br/>
              <w:t>&gt; Patient and intimate partner sleep duration were significantly related (Kendall’s tau-c = 0.301, p=0.02).</w:t>
            </w:r>
            <w:r w:rsidRPr="0066602A">
              <w:rPr>
                <w:color w:val="4E5053"/>
                <w:sz w:val="20"/>
                <w:szCs w:val="20"/>
                <w:lang w:val="en-US"/>
              </w:rPr>
              <w:br/>
              <w:t xml:space="preserve">&gt; Using cross-lagged panel analyses, partners’ sleep quality significantly predicted patients’ sleep quality (r=0.52, p&lt;0.001) from baseline to the 2-month evaluation; patients’ sleep quality then significantly predicted partners’ sleep quality from the 2 months to the 4-month evaluation (r=0.68, p=0.01). </w:t>
            </w:r>
            <w:r w:rsidRPr="0066602A">
              <w:rPr>
                <w:color w:val="4E5053"/>
                <w:sz w:val="20"/>
                <w:szCs w:val="20"/>
                <w:lang w:val="en-US"/>
              </w:rPr>
              <w:br/>
              <w:t>&gt; Similarly, patients’ sleep latency significantly predicted partners’ sleep latency from 2 to 4 months (r=0.28, p=0.05).</w:t>
            </w:r>
          </w:p>
        </w:tc>
      </w:tr>
      <w:tr w:rsidR="009A7DFD" w:rsidRPr="0066602A" w14:paraId="32C4FA03"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DFE8B30"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Daniel, 2019</w:t>
            </w:r>
          </w:p>
          <w:p w14:paraId="492E645D" w14:textId="77777777" w:rsidR="009A7DFD" w:rsidRPr="0066602A" w:rsidRDefault="009A7DFD" w:rsidP="001E304D">
            <w:pPr>
              <w:pStyle w:val="Table-Normal"/>
              <w:rPr>
                <w:color w:val="4E5053"/>
                <w:sz w:val="20"/>
                <w:szCs w:val="20"/>
                <w:lang w:val="en-US"/>
              </w:rPr>
            </w:pPr>
            <w:r w:rsidRPr="0066602A">
              <w:rPr>
                <w:color w:val="4E5053"/>
                <w:sz w:val="20"/>
                <w:szCs w:val="20"/>
                <w:lang w:val="en-US"/>
              </w:rPr>
              <w:t>NR</w:t>
            </w:r>
          </w:p>
          <w:p w14:paraId="13CD18E8" w14:textId="77777777" w:rsidR="009A7DFD" w:rsidRPr="0066602A" w:rsidRDefault="009A7DFD" w:rsidP="001E304D">
            <w:pPr>
              <w:pStyle w:val="Table-Normal"/>
              <w:rPr>
                <w:color w:val="4E5053"/>
                <w:sz w:val="20"/>
                <w:szCs w:val="20"/>
                <w:lang w:val="en-US"/>
              </w:rPr>
            </w:pPr>
            <w:r w:rsidRPr="0066602A">
              <w:rPr>
                <w:color w:val="4E5053"/>
                <w:sz w:val="20"/>
                <w:szCs w:val="20"/>
                <w:lang w:val="en-US"/>
              </w:rPr>
              <w:t>Retrospective, 1994-2007</w:t>
            </w:r>
          </w:p>
        </w:tc>
        <w:tc>
          <w:tcPr>
            <w:tcW w:w="498" w:type="pct"/>
          </w:tcPr>
          <w:p w14:paraId="3E413CF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Total of number survivors= 1931</w:t>
            </w:r>
            <w:r w:rsidRPr="0066602A">
              <w:rPr>
                <w:color w:val="4E5053"/>
                <w:sz w:val="20"/>
                <w:szCs w:val="20"/>
                <w:lang w:val="en-US"/>
              </w:rPr>
              <w:br/>
              <w:t xml:space="preserve">Total number of </w:t>
            </w:r>
            <w:proofErr w:type="gramStart"/>
            <w:r w:rsidRPr="0066602A">
              <w:rPr>
                <w:color w:val="4E5053"/>
                <w:sz w:val="20"/>
                <w:szCs w:val="20"/>
                <w:lang w:val="en-US"/>
              </w:rPr>
              <w:t>sibling</w:t>
            </w:r>
            <w:proofErr w:type="gramEnd"/>
            <w:r w:rsidRPr="0066602A">
              <w:rPr>
                <w:color w:val="4E5053"/>
                <w:sz w:val="20"/>
                <w:szCs w:val="20"/>
                <w:lang w:val="en-US"/>
              </w:rPr>
              <w:t>= 380</w:t>
            </w:r>
          </w:p>
        </w:tc>
        <w:tc>
          <w:tcPr>
            <w:tcW w:w="451" w:type="pct"/>
          </w:tcPr>
          <w:p w14:paraId="67CBE06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Patient</w:t>
            </w:r>
          </w:p>
          <w:p w14:paraId="136C12F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49.2%</w:t>
            </w:r>
          </w:p>
          <w:p w14:paraId="341FDE1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–50.8%</w:t>
            </w:r>
          </w:p>
          <w:p w14:paraId="45976B0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- 62</w:t>
            </w:r>
          </w:p>
          <w:p w14:paraId="5CF1A32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Sibling</w:t>
            </w:r>
          </w:p>
          <w:p w14:paraId="3D0C6D60"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47.6%</w:t>
            </w:r>
          </w:p>
          <w:p w14:paraId="20CCD8CA"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–52.4%</w:t>
            </w:r>
          </w:p>
          <w:p w14:paraId="6DA579D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33.4</w:t>
            </w:r>
          </w:p>
          <w:p w14:paraId="00406A1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p>
          <w:p w14:paraId="423238A3"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p>
        </w:tc>
        <w:tc>
          <w:tcPr>
            <w:tcW w:w="740" w:type="pct"/>
          </w:tcPr>
          <w:p w14:paraId="1BB3A7F9"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Hodgkin lymphoma: 1018 (52.7%)</w:t>
            </w:r>
            <w:r w:rsidRPr="0066602A">
              <w:rPr>
                <w:color w:val="4E5053"/>
                <w:sz w:val="20"/>
                <w:szCs w:val="20"/>
                <w:lang w:val="en-US"/>
              </w:rPr>
              <w:br/>
              <w:t>CNS Tumor: 303 (15.7%)</w:t>
            </w:r>
            <w:r w:rsidRPr="0066602A">
              <w:rPr>
                <w:color w:val="4E5053"/>
                <w:sz w:val="20"/>
                <w:szCs w:val="20"/>
                <w:lang w:val="en-US"/>
              </w:rPr>
              <w:br/>
              <w:t>Leukemia: 302 (15.6%)</w:t>
            </w:r>
            <w:r w:rsidRPr="0066602A">
              <w:rPr>
                <w:color w:val="4E5053"/>
                <w:sz w:val="20"/>
                <w:szCs w:val="20"/>
                <w:lang w:val="en-US"/>
              </w:rPr>
              <w:br/>
              <w:t>Bone cancer: 159 (8.2%)</w:t>
            </w:r>
            <w:r w:rsidRPr="0066602A">
              <w:rPr>
                <w:color w:val="4E5053"/>
                <w:sz w:val="20"/>
                <w:szCs w:val="20"/>
                <w:lang w:val="en-US"/>
              </w:rPr>
              <w:br/>
              <w:t>Soft tissue sarcoma: 151 (7.8%)</w:t>
            </w:r>
          </w:p>
        </w:tc>
        <w:tc>
          <w:tcPr>
            <w:tcW w:w="1044" w:type="pct"/>
          </w:tcPr>
          <w:p w14:paraId="563FCCC1"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 Chemotherapy: 1140 (65.65%)</w:t>
            </w:r>
            <w:r w:rsidRPr="0066602A">
              <w:rPr>
                <w:color w:val="4E5053"/>
                <w:sz w:val="20"/>
                <w:szCs w:val="20"/>
                <w:lang w:val="en-US"/>
              </w:rPr>
              <w:br/>
              <w:t>&gt; Radiation therapy in the first 5 years of therapy: 1371 (77.7%)</w:t>
            </w:r>
          </w:p>
        </w:tc>
        <w:tc>
          <w:tcPr>
            <w:tcW w:w="1809" w:type="pct"/>
          </w:tcPr>
          <w:p w14:paraId="689EE506"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&gt; No significant differences were identified between survivors and siblings on sex (p=0.56), though survivors were slightly older at survey (p&lt;0.001) and had higher minority representation (p=0.0031).</w:t>
            </w:r>
            <w:r w:rsidRPr="0066602A">
              <w:rPr>
                <w:color w:val="4E5053"/>
                <w:sz w:val="20"/>
                <w:szCs w:val="20"/>
                <w:lang w:val="en-US"/>
              </w:rPr>
              <w:br/>
              <w:t xml:space="preserve">&gt; Cancer siblings with sleep onset latency (≥30 minutes) ±: 108 (28.4%) </w:t>
            </w:r>
            <w:r w:rsidRPr="0066602A">
              <w:rPr>
                <w:color w:val="4E5053"/>
                <w:sz w:val="20"/>
                <w:szCs w:val="20"/>
                <w:lang w:val="en-US"/>
              </w:rPr>
              <w:br/>
              <w:t>&gt; Cancer siblings with sleep efficiency &lt;85% ±: 90 (24.7%)</w:t>
            </w:r>
            <w:r w:rsidRPr="0066602A">
              <w:rPr>
                <w:color w:val="4E5053"/>
                <w:sz w:val="20"/>
                <w:szCs w:val="20"/>
                <w:lang w:val="en-US"/>
              </w:rPr>
              <w:br/>
              <w:t xml:space="preserve">&gt; Cancer siblings sleep time &lt;7 hours ±: 136 (36.0%) </w:t>
            </w:r>
            <w:r w:rsidRPr="0066602A">
              <w:rPr>
                <w:color w:val="4E5053"/>
                <w:sz w:val="20"/>
                <w:szCs w:val="20"/>
                <w:lang w:val="en-US"/>
              </w:rPr>
              <w:br/>
              <w:t>&gt; Cancer siblings with night/early morning awakening ±: 92 (24.2%)</w:t>
            </w:r>
            <w:r w:rsidRPr="0066602A">
              <w:rPr>
                <w:color w:val="4E5053"/>
                <w:sz w:val="20"/>
                <w:szCs w:val="20"/>
                <w:lang w:val="en-US"/>
              </w:rPr>
              <w:br/>
              <w:t xml:space="preserve">&gt; Cancer siblings with pauses in breathing§: 24 (10.0%) </w:t>
            </w:r>
            <w:r w:rsidRPr="0066602A">
              <w:rPr>
                <w:color w:val="4E5053"/>
                <w:sz w:val="20"/>
                <w:szCs w:val="20"/>
                <w:lang w:val="en-US"/>
              </w:rPr>
              <w:br/>
              <w:t>&gt; Cancer siblings with sleep onset after 1 am§: 25 (6.7%)</w:t>
            </w:r>
            <w:r w:rsidRPr="0066602A">
              <w:rPr>
                <w:color w:val="4E5053"/>
                <w:sz w:val="20"/>
                <w:szCs w:val="20"/>
                <w:lang w:val="en-US"/>
              </w:rPr>
              <w:br/>
              <w:t>&gt; Cancer siblings with fatigue (FACIT ≤ 43) ±: 160 (42.3%)</w:t>
            </w:r>
            <w:r w:rsidRPr="0066602A">
              <w:rPr>
                <w:color w:val="4E5053"/>
                <w:sz w:val="20"/>
                <w:szCs w:val="20"/>
                <w:lang w:val="en-US"/>
              </w:rPr>
              <w:br/>
              <w:t>&gt; Cancer siblings with daytime sleepiness (Epworth ≥ 10) ±: 54 (14.2%)</w:t>
            </w:r>
            <w:r w:rsidRPr="0066602A">
              <w:rPr>
                <w:color w:val="4E5053"/>
                <w:sz w:val="20"/>
                <w:szCs w:val="20"/>
                <w:lang w:val="en-US"/>
              </w:rPr>
              <w:br/>
            </w:r>
            <w:r w:rsidRPr="0066602A">
              <w:rPr>
                <w:color w:val="4E5053"/>
                <w:sz w:val="20"/>
                <w:szCs w:val="20"/>
                <w:lang w:val="en-US"/>
              </w:rPr>
              <w:lastRenderedPageBreak/>
              <w:t xml:space="preserve">&gt; Cancer siblings using sleep medication ±: 25 (6.6%) </w:t>
            </w:r>
            <w:r w:rsidRPr="0066602A">
              <w:rPr>
                <w:color w:val="4E5053"/>
                <w:sz w:val="20"/>
                <w:szCs w:val="20"/>
                <w:lang w:val="en-US"/>
              </w:rPr>
              <w:br/>
              <w:t>&gt; Cancer siblings using sleep supplements ±: 31 (8.3%).</w:t>
            </w:r>
          </w:p>
        </w:tc>
      </w:tr>
      <w:tr w:rsidR="009A7DFD" w:rsidRPr="0066602A" w14:paraId="636E6417"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49B80EF8"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Goren, 2014</w:t>
            </w:r>
          </w:p>
          <w:p w14:paraId="35231DAE" w14:textId="77777777" w:rsidR="009A7DFD" w:rsidRPr="0066602A" w:rsidRDefault="009A7DFD" w:rsidP="001E304D">
            <w:pPr>
              <w:pStyle w:val="Table-Normal"/>
              <w:rPr>
                <w:color w:val="4E5053"/>
                <w:sz w:val="20"/>
                <w:szCs w:val="20"/>
                <w:lang w:val="en-US"/>
              </w:rPr>
            </w:pPr>
            <w:r w:rsidRPr="0066602A">
              <w:rPr>
                <w:color w:val="4E5053"/>
                <w:sz w:val="20"/>
                <w:szCs w:val="20"/>
                <w:lang w:val="en-US"/>
              </w:rPr>
              <w:t>International*</w:t>
            </w:r>
            <w:r w:rsidRPr="0066602A">
              <w:rPr>
                <w:color w:val="4E5053"/>
                <w:sz w:val="20"/>
                <w:szCs w:val="20"/>
                <w:lang w:val="en-US"/>
              </w:rPr>
              <w:br/>
            </w:r>
            <w:r w:rsidRPr="0066602A">
              <w:rPr>
                <w:color w:val="4E5053"/>
                <w:sz w:val="20"/>
                <w:szCs w:val="20"/>
                <w:lang w:val="en-US"/>
              </w:rPr>
              <w:br/>
              <w:t xml:space="preserve">*France, Germany, Italy, </w:t>
            </w:r>
            <w:proofErr w:type="gramStart"/>
            <w:r w:rsidRPr="0066602A">
              <w:rPr>
                <w:color w:val="4E5053"/>
                <w:sz w:val="20"/>
                <w:szCs w:val="20"/>
                <w:lang w:val="en-US"/>
              </w:rPr>
              <w:t>Spain</w:t>
            </w:r>
            <w:proofErr w:type="gramEnd"/>
            <w:r w:rsidRPr="0066602A">
              <w:rPr>
                <w:color w:val="4E5053"/>
                <w:sz w:val="20"/>
                <w:szCs w:val="20"/>
                <w:lang w:val="en-US"/>
              </w:rPr>
              <w:t xml:space="preserve"> and the United Kingdom</w:t>
            </w:r>
          </w:p>
          <w:p w14:paraId="1F367108" w14:textId="77777777" w:rsidR="009A7DFD" w:rsidRPr="0066602A" w:rsidRDefault="009A7DFD" w:rsidP="001E304D">
            <w:pPr>
              <w:pStyle w:val="Table-Normal"/>
              <w:rPr>
                <w:color w:val="4E5053"/>
                <w:sz w:val="20"/>
                <w:szCs w:val="20"/>
                <w:lang w:val="en-US"/>
              </w:rPr>
            </w:pPr>
            <w:r w:rsidRPr="0066602A">
              <w:rPr>
                <w:color w:val="4E5053"/>
                <w:sz w:val="20"/>
                <w:szCs w:val="20"/>
                <w:lang w:val="en-US"/>
              </w:rPr>
              <w:t xml:space="preserve"> Cross-sectional, Internet-based survey, 2010-2011</w:t>
            </w:r>
          </w:p>
        </w:tc>
        <w:tc>
          <w:tcPr>
            <w:tcW w:w="498" w:type="pct"/>
          </w:tcPr>
          <w:p w14:paraId="069B0B1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Caregivers: 1,713</w:t>
            </w:r>
            <w:r w:rsidRPr="0066602A">
              <w:rPr>
                <w:color w:val="4E5053"/>
                <w:sz w:val="20"/>
                <w:szCs w:val="20"/>
                <w:lang w:val="en-US"/>
              </w:rPr>
              <w:br/>
            </w:r>
            <w:proofErr w:type="gramStart"/>
            <w:r w:rsidRPr="0066602A">
              <w:rPr>
                <w:color w:val="4E5053"/>
                <w:sz w:val="20"/>
                <w:szCs w:val="20"/>
                <w:lang w:val="en-US"/>
              </w:rPr>
              <w:t>Non-caregivers</w:t>
            </w:r>
            <w:proofErr w:type="gramEnd"/>
            <w:r w:rsidRPr="0066602A">
              <w:rPr>
                <w:color w:val="4E5053"/>
                <w:sz w:val="20"/>
                <w:szCs w:val="20"/>
                <w:lang w:val="en-US"/>
              </w:rPr>
              <w:t>: 103,868</w:t>
            </w:r>
          </w:p>
        </w:tc>
        <w:tc>
          <w:tcPr>
            <w:tcW w:w="451" w:type="pct"/>
          </w:tcPr>
          <w:p w14:paraId="05041F6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Non-caregiver</w:t>
            </w:r>
          </w:p>
          <w:p w14:paraId="0A35B446"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49.6%</w:t>
            </w:r>
          </w:p>
          <w:p w14:paraId="49518C97"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–50.4%</w:t>
            </w:r>
          </w:p>
          <w:p w14:paraId="588B484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46.28</w:t>
            </w:r>
          </w:p>
          <w:p w14:paraId="7261D52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Caregiver</w:t>
            </w:r>
          </w:p>
          <w:p w14:paraId="2E3B9DA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41.3%</w:t>
            </w:r>
          </w:p>
          <w:p w14:paraId="401AD63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–58.7%</w:t>
            </w:r>
          </w:p>
          <w:p w14:paraId="60990D0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rFonts w:cstheme="minorHAnsi"/>
                <w:color w:val="4E5053"/>
                <w:sz w:val="20"/>
                <w:szCs w:val="20"/>
                <w:lang w:val="en-US"/>
              </w:rPr>
              <w:t>Mean – 46.43</w:t>
            </w:r>
          </w:p>
        </w:tc>
        <w:tc>
          <w:tcPr>
            <w:tcW w:w="740" w:type="pct"/>
          </w:tcPr>
          <w:p w14:paraId="6A962BA5"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NR</w:t>
            </w:r>
          </w:p>
        </w:tc>
        <w:tc>
          <w:tcPr>
            <w:tcW w:w="1044" w:type="pct"/>
          </w:tcPr>
          <w:p w14:paraId="1E15522E"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NR</w:t>
            </w:r>
          </w:p>
        </w:tc>
        <w:tc>
          <w:tcPr>
            <w:tcW w:w="1809" w:type="pct"/>
          </w:tcPr>
          <w:p w14:paraId="32FE5E24"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Caregivers reported a significantly higher frequency of stress related comorbidities than non-caregivers: </w:t>
            </w:r>
            <w:r w:rsidRPr="0066602A">
              <w:rPr>
                <w:color w:val="4E5053"/>
                <w:sz w:val="20"/>
                <w:szCs w:val="20"/>
                <w:lang w:val="en-US"/>
              </w:rPr>
              <w:br/>
              <w:t>Depression: 274* (16.0%) vs. 10,787 (10.4 %)</w:t>
            </w:r>
            <w:r w:rsidRPr="0066602A">
              <w:rPr>
                <w:color w:val="4E5053"/>
                <w:sz w:val="20"/>
                <w:szCs w:val="20"/>
                <w:lang w:val="en-US"/>
              </w:rPr>
              <w:br/>
              <w:t>Anxiety: 411* (24.0%) vs. 13,284 (12.8 %)</w:t>
            </w:r>
            <w:r w:rsidRPr="0066602A">
              <w:rPr>
                <w:color w:val="4E5053"/>
                <w:sz w:val="20"/>
                <w:szCs w:val="20"/>
                <w:lang w:val="en-US"/>
              </w:rPr>
              <w:br/>
              <w:t>Insomnia: 354* (20.7%) vs. 10,967 (10.6 %)</w:t>
            </w:r>
            <w:r w:rsidRPr="0066602A">
              <w:rPr>
                <w:color w:val="4E5053"/>
                <w:sz w:val="20"/>
                <w:szCs w:val="20"/>
                <w:lang w:val="en-US"/>
              </w:rPr>
              <w:br/>
              <w:t>Caregivers had significantly increased odds of depression (OR=1.50), anxiety (OR=1.97) and insomnia (OR=2.01),</w:t>
            </w:r>
            <w:r w:rsidRPr="0066602A">
              <w:rPr>
                <w:color w:val="4E5053"/>
                <w:sz w:val="20"/>
                <w:szCs w:val="20"/>
                <w:lang w:val="en-US"/>
              </w:rPr>
              <w:br/>
              <w:t>*P&lt;0.05 (findings within a given row represent a significant difference from non-caregivers).</w:t>
            </w:r>
          </w:p>
        </w:tc>
      </w:tr>
      <w:tr w:rsidR="009A7DFD" w:rsidRPr="0066602A" w14:paraId="3B2B0A01"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1D02BE78"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t>Jassem, 2015</w:t>
            </w:r>
          </w:p>
          <w:p w14:paraId="0D51BB97" w14:textId="77777777" w:rsidR="009A7DFD" w:rsidRPr="0066602A" w:rsidRDefault="009A7DFD" w:rsidP="001E304D">
            <w:pPr>
              <w:pStyle w:val="Table-Normal"/>
              <w:rPr>
                <w:color w:val="4E5053"/>
                <w:sz w:val="20"/>
                <w:szCs w:val="20"/>
                <w:lang w:val="en-US"/>
              </w:rPr>
            </w:pPr>
            <w:r w:rsidRPr="0066602A">
              <w:rPr>
                <w:color w:val="4E5053"/>
                <w:sz w:val="20"/>
                <w:szCs w:val="20"/>
                <w:lang w:val="en-US"/>
              </w:rPr>
              <w:t>International*</w:t>
            </w:r>
            <w:r w:rsidRPr="0066602A">
              <w:rPr>
                <w:color w:val="4E5053"/>
                <w:sz w:val="20"/>
                <w:szCs w:val="20"/>
                <w:lang w:val="en-US"/>
              </w:rPr>
              <w:br/>
              <w:t xml:space="preserve">*France, Germany, Italy, </w:t>
            </w:r>
            <w:proofErr w:type="gramStart"/>
            <w:r w:rsidRPr="0066602A">
              <w:rPr>
                <w:color w:val="4E5053"/>
                <w:sz w:val="20"/>
                <w:szCs w:val="20"/>
                <w:lang w:val="en-US"/>
              </w:rPr>
              <w:t>Spain</w:t>
            </w:r>
            <w:proofErr w:type="gramEnd"/>
            <w:r w:rsidRPr="0066602A">
              <w:rPr>
                <w:color w:val="4E5053"/>
                <w:sz w:val="20"/>
                <w:szCs w:val="20"/>
                <w:lang w:val="en-US"/>
              </w:rPr>
              <w:t xml:space="preserve"> and the United Kingdom</w:t>
            </w:r>
          </w:p>
          <w:p w14:paraId="139659F6" w14:textId="77777777" w:rsidR="009A7DFD" w:rsidRPr="0066602A" w:rsidRDefault="009A7DFD" w:rsidP="001E304D">
            <w:pPr>
              <w:pStyle w:val="Table-Normal"/>
              <w:rPr>
                <w:color w:val="4E5053"/>
                <w:sz w:val="20"/>
                <w:szCs w:val="20"/>
                <w:lang w:val="en-US"/>
              </w:rPr>
            </w:pPr>
            <w:r w:rsidRPr="0066602A">
              <w:rPr>
                <w:color w:val="4E5053"/>
                <w:sz w:val="20"/>
                <w:szCs w:val="20"/>
                <w:lang w:val="en-US"/>
              </w:rPr>
              <w:t>Annual, cross-sectional, Internet-based survey, 2010-2011</w:t>
            </w:r>
          </w:p>
        </w:tc>
        <w:tc>
          <w:tcPr>
            <w:tcW w:w="498" w:type="pct"/>
          </w:tcPr>
          <w:p w14:paraId="0A05FE7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Caregivers: 107</w:t>
            </w:r>
            <w:r w:rsidRPr="0066602A">
              <w:rPr>
                <w:color w:val="4E5053"/>
                <w:sz w:val="20"/>
                <w:szCs w:val="20"/>
                <w:lang w:val="en-US"/>
              </w:rPr>
              <w:br/>
            </w:r>
            <w:proofErr w:type="gramStart"/>
            <w:r w:rsidRPr="0066602A">
              <w:rPr>
                <w:color w:val="4E5053"/>
                <w:sz w:val="20"/>
                <w:szCs w:val="20"/>
                <w:lang w:val="en-US"/>
              </w:rPr>
              <w:t>Non-caregivers</w:t>
            </w:r>
            <w:proofErr w:type="gramEnd"/>
            <w:r w:rsidRPr="0066602A">
              <w:rPr>
                <w:color w:val="4E5053"/>
                <w:sz w:val="20"/>
                <w:szCs w:val="20"/>
                <w:lang w:val="en-US"/>
              </w:rPr>
              <w:t>: 103,868</w:t>
            </w:r>
          </w:p>
        </w:tc>
        <w:tc>
          <w:tcPr>
            <w:tcW w:w="451" w:type="pct"/>
          </w:tcPr>
          <w:p w14:paraId="23011698"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Non-caregiver</w:t>
            </w:r>
          </w:p>
          <w:p w14:paraId="7BCC917E"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49.6%</w:t>
            </w:r>
          </w:p>
          <w:p w14:paraId="71F68B87"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–50.4%</w:t>
            </w:r>
          </w:p>
          <w:p w14:paraId="1A53A485"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Mean – 46.3</w:t>
            </w:r>
          </w:p>
          <w:p w14:paraId="15DB3A2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b/>
                <w:bCs w:val="0"/>
                <w:color w:val="4E5053"/>
                <w:sz w:val="20"/>
                <w:szCs w:val="20"/>
                <w:lang w:val="en-US"/>
              </w:rPr>
            </w:pPr>
            <w:r w:rsidRPr="0066602A">
              <w:rPr>
                <w:rFonts w:cstheme="minorHAnsi"/>
                <w:b/>
                <w:bCs w:val="0"/>
                <w:color w:val="4E5053"/>
                <w:sz w:val="20"/>
                <w:szCs w:val="20"/>
                <w:lang w:val="en-US"/>
              </w:rPr>
              <w:t>Caregiver</w:t>
            </w:r>
          </w:p>
          <w:p w14:paraId="165236E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48.6%</w:t>
            </w:r>
          </w:p>
          <w:p w14:paraId="6B11A5E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–51.4%</w:t>
            </w:r>
          </w:p>
          <w:p w14:paraId="1F170C54"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rFonts w:cstheme="minorHAnsi"/>
                <w:color w:val="4E5053"/>
                <w:sz w:val="20"/>
                <w:szCs w:val="20"/>
                <w:lang w:val="en-US"/>
              </w:rPr>
              <w:t>Mean – 44.1</w:t>
            </w:r>
          </w:p>
        </w:tc>
        <w:tc>
          <w:tcPr>
            <w:tcW w:w="740" w:type="pct"/>
          </w:tcPr>
          <w:p w14:paraId="5240B1FB"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proofErr w:type="spellStart"/>
            <w:r w:rsidRPr="0066602A">
              <w:rPr>
                <w:color w:val="4E5053"/>
                <w:sz w:val="20"/>
                <w:szCs w:val="20"/>
                <w:lang w:val="en-US"/>
              </w:rPr>
              <w:t>Carers</w:t>
            </w:r>
            <w:proofErr w:type="spellEnd"/>
            <w:r w:rsidRPr="0066602A">
              <w:rPr>
                <w:color w:val="4E5053"/>
                <w:sz w:val="20"/>
                <w:szCs w:val="20"/>
                <w:lang w:val="en-US"/>
              </w:rPr>
              <w:t xml:space="preserve"> for patients with lung cancer: 100%</w:t>
            </w:r>
          </w:p>
        </w:tc>
        <w:tc>
          <w:tcPr>
            <w:tcW w:w="1044" w:type="pct"/>
          </w:tcPr>
          <w:p w14:paraId="16F8BE42"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NR</w:t>
            </w:r>
          </w:p>
        </w:tc>
        <w:tc>
          <w:tcPr>
            <w:tcW w:w="1809" w:type="pct"/>
          </w:tcPr>
          <w:p w14:paraId="5FA795CF" w14:textId="77777777" w:rsidR="009A7DFD" w:rsidRPr="0066602A" w:rsidRDefault="009A7DFD" w:rsidP="001E304D">
            <w:pPr>
              <w:pStyle w:val="Table-Normal"/>
              <w:cnfStyle w:val="000000010000" w:firstRow="0" w:lastRow="0" w:firstColumn="0" w:lastColumn="0" w:oddVBand="0" w:evenVBand="0" w:oddHBand="0" w:evenHBand="1" w:firstRowFirstColumn="0" w:firstRowLastColumn="0" w:lastRowFirstColumn="0" w:lastRowLastColumn="0"/>
              <w:rPr>
                <w:color w:val="4E5053"/>
                <w:sz w:val="20"/>
                <w:szCs w:val="20"/>
                <w:lang w:val="en-US"/>
              </w:rPr>
            </w:pPr>
            <w:r w:rsidRPr="0066602A">
              <w:rPr>
                <w:color w:val="4E5053"/>
                <w:sz w:val="20"/>
                <w:szCs w:val="20"/>
                <w:lang w:val="en-US"/>
              </w:rPr>
              <w:t xml:space="preserve">&gt; After controlling for relevant confounders, caregivers of patients with lung cancer were at twice the odds of reporting several </w:t>
            </w:r>
            <w:proofErr w:type="gramStart"/>
            <w:r w:rsidRPr="0066602A">
              <w:rPr>
                <w:color w:val="4E5053"/>
                <w:sz w:val="20"/>
                <w:szCs w:val="20"/>
                <w:lang w:val="en-US"/>
              </w:rPr>
              <w:t>stress</w:t>
            </w:r>
            <w:proofErr w:type="gramEnd"/>
            <w:r w:rsidRPr="0066602A">
              <w:rPr>
                <w:color w:val="4E5053"/>
                <w:sz w:val="20"/>
                <w:szCs w:val="20"/>
                <w:lang w:val="en-US"/>
              </w:rPr>
              <w:t xml:space="preserve">-or burden related conditions, including insomnia compared with non-care givers. </w:t>
            </w:r>
            <w:r w:rsidRPr="0066602A">
              <w:rPr>
                <w:color w:val="4E5053"/>
                <w:sz w:val="20"/>
                <w:szCs w:val="20"/>
                <w:lang w:val="en-US"/>
              </w:rPr>
              <w:br/>
              <w:t>&gt; Insomnia in caregivers: 22 (</w:t>
            </w:r>
            <w:proofErr w:type="gramStart"/>
            <w:r w:rsidRPr="0066602A">
              <w:rPr>
                <w:color w:val="4E5053"/>
                <w:sz w:val="20"/>
                <w:szCs w:val="20"/>
                <w:lang w:val="en-US"/>
              </w:rPr>
              <w:t>20.6)a</w:t>
            </w:r>
            <w:proofErr w:type="gramEnd"/>
            <w:r w:rsidRPr="0066602A">
              <w:rPr>
                <w:color w:val="4E5053"/>
                <w:sz w:val="20"/>
                <w:szCs w:val="20"/>
                <w:lang w:val="en-US"/>
              </w:rPr>
              <w:t xml:space="preserve"> </w:t>
            </w:r>
            <w:r w:rsidRPr="0066602A">
              <w:rPr>
                <w:color w:val="4E5053"/>
                <w:sz w:val="20"/>
                <w:szCs w:val="20"/>
                <w:lang w:val="en-US"/>
              </w:rPr>
              <w:br/>
              <w:t>&gt; Insomnia in non-caregivers: 10,967 (10.6).</w:t>
            </w:r>
          </w:p>
        </w:tc>
      </w:tr>
      <w:tr w:rsidR="009A7DFD" w:rsidRPr="0066602A" w14:paraId="12E7AB40"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8" w:type="pct"/>
          </w:tcPr>
          <w:p w14:paraId="7D2BA01A" w14:textId="77777777" w:rsidR="009A7DFD" w:rsidRPr="0066602A" w:rsidRDefault="009A7DFD" w:rsidP="001E304D">
            <w:pPr>
              <w:pStyle w:val="Table-Normal"/>
              <w:rPr>
                <w:bCs/>
                <w:color w:val="4E5053"/>
                <w:sz w:val="20"/>
                <w:szCs w:val="20"/>
                <w:lang w:val="en-US"/>
              </w:rPr>
            </w:pPr>
            <w:r w:rsidRPr="0066602A">
              <w:rPr>
                <w:color w:val="4E5053"/>
                <w:sz w:val="20"/>
                <w:szCs w:val="20"/>
                <w:lang w:val="en-US"/>
              </w:rPr>
              <w:lastRenderedPageBreak/>
              <w:t>Morris, 2015</w:t>
            </w:r>
          </w:p>
          <w:p w14:paraId="0DA9FA30" w14:textId="77777777" w:rsidR="009A7DFD" w:rsidRPr="0066602A" w:rsidRDefault="009A7DFD" w:rsidP="001E304D">
            <w:pPr>
              <w:pStyle w:val="Table-Normal"/>
              <w:rPr>
                <w:color w:val="4E5053"/>
                <w:sz w:val="20"/>
                <w:szCs w:val="20"/>
                <w:lang w:val="en-US"/>
              </w:rPr>
            </w:pPr>
            <w:r w:rsidRPr="0066602A">
              <w:rPr>
                <w:color w:val="4E5053"/>
                <w:sz w:val="20"/>
                <w:szCs w:val="20"/>
                <w:lang w:val="en-US"/>
              </w:rPr>
              <w:t>Australia</w:t>
            </w:r>
          </w:p>
          <w:p w14:paraId="4CEFB6EA" w14:textId="77777777" w:rsidR="009A7DFD" w:rsidRPr="0066602A" w:rsidRDefault="009A7DFD" w:rsidP="001E304D">
            <w:pPr>
              <w:pStyle w:val="Table-Normal"/>
              <w:rPr>
                <w:color w:val="4E5053"/>
                <w:sz w:val="20"/>
                <w:szCs w:val="20"/>
                <w:lang w:val="en-US"/>
              </w:rPr>
            </w:pPr>
            <w:r w:rsidRPr="0066602A">
              <w:rPr>
                <w:color w:val="4E5053"/>
                <w:sz w:val="20"/>
                <w:szCs w:val="20"/>
                <w:lang w:val="en-US"/>
              </w:rPr>
              <w:t>NR, December 2012-March 2013</w:t>
            </w:r>
          </w:p>
        </w:tc>
        <w:tc>
          <w:tcPr>
            <w:tcW w:w="498" w:type="pct"/>
          </w:tcPr>
          <w:p w14:paraId="234900A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Patients: 500</w:t>
            </w:r>
            <w:r w:rsidRPr="0066602A">
              <w:rPr>
                <w:color w:val="4E5053"/>
                <w:sz w:val="20"/>
                <w:szCs w:val="20"/>
                <w:lang w:val="en-US"/>
              </w:rPr>
              <w:br/>
              <w:t xml:space="preserve">Caregivers: 234 </w:t>
            </w:r>
          </w:p>
        </w:tc>
        <w:tc>
          <w:tcPr>
            <w:tcW w:w="451" w:type="pct"/>
          </w:tcPr>
          <w:p w14:paraId="42ABEC9A"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b/>
                <w:bCs w:val="0"/>
                <w:color w:val="4E5053"/>
                <w:sz w:val="20"/>
                <w:szCs w:val="20"/>
                <w:lang w:val="en-US"/>
              </w:rPr>
            </w:pPr>
            <w:r w:rsidRPr="0066602A">
              <w:rPr>
                <w:b/>
                <w:bCs w:val="0"/>
                <w:color w:val="4E5053"/>
                <w:sz w:val="20"/>
                <w:szCs w:val="20"/>
                <w:lang w:val="en-US"/>
              </w:rPr>
              <w:t>Patients</w:t>
            </w:r>
          </w:p>
          <w:p w14:paraId="58A09E2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Male </w:t>
            </w:r>
            <w:r w:rsidRPr="0066602A">
              <w:rPr>
                <w:rFonts w:cstheme="minorHAnsi"/>
                <w:color w:val="4E5053"/>
                <w:sz w:val="20"/>
                <w:szCs w:val="20"/>
                <w:lang w:val="en-US"/>
              </w:rPr>
              <w:t>–</w:t>
            </w:r>
            <w:r w:rsidRPr="0066602A">
              <w:rPr>
                <w:color w:val="4E5053"/>
                <w:sz w:val="20"/>
                <w:szCs w:val="20"/>
                <w:lang w:val="en-US"/>
              </w:rPr>
              <w:t xml:space="preserve"> 24.0%</w:t>
            </w:r>
          </w:p>
          <w:p w14:paraId="24E0C9BD"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Female </w:t>
            </w:r>
            <w:r w:rsidRPr="0066602A">
              <w:rPr>
                <w:rFonts w:cstheme="minorHAnsi"/>
                <w:color w:val="4E5053"/>
                <w:sz w:val="20"/>
                <w:szCs w:val="20"/>
                <w:lang w:val="en-US"/>
              </w:rPr>
              <w:t>–</w:t>
            </w:r>
            <w:r w:rsidRPr="0066602A">
              <w:rPr>
                <w:color w:val="4E5053"/>
                <w:sz w:val="20"/>
                <w:szCs w:val="20"/>
                <w:lang w:val="en-US"/>
              </w:rPr>
              <w:t>76.0%</w:t>
            </w:r>
          </w:p>
          <w:p w14:paraId="5EA823A3"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Mean </w:t>
            </w:r>
            <w:r w:rsidRPr="0066602A">
              <w:rPr>
                <w:rFonts w:cstheme="minorHAnsi"/>
                <w:color w:val="4E5053"/>
                <w:sz w:val="20"/>
                <w:szCs w:val="20"/>
                <w:lang w:val="en-US"/>
              </w:rPr>
              <w:t>–</w:t>
            </w:r>
            <w:r w:rsidRPr="0066602A">
              <w:rPr>
                <w:color w:val="4E5053"/>
                <w:sz w:val="20"/>
                <w:szCs w:val="20"/>
                <w:lang w:val="en-US"/>
              </w:rPr>
              <w:t xml:space="preserve"> NR</w:t>
            </w:r>
          </w:p>
          <w:p w14:paraId="736C051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b/>
                <w:bCs w:val="0"/>
                <w:color w:val="4E5053"/>
                <w:sz w:val="20"/>
                <w:szCs w:val="20"/>
                <w:lang w:val="en-US"/>
              </w:rPr>
            </w:pPr>
            <w:r w:rsidRPr="0066602A">
              <w:rPr>
                <w:b/>
                <w:bCs w:val="0"/>
                <w:color w:val="4E5053"/>
                <w:sz w:val="20"/>
                <w:szCs w:val="20"/>
                <w:lang w:val="en-US"/>
              </w:rPr>
              <w:t>Caregivers</w:t>
            </w:r>
          </w:p>
          <w:p w14:paraId="120C649B"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Male </w:t>
            </w:r>
            <w:r w:rsidRPr="0066602A">
              <w:rPr>
                <w:rFonts w:cstheme="minorHAnsi"/>
                <w:color w:val="4E5053"/>
                <w:sz w:val="20"/>
                <w:szCs w:val="20"/>
                <w:lang w:val="en-US"/>
              </w:rPr>
              <w:t>–</w:t>
            </w:r>
            <w:r w:rsidRPr="0066602A">
              <w:rPr>
                <w:color w:val="4E5053"/>
                <w:sz w:val="20"/>
                <w:szCs w:val="20"/>
                <w:lang w:val="en-US"/>
              </w:rPr>
              <w:t>15.8%</w:t>
            </w:r>
          </w:p>
          <w:p w14:paraId="007C3D9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Female </w:t>
            </w:r>
            <w:r w:rsidRPr="0066602A">
              <w:rPr>
                <w:rFonts w:cstheme="minorHAnsi"/>
                <w:color w:val="4E5053"/>
                <w:sz w:val="20"/>
                <w:szCs w:val="20"/>
                <w:lang w:val="en-US"/>
              </w:rPr>
              <w:t>–</w:t>
            </w:r>
            <w:r w:rsidRPr="0066602A">
              <w:rPr>
                <w:color w:val="4E5053"/>
                <w:sz w:val="20"/>
                <w:szCs w:val="20"/>
                <w:lang w:val="en-US"/>
              </w:rPr>
              <w:t>84.2%</w:t>
            </w:r>
          </w:p>
          <w:p w14:paraId="395394EF"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Mean </w:t>
            </w:r>
            <w:r w:rsidRPr="0066602A">
              <w:rPr>
                <w:rFonts w:cstheme="minorHAnsi"/>
                <w:color w:val="4E5053"/>
                <w:sz w:val="20"/>
                <w:szCs w:val="20"/>
                <w:lang w:val="en-US"/>
              </w:rPr>
              <w:t>–</w:t>
            </w:r>
            <w:r w:rsidRPr="0066602A">
              <w:rPr>
                <w:color w:val="4E5053"/>
                <w:sz w:val="20"/>
                <w:szCs w:val="20"/>
                <w:lang w:val="en-US"/>
              </w:rPr>
              <w:t xml:space="preserve"> NR</w:t>
            </w:r>
          </w:p>
        </w:tc>
        <w:tc>
          <w:tcPr>
            <w:tcW w:w="740" w:type="pct"/>
          </w:tcPr>
          <w:p w14:paraId="56856ED0"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b/>
                <w:bCs w:val="0"/>
                <w:color w:val="4E5053"/>
                <w:sz w:val="20"/>
                <w:szCs w:val="20"/>
                <w:lang w:val="en-US"/>
              </w:rPr>
              <w:t>Patients</w:t>
            </w:r>
            <w:r w:rsidRPr="0066602A">
              <w:rPr>
                <w:color w:val="4E5053"/>
                <w:sz w:val="20"/>
                <w:szCs w:val="20"/>
                <w:lang w:val="en-US"/>
              </w:rPr>
              <w:br/>
              <w:t xml:space="preserve">Breast: 183 (36.6%) </w:t>
            </w:r>
            <w:r w:rsidRPr="0066602A">
              <w:rPr>
                <w:color w:val="4E5053"/>
                <w:sz w:val="20"/>
                <w:szCs w:val="20"/>
                <w:lang w:val="en-US"/>
              </w:rPr>
              <w:br/>
              <w:t xml:space="preserve">Male urological: 61 (12.2%) </w:t>
            </w:r>
            <w:r w:rsidRPr="0066602A">
              <w:rPr>
                <w:color w:val="4E5053"/>
                <w:sz w:val="20"/>
                <w:szCs w:val="20"/>
                <w:lang w:val="en-US"/>
              </w:rPr>
              <w:br/>
              <w:t xml:space="preserve">Lower GI: 42 (8.4%) </w:t>
            </w:r>
            <w:r w:rsidRPr="0066602A">
              <w:rPr>
                <w:color w:val="4E5053"/>
                <w:sz w:val="20"/>
                <w:szCs w:val="20"/>
                <w:lang w:val="en-US"/>
              </w:rPr>
              <w:br/>
              <w:t xml:space="preserve">Gynecological: 36 (7.2%) </w:t>
            </w:r>
            <w:r w:rsidRPr="0066602A">
              <w:rPr>
                <w:color w:val="4E5053"/>
                <w:sz w:val="20"/>
                <w:szCs w:val="20"/>
                <w:lang w:val="en-US"/>
              </w:rPr>
              <w:br/>
              <w:t xml:space="preserve">Respiratory: 35 (7.0%) </w:t>
            </w:r>
            <w:r w:rsidRPr="0066602A">
              <w:rPr>
                <w:color w:val="4E5053"/>
                <w:sz w:val="20"/>
                <w:szCs w:val="20"/>
                <w:lang w:val="en-US"/>
              </w:rPr>
              <w:br/>
              <w:t xml:space="preserve">CNS: 26 (5.2%) </w:t>
            </w:r>
            <w:r w:rsidRPr="0066602A">
              <w:rPr>
                <w:color w:val="4E5053"/>
                <w:sz w:val="20"/>
                <w:szCs w:val="20"/>
                <w:lang w:val="en-US"/>
              </w:rPr>
              <w:br/>
              <w:t>Other: 117 (23.4%)</w:t>
            </w:r>
            <w:r w:rsidRPr="0066602A">
              <w:rPr>
                <w:color w:val="4E5053"/>
                <w:sz w:val="20"/>
                <w:szCs w:val="20"/>
                <w:lang w:val="en-US"/>
              </w:rPr>
              <w:br/>
            </w:r>
            <w:r w:rsidRPr="0066602A">
              <w:rPr>
                <w:b/>
                <w:bCs w:val="0"/>
                <w:color w:val="4E5053"/>
                <w:sz w:val="20"/>
                <w:szCs w:val="20"/>
                <w:lang w:val="en-US"/>
              </w:rPr>
              <w:t>Caregiver</w:t>
            </w:r>
            <w:r w:rsidRPr="0066602A">
              <w:rPr>
                <w:color w:val="4E5053"/>
                <w:sz w:val="20"/>
                <w:szCs w:val="20"/>
                <w:lang w:val="en-US"/>
              </w:rPr>
              <w:br/>
              <w:t xml:space="preserve">Breast: 30 (12.8%) </w:t>
            </w:r>
            <w:r w:rsidRPr="0066602A">
              <w:rPr>
                <w:color w:val="4E5053"/>
                <w:sz w:val="20"/>
                <w:szCs w:val="20"/>
                <w:lang w:val="en-US"/>
              </w:rPr>
              <w:br/>
              <w:t xml:space="preserve">Male urological: 14 (6.0%) </w:t>
            </w:r>
            <w:r w:rsidRPr="0066602A">
              <w:rPr>
                <w:color w:val="4E5053"/>
                <w:sz w:val="20"/>
                <w:szCs w:val="20"/>
                <w:lang w:val="en-US"/>
              </w:rPr>
              <w:br/>
              <w:t xml:space="preserve">Lower GI: 26 (11.1%) </w:t>
            </w:r>
            <w:r w:rsidRPr="0066602A">
              <w:rPr>
                <w:color w:val="4E5053"/>
                <w:sz w:val="20"/>
                <w:szCs w:val="20"/>
                <w:lang w:val="en-US"/>
              </w:rPr>
              <w:br/>
              <w:t xml:space="preserve">Gynecological: 16 (6.8%) </w:t>
            </w:r>
            <w:r w:rsidRPr="0066602A">
              <w:rPr>
                <w:color w:val="4E5053"/>
                <w:sz w:val="20"/>
                <w:szCs w:val="20"/>
                <w:lang w:val="en-US"/>
              </w:rPr>
              <w:br/>
              <w:t xml:space="preserve">Respiratory: 20 (8.5%) </w:t>
            </w:r>
            <w:r w:rsidRPr="0066602A">
              <w:rPr>
                <w:color w:val="4E5053"/>
                <w:sz w:val="20"/>
                <w:szCs w:val="20"/>
                <w:lang w:val="en-US"/>
              </w:rPr>
              <w:br/>
              <w:t xml:space="preserve">CNS: 24 (10.3%) </w:t>
            </w:r>
            <w:r w:rsidRPr="0066602A">
              <w:rPr>
                <w:color w:val="4E5053"/>
                <w:sz w:val="20"/>
                <w:szCs w:val="20"/>
                <w:lang w:val="en-US"/>
              </w:rPr>
              <w:br/>
              <w:t>Other: 62 (26.5%)</w:t>
            </w:r>
          </w:p>
        </w:tc>
        <w:tc>
          <w:tcPr>
            <w:tcW w:w="1044" w:type="pct"/>
          </w:tcPr>
          <w:p w14:paraId="57F90CA2"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NR</w:t>
            </w:r>
          </w:p>
        </w:tc>
        <w:tc>
          <w:tcPr>
            <w:tcW w:w="1809" w:type="pct"/>
          </w:tcPr>
          <w:p w14:paraId="08669259"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Insomnia symptoms were reported by 59.4% of patients and 62.9% of caregivers, with moderate to severe levels of insomnia reported by 27% of patients and 30% of caregivers. </w:t>
            </w:r>
            <w:r w:rsidRPr="0066602A">
              <w:rPr>
                <w:color w:val="4E5053"/>
                <w:sz w:val="20"/>
                <w:szCs w:val="20"/>
                <w:lang w:val="en-US"/>
              </w:rPr>
              <w:br/>
              <w:t>&gt; The presence of insomnia symptoms was evident in 59.4 % of patients and 62.9 % of caregivers as defined by a score of 8 or above on the ISI.</w:t>
            </w:r>
          </w:p>
          <w:p w14:paraId="62091E98" w14:textId="77777777" w:rsidR="009A7DFD" w:rsidRPr="0066602A" w:rsidRDefault="009A7DFD" w:rsidP="001E304D">
            <w:pPr>
              <w:pStyle w:val="Table-Normal"/>
              <w:cnfStyle w:val="000000100000" w:firstRow="0" w:lastRow="0" w:firstColumn="0" w:lastColumn="0" w:oddVBand="0" w:evenVBand="0" w:oddHBand="1" w:evenHBand="0" w:firstRowFirstColumn="0" w:firstRowLastColumn="0" w:lastRowFirstColumn="0" w:lastRowLastColumn="0"/>
              <w:rPr>
                <w:color w:val="4E5053"/>
                <w:sz w:val="20"/>
                <w:szCs w:val="20"/>
                <w:lang w:val="en-US"/>
              </w:rPr>
            </w:pPr>
            <w:r w:rsidRPr="0066602A">
              <w:rPr>
                <w:color w:val="4E5053"/>
                <w:sz w:val="20"/>
                <w:szCs w:val="20"/>
                <w:lang w:val="en-US"/>
              </w:rPr>
              <w:t xml:space="preserve">&gt; Moderate to severe levels of insomnia were reported by 27 % of patients and 30 % of caregivers as defined by a score of 15 or above on the ISI. </w:t>
            </w:r>
            <w:r w:rsidRPr="0066602A">
              <w:rPr>
                <w:color w:val="4E5053"/>
                <w:sz w:val="20"/>
                <w:szCs w:val="20"/>
                <w:lang w:val="en-US"/>
              </w:rPr>
              <w:br/>
            </w:r>
          </w:p>
        </w:tc>
      </w:tr>
    </w:tbl>
    <w:p w14:paraId="5F0FA978" w14:textId="338A90DF" w:rsidR="002345EA" w:rsidRPr="0066602A" w:rsidRDefault="00497B36" w:rsidP="001A68E4">
      <w:pPr>
        <w:pStyle w:val="EndnoteText"/>
        <w:rPr>
          <w:sz w:val="16"/>
          <w:szCs w:val="18"/>
          <w:lang w:val="en-US"/>
        </w:rPr>
      </w:pPr>
      <w:r w:rsidRPr="0066602A">
        <w:rPr>
          <w:sz w:val="16"/>
          <w:szCs w:val="18"/>
          <w:lang w:val="en-US"/>
        </w:rPr>
        <w:t xml:space="preserve">AIS-T: </w:t>
      </w:r>
      <w:r w:rsidR="009463EB" w:rsidRPr="0066602A">
        <w:rPr>
          <w:sz w:val="16"/>
          <w:szCs w:val="18"/>
          <w:lang w:val="en-US"/>
        </w:rPr>
        <w:t>Athens</w:t>
      </w:r>
      <w:r w:rsidRPr="0066602A">
        <w:rPr>
          <w:sz w:val="16"/>
          <w:szCs w:val="18"/>
          <w:lang w:val="en-US"/>
        </w:rPr>
        <w:t xml:space="preserve"> sleep insomnia scale </w:t>
      </w:r>
      <w:r w:rsidR="009463EB" w:rsidRPr="0066602A">
        <w:rPr>
          <w:sz w:val="16"/>
          <w:szCs w:val="18"/>
          <w:lang w:val="en-US"/>
        </w:rPr>
        <w:t>Taiwanese</w:t>
      </w:r>
      <w:r w:rsidRPr="0066602A">
        <w:rPr>
          <w:sz w:val="16"/>
          <w:szCs w:val="18"/>
          <w:lang w:val="en-US"/>
        </w:rPr>
        <w:t xml:space="preserve"> version; BDI: beck depression inventory; </w:t>
      </w:r>
      <w:r w:rsidR="00891DBA" w:rsidRPr="0066602A">
        <w:rPr>
          <w:sz w:val="16"/>
          <w:szCs w:val="18"/>
          <w:lang w:val="en-US"/>
        </w:rPr>
        <w:t xml:space="preserve">BFI: brief fatigue inventory; </w:t>
      </w:r>
      <w:r w:rsidRPr="0066602A">
        <w:rPr>
          <w:sz w:val="16"/>
          <w:szCs w:val="18"/>
          <w:lang w:val="en-US"/>
        </w:rPr>
        <w:t xml:space="preserve">BMI: body mass index; BPI: the brief pain inventory; C4LW: last week of cycle 4; CEF: cyclophosphamide, </w:t>
      </w:r>
      <w:proofErr w:type="spellStart"/>
      <w:r w:rsidRPr="0066602A">
        <w:rPr>
          <w:sz w:val="16"/>
          <w:szCs w:val="18"/>
          <w:lang w:val="en-US"/>
        </w:rPr>
        <w:t>epirubicin</w:t>
      </w:r>
      <w:proofErr w:type="spellEnd"/>
      <w:r w:rsidRPr="0066602A">
        <w:rPr>
          <w:sz w:val="16"/>
          <w:szCs w:val="18"/>
          <w:lang w:val="en-US"/>
        </w:rPr>
        <w:t xml:space="preserve"> and fluorouracil; CES-D: </w:t>
      </w:r>
      <w:proofErr w:type="spellStart"/>
      <w:r w:rsidRPr="0066602A">
        <w:rPr>
          <w:sz w:val="16"/>
          <w:szCs w:val="18"/>
          <w:lang w:val="en-US"/>
        </w:rPr>
        <w:t>centre</w:t>
      </w:r>
      <w:proofErr w:type="spellEnd"/>
      <w:r w:rsidRPr="0066602A">
        <w:rPr>
          <w:sz w:val="16"/>
          <w:szCs w:val="18"/>
          <w:lang w:val="en-US"/>
        </w:rPr>
        <w:t xml:space="preserve"> for epidemiologic studies depression scale; CTX: chemotherapy</w:t>
      </w:r>
      <w:r w:rsidR="00D54591" w:rsidRPr="0066602A">
        <w:rPr>
          <w:sz w:val="16"/>
          <w:szCs w:val="18"/>
          <w:lang w:val="en-US"/>
        </w:rPr>
        <w:t xml:space="preserve">; </w:t>
      </w:r>
      <w:r w:rsidRPr="0066602A">
        <w:rPr>
          <w:sz w:val="16"/>
          <w:szCs w:val="18"/>
          <w:lang w:val="en-US"/>
        </w:rPr>
        <w:t xml:space="preserve">CRP: C-reactive protein; EORTC-QLQ-C30: </w:t>
      </w:r>
      <w:r w:rsidR="009463EB" w:rsidRPr="0066602A">
        <w:rPr>
          <w:sz w:val="16"/>
          <w:szCs w:val="18"/>
          <w:lang w:val="en-US"/>
        </w:rPr>
        <w:t>European</w:t>
      </w:r>
      <w:r w:rsidRPr="0066602A">
        <w:rPr>
          <w:sz w:val="16"/>
          <w:szCs w:val="18"/>
          <w:lang w:val="en-US"/>
        </w:rPr>
        <w:t xml:space="preserve"> organization for research and treatment of cancer quality of life questionnaire; EORTC-H&amp;N35: quality of life questionnaire head and neck-35; </w:t>
      </w:r>
      <w:r w:rsidR="00891DBA" w:rsidRPr="0066602A">
        <w:rPr>
          <w:sz w:val="16"/>
          <w:szCs w:val="18"/>
          <w:lang w:val="en-US"/>
        </w:rPr>
        <w:t xml:space="preserve">F: f-test; </w:t>
      </w:r>
      <w:r w:rsidRPr="0066602A">
        <w:rPr>
          <w:sz w:val="16"/>
          <w:szCs w:val="18"/>
          <w:lang w:val="en-US"/>
        </w:rPr>
        <w:t xml:space="preserve">FACT: functional assessment of cancer therapy; FACT-C: functional assessment of cancer therapy; FACT-ES: functional assessment of cancer therapy endocrine symptoms; FACT-F: functional assessment of cancer therapy fatigue; FACT-G: functional assessment of cancer therapy- general; GI: gastrointestinal; HADS: hospital anxiety and depression score; HF: hot flashes; </w:t>
      </w:r>
      <w:proofErr w:type="spellStart"/>
      <w:r w:rsidRPr="0066602A">
        <w:rPr>
          <w:sz w:val="16"/>
          <w:szCs w:val="18"/>
          <w:lang w:val="en-US"/>
        </w:rPr>
        <w:t>HRQoL</w:t>
      </w:r>
      <w:proofErr w:type="spellEnd"/>
      <w:r w:rsidRPr="0066602A">
        <w:rPr>
          <w:sz w:val="16"/>
          <w:szCs w:val="18"/>
          <w:lang w:val="en-US"/>
        </w:rPr>
        <w:t xml:space="preserve">: health-related quality of life; ISI: insomnia severity index; ISS: international staging system; MARDS: </w:t>
      </w:r>
      <w:proofErr w:type="spellStart"/>
      <w:r w:rsidRPr="0066602A">
        <w:rPr>
          <w:sz w:val="16"/>
          <w:szCs w:val="18"/>
          <w:lang w:val="en-US"/>
        </w:rPr>
        <w:t>montgomery</w:t>
      </w:r>
      <w:proofErr w:type="spellEnd"/>
      <w:r w:rsidRPr="0066602A">
        <w:rPr>
          <w:sz w:val="16"/>
          <w:szCs w:val="18"/>
          <w:lang w:val="en-US"/>
        </w:rPr>
        <w:t>–</w:t>
      </w:r>
      <w:proofErr w:type="spellStart"/>
      <w:r w:rsidRPr="0066602A">
        <w:rPr>
          <w:sz w:val="16"/>
          <w:szCs w:val="18"/>
          <w:lang w:val="en-US"/>
        </w:rPr>
        <w:t>asberg</w:t>
      </w:r>
      <w:proofErr w:type="spellEnd"/>
      <w:r w:rsidRPr="0066602A">
        <w:rPr>
          <w:sz w:val="16"/>
          <w:szCs w:val="18"/>
          <w:lang w:val="en-US"/>
        </w:rPr>
        <w:t xml:space="preserve"> depression rating scale; MSAS: memorial symptom assessment scale; MCS: mental component scale; MFSI-SF: Multidimensional Fatigue Symptom Inventory—Short Form; MMQL-AF: The Minneapolis-Manchester Quality of Life Instrument-Adolescent Form; MSAS: memorial symptom assessment scale; N: number; NAPTIME: total nap time; NA: not applicable; NHP: </w:t>
      </w:r>
      <w:r w:rsidR="009463EB" w:rsidRPr="0066602A">
        <w:rPr>
          <w:sz w:val="16"/>
          <w:szCs w:val="18"/>
          <w:lang w:val="en-US"/>
        </w:rPr>
        <w:t>Nottingham</w:t>
      </w:r>
      <w:r w:rsidRPr="0066602A">
        <w:rPr>
          <w:sz w:val="16"/>
          <w:szCs w:val="18"/>
          <w:lang w:val="en-US"/>
        </w:rPr>
        <w:t xml:space="preserve"> health profile; NR: not recorded; </w:t>
      </w:r>
      <w:r w:rsidR="00891DBA" w:rsidRPr="0066602A">
        <w:rPr>
          <w:sz w:val="16"/>
          <w:szCs w:val="18"/>
          <w:lang w:val="en-US"/>
        </w:rPr>
        <w:t xml:space="preserve">P: probability value; </w:t>
      </w:r>
      <w:r w:rsidR="00E6566F" w:rsidRPr="0066602A">
        <w:rPr>
          <w:sz w:val="16"/>
          <w:szCs w:val="18"/>
          <w:lang w:val="en-US"/>
        </w:rPr>
        <w:t>P</w:t>
      </w:r>
      <w:r w:rsidRPr="0066602A">
        <w:rPr>
          <w:sz w:val="16"/>
          <w:szCs w:val="18"/>
          <w:lang w:val="en-US"/>
        </w:rPr>
        <w:t xml:space="preserve">CI: physical component scale; PDSS: pediatric daytime sleepiness scale; </w:t>
      </w:r>
      <w:proofErr w:type="spellStart"/>
      <w:r w:rsidRPr="0066602A">
        <w:rPr>
          <w:sz w:val="16"/>
          <w:szCs w:val="18"/>
          <w:lang w:val="en-US"/>
        </w:rPr>
        <w:t>PedsQL</w:t>
      </w:r>
      <w:proofErr w:type="spellEnd"/>
      <w:r w:rsidRPr="0066602A">
        <w:rPr>
          <w:sz w:val="16"/>
          <w:szCs w:val="18"/>
          <w:lang w:val="en-US"/>
        </w:rPr>
        <w:t xml:space="preserve">: pediatric quality of life inventory; POMS: profile of mood states; </w:t>
      </w:r>
      <w:r w:rsidR="00891DBA" w:rsidRPr="0066602A">
        <w:rPr>
          <w:sz w:val="16"/>
          <w:szCs w:val="18"/>
          <w:lang w:val="en-US"/>
        </w:rPr>
        <w:t xml:space="preserve">PR: prevalence ratio; </w:t>
      </w:r>
      <w:r w:rsidRPr="0066602A">
        <w:rPr>
          <w:sz w:val="16"/>
          <w:szCs w:val="18"/>
          <w:lang w:val="en-US"/>
        </w:rPr>
        <w:t xml:space="preserve">PSQI: </w:t>
      </w:r>
      <w:r w:rsidR="009463EB" w:rsidRPr="0066602A">
        <w:rPr>
          <w:sz w:val="16"/>
          <w:szCs w:val="18"/>
          <w:lang w:val="en-US"/>
        </w:rPr>
        <w:t>Pittsburgh</w:t>
      </w:r>
      <w:r w:rsidRPr="0066602A">
        <w:rPr>
          <w:sz w:val="16"/>
          <w:szCs w:val="18"/>
          <w:lang w:val="en-US"/>
        </w:rPr>
        <w:t xml:space="preserve"> sleep quality index; PSQI-J: Japanese language version of the Pittsburgh Sleep Quality Index; QLI: quality of life index; QLQ-C30; the </w:t>
      </w:r>
      <w:r w:rsidR="009463EB" w:rsidRPr="0066602A">
        <w:rPr>
          <w:sz w:val="16"/>
          <w:szCs w:val="18"/>
          <w:lang w:val="en-US"/>
        </w:rPr>
        <w:t>European</w:t>
      </w:r>
      <w:r w:rsidRPr="0066602A">
        <w:rPr>
          <w:sz w:val="16"/>
          <w:szCs w:val="18"/>
          <w:lang w:val="en-US"/>
        </w:rPr>
        <w:t xml:space="preserve"> organization for research and treatment of cancer quality of life questionnaire; QoL: quality of life; </w:t>
      </w:r>
      <w:r w:rsidR="00891DBA" w:rsidRPr="0066602A">
        <w:rPr>
          <w:sz w:val="16"/>
          <w:szCs w:val="18"/>
          <w:lang w:val="en-US"/>
        </w:rPr>
        <w:t xml:space="preserve">R: regression; </w:t>
      </w:r>
      <w:r w:rsidRPr="0066602A">
        <w:rPr>
          <w:sz w:val="16"/>
          <w:szCs w:val="18"/>
          <w:lang w:val="en-US"/>
        </w:rPr>
        <w:t xml:space="preserve">RCT: randomized controlled trial; RT: </w:t>
      </w:r>
      <w:r w:rsidR="00480763" w:rsidRPr="0066602A">
        <w:rPr>
          <w:sz w:val="16"/>
          <w:szCs w:val="18"/>
          <w:lang w:val="en-US"/>
        </w:rPr>
        <w:t xml:space="preserve">radiation </w:t>
      </w:r>
      <w:r w:rsidRPr="0066602A">
        <w:rPr>
          <w:sz w:val="16"/>
          <w:szCs w:val="18"/>
          <w:lang w:val="en-US"/>
        </w:rPr>
        <w:t xml:space="preserve">therapy; SD: standard deviation; SDS-C: symptom distress scale; SL: sleep latency; SOL: sleep onset latency; TNF-a: tumor necrosis factor alpha; TST: Total sleep time; TWT: total wake time from time to bed to final awakening in the morning; TYA: teenagers and young adults; UK: </w:t>
      </w:r>
      <w:r w:rsidR="009463EB" w:rsidRPr="0066602A">
        <w:rPr>
          <w:sz w:val="16"/>
          <w:szCs w:val="18"/>
          <w:lang w:val="en-US"/>
        </w:rPr>
        <w:t>U</w:t>
      </w:r>
      <w:r w:rsidRPr="0066602A">
        <w:rPr>
          <w:sz w:val="16"/>
          <w:szCs w:val="18"/>
          <w:lang w:val="en-US"/>
        </w:rPr>
        <w:t xml:space="preserve">nited </w:t>
      </w:r>
      <w:r w:rsidR="009463EB" w:rsidRPr="0066602A">
        <w:rPr>
          <w:sz w:val="16"/>
          <w:szCs w:val="18"/>
          <w:lang w:val="en-US"/>
        </w:rPr>
        <w:t>K</w:t>
      </w:r>
      <w:r w:rsidRPr="0066602A">
        <w:rPr>
          <w:sz w:val="16"/>
          <w:szCs w:val="18"/>
          <w:lang w:val="en-US"/>
        </w:rPr>
        <w:t xml:space="preserve">ingdom; USA: </w:t>
      </w:r>
      <w:r w:rsidR="009463EB" w:rsidRPr="0066602A">
        <w:rPr>
          <w:sz w:val="16"/>
          <w:szCs w:val="18"/>
          <w:lang w:val="en-US"/>
        </w:rPr>
        <w:t>U</w:t>
      </w:r>
      <w:r w:rsidRPr="0066602A">
        <w:rPr>
          <w:sz w:val="16"/>
          <w:szCs w:val="18"/>
          <w:lang w:val="en-US"/>
        </w:rPr>
        <w:t xml:space="preserve">nited </w:t>
      </w:r>
      <w:r w:rsidR="009463EB" w:rsidRPr="0066602A">
        <w:rPr>
          <w:sz w:val="16"/>
          <w:szCs w:val="18"/>
          <w:lang w:val="en-US"/>
        </w:rPr>
        <w:t>S</w:t>
      </w:r>
      <w:r w:rsidRPr="0066602A">
        <w:rPr>
          <w:sz w:val="16"/>
          <w:szCs w:val="18"/>
          <w:lang w:val="en-US"/>
        </w:rPr>
        <w:t xml:space="preserve">tates of </w:t>
      </w:r>
      <w:r w:rsidR="009463EB" w:rsidRPr="0066602A">
        <w:rPr>
          <w:sz w:val="16"/>
          <w:szCs w:val="18"/>
          <w:lang w:val="en-US"/>
        </w:rPr>
        <w:t>America</w:t>
      </w:r>
      <w:r w:rsidRPr="0066602A">
        <w:rPr>
          <w:sz w:val="16"/>
          <w:szCs w:val="18"/>
          <w:lang w:val="en-US"/>
        </w:rPr>
        <w:t>; WASO: wake after sleep onset; WHOQOL: world health organization quality of life.</w:t>
      </w:r>
    </w:p>
    <w:p w14:paraId="355D929A" w14:textId="77777777" w:rsidR="002345EA" w:rsidRPr="0066602A" w:rsidRDefault="002345EA" w:rsidP="002345EA">
      <w:pPr>
        <w:pStyle w:val="Heading2"/>
        <w:numPr>
          <w:ilvl w:val="0"/>
          <w:numId w:val="0"/>
        </w:numPr>
        <w:ind w:left="709" w:hanging="709"/>
        <w:rPr>
          <w:lang w:val="en-US"/>
        </w:rPr>
        <w:sectPr w:rsidR="002345EA" w:rsidRPr="0066602A" w:rsidSect="008550C0">
          <w:pgSz w:w="16839" w:h="11907" w:orient="landscape" w:code="9"/>
          <w:pgMar w:top="1440" w:right="1385" w:bottom="1417" w:left="1134" w:header="568" w:footer="431" w:gutter="0"/>
          <w:cols w:space="720"/>
          <w:docGrid w:linePitch="360"/>
        </w:sectPr>
      </w:pPr>
    </w:p>
    <w:p w14:paraId="30EB57D1" w14:textId="4B791AAF" w:rsidR="008227A4" w:rsidRPr="0066602A" w:rsidRDefault="008227A4" w:rsidP="008227A4">
      <w:pPr>
        <w:pStyle w:val="Heading2"/>
        <w:numPr>
          <w:ilvl w:val="0"/>
          <w:numId w:val="0"/>
        </w:numPr>
        <w:ind w:left="709" w:hanging="709"/>
        <w:rPr>
          <w:lang w:val="en-US"/>
        </w:rPr>
      </w:pPr>
      <w:r w:rsidRPr="0066602A">
        <w:rPr>
          <w:lang w:val="en-US"/>
        </w:rPr>
        <w:lastRenderedPageBreak/>
        <w:t xml:space="preserve">Table </w:t>
      </w:r>
      <w:r w:rsidR="009A7DFD" w:rsidRPr="0066602A">
        <w:rPr>
          <w:lang w:val="en-US"/>
        </w:rPr>
        <w:t>6</w:t>
      </w:r>
      <w:r w:rsidRPr="0066602A">
        <w:rPr>
          <w:lang w:val="en-US"/>
        </w:rPr>
        <w:t>. QoL outcomes in cancer patients with insomnia measured by HADs and EORTC-QLQ-C30 tools</w:t>
      </w:r>
    </w:p>
    <w:p w14:paraId="4F94ADF7" w14:textId="3C3559AD" w:rsidR="008227A4" w:rsidRPr="0066602A" w:rsidRDefault="008227A4" w:rsidP="008227A4">
      <w:pPr>
        <w:pStyle w:val="Caption"/>
        <w:jc w:val="left"/>
        <w:rPr>
          <w:b w:val="0"/>
          <w:bCs w:val="0"/>
          <w:lang w:val="en-US"/>
        </w:rPr>
      </w:pPr>
      <w:bookmarkStart w:id="38" w:name="_Toc132179153"/>
      <w:r w:rsidRPr="0066602A">
        <w:t xml:space="preserve">Table </w:t>
      </w:r>
      <w:r w:rsidR="0066602A" w:rsidRPr="0066602A">
        <w:fldChar w:fldCharType="begin"/>
      </w:r>
      <w:r w:rsidR="0066602A" w:rsidRPr="0066602A">
        <w:instrText xml:space="preserve"> SEQ Table \* ARABIC </w:instrText>
      </w:r>
      <w:r w:rsidR="0066602A" w:rsidRPr="0066602A">
        <w:fldChar w:fldCharType="separate"/>
      </w:r>
      <w:r w:rsidR="009A7DFD" w:rsidRPr="0066602A">
        <w:rPr>
          <w:noProof/>
        </w:rPr>
        <w:t>6</w:t>
      </w:r>
      <w:r w:rsidR="0066602A" w:rsidRPr="0066602A">
        <w:rPr>
          <w:noProof/>
        </w:rPr>
        <w:fldChar w:fldCharType="end"/>
      </w:r>
      <w:r w:rsidRPr="0066602A">
        <w:t>. QoL outcomes in cancer patients with insomnia measured by HADs and EORTC-QLQ-C30 tools</w:t>
      </w:r>
      <w:bookmarkEnd w:id="38"/>
    </w:p>
    <w:tbl>
      <w:tblPr>
        <w:tblStyle w:val="LightList-Accent61"/>
        <w:tblW w:w="5000" w:type="pct"/>
        <w:tblLook w:val="04A0" w:firstRow="1" w:lastRow="0" w:firstColumn="1" w:lastColumn="0" w:noHBand="0" w:noVBand="1"/>
      </w:tblPr>
      <w:tblGrid>
        <w:gridCol w:w="1849"/>
        <w:gridCol w:w="884"/>
        <w:gridCol w:w="1276"/>
        <w:gridCol w:w="2367"/>
        <w:gridCol w:w="3512"/>
        <w:gridCol w:w="4422"/>
      </w:tblGrid>
      <w:tr w:rsidR="008227A4" w:rsidRPr="0066602A" w14:paraId="033941D0" w14:textId="77777777" w:rsidTr="00A049D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6" w:type="pct"/>
          </w:tcPr>
          <w:p w14:paraId="15E2A9AF" w14:textId="77777777" w:rsidR="008227A4" w:rsidRPr="0066602A" w:rsidRDefault="008227A4" w:rsidP="009F150A">
            <w:pPr>
              <w:rPr>
                <w:sz w:val="20"/>
                <w:szCs w:val="20"/>
                <w:lang w:val="en-US"/>
              </w:rPr>
            </w:pPr>
            <w:r w:rsidRPr="0066602A">
              <w:rPr>
                <w:rFonts w:ascii="Calibri" w:hAnsi="Calibri" w:cs="Calibri"/>
                <w:kern w:val="24"/>
                <w:sz w:val="20"/>
                <w:szCs w:val="20"/>
                <w:lang w:val="en-US"/>
              </w:rPr>
              <w:t>Study details</w:t>
            </w:r>
          </w:p>
        </w:tc>
        <w:tc>
          <w:tcPr>
            <w:tcW w:w="309" w:type="pct"/>
          </w:tcPr>
          <w:p w14:paraId="339466F5" w14:textId="77777777" w:rsidR="008227A4" w:rsidRPr="0066602A" w:rsidRDefault="008227A4" w:rsidP="009F150A">
            <w:pPr>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Sample size</w:t>
            </w:r>
          </w:p>
        </w:tc>
        <w:tc>
          <w:tcPr>
            <w:tcW w:w="446" w:type="pct"/>
          </w:tcPr>
          <w:p w14:paraId="5F3E8A50" w14:textId="77777777" w:rsidR="008227A4" w:rsidRPr="0066602A" w:rsidRDefault="008227A4" w:rsidP="009F150A">
            <w:pPr>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Sex and age (years)</w:t>
            </w:r>
          </w:p>
        </w:tc>
        <w:tc>
          <w:tcPr>
            <w:tcW w:w="827" w:type="pct"/>
          </w:tcPr>
          <w:p w14:paraId="7D4CF993" w14:textId="77777777" w:rsidR="008227A4" w:rsidRPr="0066602A" w:rsidRDefault="008227A4" w:rsidP="009F150A">
            <w:pPr>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Tumor type</w:t>
            </w:r>
          </w:p>
        </w:tc>
        <w:tc>
          <w:tcPr>
            <w:tcW w:w="1227" w:type="pct"/>
          </w:tcPr>
          <w:p w14:paraId="0D0F666E" w14:textId="77777777" w:rsidR="008227A4" w:rsidRPr="0066602A" w:rsidRDefault="008227A4" w:rsidP="009F150A">
            <w:pPr>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sz w:val="20"/>
                <w:szCs w:val="20"/>
                <w:lang w:val="en-US"/>
              </w:rPr>
              <w:t>Cancer treatment type</w:t>
            </w:r>
          </w:p>
        </w:tc>
        <w:tc>
          <w:tcPr>
            <w:tcW w:w="1545" w:type="pct"/>
          </w:tcPr>
          <w:p w14:paraId="22D93E57" w14:textId="77777777" w:rsidR="008227A4" w:rsidRPr="0066602A" w:rsidRDefault="008227A4" w:rsidP="009F150A">
            <w:pPr>
              <w:cnfStyle w:val="100000000000" w:firstRow="1" w:lastRow="0" w:firstColumn="0" w:lastColumn="0" w:oddVBand="0" w:evenVBand="0" w:oddHBand="0" w:evenHBand="0" w:firstRowFirstColumn="0" w:firstRowLastColumn="0" w:lastRowFirstColumn="0" w:lastRowLastColumn="0"/>
              <w:rPr>
                <w:sz w:val="20"/>
                <w:szCs w:val="20"/>
                <w:lang w:val="en-US"/>
              </w:rPr>
            </w:pPr>
            <w:r w:rsidRPr="0066602A">
              <w:rPr>
                <w:lang w:val="en-US"/>
              </w:rPr>
              <w:t>HADs and EORTC-QLQ-C30 results</w:t>
            </w:r>
          </w:p>
        </w:tc>
      </w:tr>
      <w:tr w:rsidR="008227A4" w:rsidRPr="0066602A" w14:paraId="474EB139" w14:textId="77777777" w:rsidTr="00A049DF">
        <w:trPr>
          <w:cnfStyle w:val="000000100000" w:firstRow="0" w:lastRow="0" w:firstColumn="0" w:lastColumn="0" w:oddVBand="0" w:evenVBand="0" w:oddHBand="1"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ED6FF" w:themeFill="accent6" w:themeFillTint="33"/>
          </w:tcPr>
          <w:p w14:paraId="469E7080" w14:textId="1DB1D2D0" w:rsidR="008227A4" w:rsidRPr="0066602A" w:rsidRDefault="008227A4" w:rsidP="009F150A">
            <w:pPr>
              <w:pStyle w:val="Table-Normal"/>
              <w:rPr>
                <w:b/>
                <w:sz w:val="20"/>
                <w:szCs w:val="20"/>
                <w:lang w:val="en-US"/>
              </w:rPr>
            </w:pPr>
            <w:r w:rsidRPr="0066602A">
              <w:rPr>
                <w:b/>
                <w:sz w:val="20"/>
                <w:szCs w:val="20"/>
                <w:lang w:val="en-US"/>
              </w:rPr>
              <w:t>HADS (10</w:t>
            </w:r>
            <w:r w:rsidR="00D31DE7" w:rsidRPr="0066602A">
              <w:rPr>
                <w:b/>
                <w:sz w:val="20"/>
                <w:szCs w:val="20"/>
                <w:lang w:val="en-US"/>
              </w:rPr>
              <w:t xml:space="preserve"> studies</w:t>
            </w:r>
            <w:r w:rsidRPr="0066602A">
              <w:rPr>
                <w:b/>
                <w:sz w:val="20"/>
                <w:szCs w:val="20"/>
                <w:lang w:val="en-US"/>
              </w:rPr>
              <w:t>)</w:t>
            </w:r>
          </w:p>
        </w:tc>
      </w:tr>
      <w:tr w:rsidR="008227A4" w:rsidRPr="0066602A" w14:paraId="31D5B1ED" w14:textId="77777777" w:rsidTr="00A049DF">
        <w:trPr>
          <w:cnfStyle w:val="000000010000" w:firstRow="0" w:lastRow="0" w:firstColumn="0" w:lastColumn="0" w:oddVBand="0" w:evenVBand="0" w:oddHBand="0" w:evenHBand="1"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646" w:type="pct"/>
          </w:tcPr>
          <w:p w14:paraId="30F1B691" w14:textId="77777777" w:rsidR="008227A4" w:rsidRPr="0066602A" w:rsidRDefault="008227A4" w:rsidP="009F150A">
            <w:pPr>
              <w:pStyle w:val="Table-Normal"/>
              <w:rPr>
                <w:bCs/>
                <w:sz w:val="20"/>
                <w:szCs w:val="20"/>
              </w:rPr>
            </w:pPr>
            <w:r w:rsidRPr="0066602A">
              <w:rPr>
                <w:sz w:val="20"/>
                <w:szCs w:val="20"/>
              </w:rPr>
              <w:t>Cha, 2017</w:t>
            </w:r>
          </w:p>
          <w:p w14:paraId="43F5B0DE" w14:textId="77777777" w:rsidR="008227A4" w:rsidRPr="0066602A" w:rsidRDefault="008227A4" w:rsidP="009F150A">
            <w:pPr>
              <w:pStyle w:val="Table-Normal"/>
              <w:rPr>
                <w:rFonts w:cstheme="minorHAnsi"/>
                <w:sz w:val="20"/>
                <w:szCs w:val="20"/>
                <w:lang w:val="en-US"/>
              </w:rPr>
            </w:pPr>
            <w:r w:rsidRPr="0066602A">
              <w:rPr>
                <w:rFonts w:cstheme="minorHAnsi"/>
                <w:sz w:val="20"/>
                <w:szCs w:val="20"/>
                <w:lang w:val="en-US"/>
              </w:rPr>
              <w:t>Korea</w:t>
            </w:r>
          </w:p>
          <w:p w14:paraId="438F0678" w14:textId="77777777" w:rsidR="008227A4" w:rsidRPr="0066602A" w:rsidRDefault="008227A4" w:rsidP="009F150A">
            <w:pPr>
              <w:pStyle w:val="Table-Normal"/>
              <w:rPr>
                <w:sz w:val="20"/>
                <w:szCs w:val="20"/>
                <w:lang w:val="en-US"/>
              </w:rPr>
            </w:pPr>
            <w:r w:rsidRPr="0066602A">
              <w:rPr>
                <w:rFonts w:cstheme="minorHAnsi"/>
                <w:sz w:val="20"/>
                <w:szCs w:val="20"/>
                <w:lang w:val="en-US"/>
              </w:rPr>
              <w:t>Cross-sectional descriptive study, NA</w:t>
            </w:r>
          </w:p>
        </w:tc>
        <w:tc>
          <w:tcPr>
            <w:tcW w:w="309" w:type="pct"/>
          </w:tcPr>
          <w:p w14:paraId="60F810EB"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u w:val="single"/>
              </w:rPr>
            </w:pPr>
            <w:r w:rsidRPr="0066602A">
              <w:rPr>
                <w:rFonts w:cstheme="minorHAnsi"/>
                <w:sz w:val="20"/>
                <w:szCs w:val="20"/>
                <w:lang w:val="en-US"/>
              </w:rPr>
              <w:t>208</w:t>
            </w:r>
          </w:p>
        </w:tc>
        <w:tc>
          <w:tcPr>
            <w:tcW w:w="446" w:type="pct"/>
          </w:tcPr>
          <w:p w14:paraId="27ADF3B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u w:val="single"/>
              </w:rPr>
            </w:pPr>
            <w:r w:rsidRPr="0066602A">
              <w:rPr>
                <w:rFonts w:cstheme="minorHAnsi"/>
                <w:color w:val="4E5053"/>
                <w:sz w:val="20"/>
                <w:szCs w:val="20"/>
                <w:lang w:val="en-US"/>
              </w:rPr>
              <w:t>Male - 21%</w:t>
            </w:r>
            <w:r w:rsidRPr="0066602A">
              <w:rPr>
                <w:rFonts w:cstheme="minorHAnsi"/>
                <w:color w:val="4E5053"/>
                <w:sz w:val="20"/>
                <w:szCs w:val="20"/>
                <w:lang w:val="en-US"/>
              </w:rPr>
              <w:br/>
              <w:t>Female - 79%</w:t>
            </w:r>
            <w:r w:rsidRPr="0066602A">
              <w:rPr>
                <w:rFonts w:cstheme="minorHAnsi"/>
                <w:color w:val="4E5053"/>
                <w:sz w:val="20"/>
                <w:szCs w:val="20"/>
                <w:lang w:val="en-US"/>
              </w:rPr>
              <w:br/>
              <w:t>Mean 50.72</w:t>
            </w:r>
          </w:p>
        </w:tc>
        <w:tc>
          <w:tcPr>
            <w:tcW w:w="827" w:type="pct"/>
          </w:tcPr>
          <w:p w14:paraId="576BA65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u w:val="single"/>
              </w:rPr>
            </w:pPr>
            <w:r w:rsidRPr="0066602A">
              <w:rPr>
                <w:rFonts w:cstheme="minorHAnsi"/>
                <w:sz w:val="20"/>
                <w:szCs w:val="20"/>
                <w:lang w:val="en-US"/>
              </w:rPr>
              <w:t xml:space="preserve">Breast: 91 (43.8%) </w:t>
            </w:r>
            <w:r w:rsidRPr="0066602A">
              <w:rPr>
                <w:rFonts w:cstheme="minorHAnsi"/>
                <w:sz w:val="20"/>
                <w:szCs w:val="20"/>
                <w:lang w:val="en-US"/>
              </w:rPr>
              <w:br/>
              <w:t xml:space="preserve">Gi: 35 (16.8%) </w:t>
            </w:r>
            <w:r w:rsidRPr="0066602A">
              <w:rPr>
                <w:rFonts w:cstheme="minorHAnsi"/>
                <w:sz w:val="20"/>
                <w:szCs w:val="20"/>
                <w:lang w:val="en-US"/>
              </w:rPr>
              <w:br/>
              <w:t xml:space="preserve">Hepatobiliary: 8 (3.8%) </w:t>
            </w:r>
            <w:r w:rsidRPr="0066602A">
              <w:rPr>
                <w:rFonts w:cstheme="minorHAnsi"/>
                <w:sz w:val="20"/>
                <w:szCs w:val="20"/>
                <w:lang w:val="en-US"/>
              </w:rPr>
              <w:br/>
              <w:t xml:space="preserve">Gynecological: 34 (16.3%) </w:t>
            </w:r>
            <w:r w:rsidRPr="0066602A">
              <w:rPr>
                <w:rFonts w:cstheme="minorHAnsi"/>
                <w:sz w:val="20"/>
                <w:szCs w:val="20"/>
                <w:lang w:val="en-US"/>
              </w:rPr>
              <w:br/>
              <w:t xml:space="preserve">Lung: 14 (6.7%) </w:t>
            </w:r>
            <w:r w:rsidRPr="0066602A">
              <w:rPr>
                <w:rFonts w:cstheme="minorHAnsi"/>
                <w:sz w:val="20"/>
                <w:szCs w:val="20"/>
                <w:lang w:val="en-US"/>
              </w:rPr>
              <w:br/>
              <w:t xml:space="preserve">Hematologic: 7 (3.4%) </w:t>
            </w:r>
            <w:r w:rsidRPr="0066602A">
              <w:rPr>
                <w:rFonts w:cstheme="minorHAnsi"/>
                <w:sz w:val="20"/>
                <w:szCs w:val="20"/>
                <w:lang w:val="en-US"/>
              </w:rPr>
              <w:br/>
              <w:t>Thyroid: 4 (1.9%)</w:t>
            </w:r>
            <w:r w:rsidRPr="0066602A">
              <w:rPr>
                <w:rFonts w:cstheme="minorHAnsi"/>
                <w:sz w:val="20"/>
                <w:szCs w:val="20"/>
                <w:lang w:val="en-US"/>
              </w:rPr>
              <w:br/>
              <w:t>Other: 15 (7.3%)</w:t>
            </w:r>
          </w:p>
        </w:tc>
        <w:tc>
          <w:tcPr>
            <w:tcW w:w="1227" w:type="pct"/>
          </w:tcPr>
          <w:p w14:paraId="57D96944" w14:textId="09B9E8B4"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u w:val="single"/>
              </w:rPr>
            </w:pPr>
            <w:r w:rsidRPr="0066602A">
              <w:rPr>
                <w:rFonts w:cstheme="minorHAnsi"/>
                <w:sz w:val="20"/>
                <w:szCs w:val="20"/>
                <w:lang w:val="en-US"/>
              </w:rPr>
              <w:t>Surgery: 160 (76.9%)</w:t>
            </w:r>
            <w:r w:rsidRPr="0066602A">
              <w:rPr>
                <w:rFonts w:cstheme="minorHAnsi"/>
                <w:sz w:val="20"/>
                <w:szCs w:val="20"/>
                <w:lang w:val="en-US"/>
              </w:rPr>
              <w:br/>
              <w:t>Chemotherapy: 121 (58.2%)</w:t>
            </w:r>
            <w:r w:rsidRPr="0066602A">
              <w:rPr>
                <w:rFonts w:cstheme="minorHAnsi"/>
                <w:sz w:val="20"/>
                <w:szCs w:val="20"/>
                <w:lang w:val="en-US"/>
              </w:rPr>
              <w:br/>
            </w:r>
            <w:r w:rsidR="00480763" w:rsidRPr="0066602A">
              <w:rPr>
                <w:rFonts w:cstheme="minorHAnsi"/>
                <w:sz w:val="20"/>
                <w:szCs w:val="20"/>
                <w:lang w:val="en-US"/>
              </w:rPr>
              <w:t xml:space="preserve">Radiation </w:t>
            </w:r>
            <w:r w:rsidRPr="0066602A">
              <w:rPr>
                <w:rFonts w:cstheme="minorHAnsi"/>
                <w:sz w:val="20"/>
                <w:szCs w:val="20"/>
                <w:lang w:val="en-US"/>
              </w:rPr>
              <w:t>therapy 95: (45.6%)</w:t>
            </w:r>
            <w:r w:rsidRPr="0066602A">
              <w:rPr>
                <w:rFonts w:cstheme="minorHAnsi"/>
                <w:sz w:val="20"/>
                <w:szCs w:val="20"/>
                <w:lang w:val="en-US"/>
              </w:rPr>
              <w:br/>
              <w:t>Hormone therapy: 43 (20.7%)</w:t>
            </w:r>
          </w:p>
        </w:tc>
        <w:tc>
          <w:tcPr>
            <w:tcW w:w="1545" w:type="pct"/>
          </w:tcPr>
          <w:p w14:paraId="4AA833BD"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u w:val="single"/>
              </w:rPr>
              <w:t>HADS-D</w:t>
            </w:r>
            <w:r w:rsidRPr="0066602A">
              <w:rPr>
                <w:sz w:val="20"/>
                <w:szCs w:val="20"/>
              </w:rPr>
              <w:br/>
              <w:t xml:space="preserve">Mean ± SD: 9.86 ± 4.10 </w:t>
            </w:r>
            <w:r w:rsidRPr="0066602A">
              <w:rPr>
                <w:sz w:val="20"/>
                <w:szCs w:val="20"/>
              </w:rPr>
              <w:br/>
              <w:t>Median (range): 10 (0–21)</w:t>
            </w:r>
            <w:r w:rsidRPr="0066602A">
              <w:rPr>
                <w:sz w:val="20"/>
                <w:szCs w:val="20"/>
              </w:rPr>
              <w:br/>
              <w:t>Score ≥8 (n [%]): 148 (71.2)</w:t>
            </w:r>
          </w:p>
        </w:tc>
      </w:tr>
      <w:tr w:rsidR="008227A4" w:rsidRPr="0066602A" w14:paraId="02F8C3BD"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6E17A9E3" w14:textId="77777777" w:rsidR="008227A4" w:rsidRPr="0066602A" w:rsidRDefault="008227A4" w:rsidP="009F150A">
            <w:pPr>
              <w:pStyle w:val="Table-Normal"/>
              <w:rPr>
                <w:bCs/>
                <w:sz w:val="20"/>
                <w:szCs w:val="20"/>
              </w:rPr>
            </w:pPr>
            <w:r w:rsidRPr="0066602A">
              <w:rPr>
                <w:sz w:val="20"/>
                <w:szCs w:val="20"/>
              </w:rPr>
              <w:t>Fontes, 2017</w:t>
            </w:r>
          </w:p>
          <w:p w14:paraId="1CDD4CAC"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Portugal</w:t>
            </w:r>
          </w:p>
          <w:p w14:paraId="70D328D7"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Prospective study, followed for 1 year</w:t>
            </w:r>
          </w:p>
        </w:tc>
        <w:tc>
          <w:tcPr>
            <w:tcW w:w="309" w:type="pct"/>
          </w:tcPr>
          <w:p w14:paraId="6FD2AF72"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502</w:t>
            </w:r>
          </w:p>
        </w:tc>
        <w:tc>
          <w:tcPr>
            <w:tcW w:w="446" w:type="pct"/>
          </w:tcPr>
          <w:p w14:paraId="00A1A5A0"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 xml:space="preserve">Female - 100% </w:t>
            </w:r>
            <w:r w:rsidRPr="0066602A">
              <w:rPr>
                <w:rFonts w:ascii="Calibri" w:hAnsi="Calibri" w:cs="Calibri"/>
                <w:color w:val="4E5053"/>
                <w:sz w:val="20"/>
                <w:szCs w:val="20"/>
                <w:lang w:val="en-US"/>
              </w:rPr>
              <w:br/>
              <w:t>Mean - NR</w:t>
            </w:r>
          </w:p>
        </w:tc>
        <w:tc>
          <w:tcPr>
            <w:tcW w:w="827" w:type="pct"/>
          </w:tcPr>
          <w:p w14:paraId="545B8C51"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Breast Cancer: 502 (100%)</w:t>
            </w:r>
          </w:p>
        </w:tc>
        <w:tc>
          <w:tcPr>
            <w:tcW w:w="1227" w:type="pct"/>
          </w:tcPr>
          <w:p w14:paraId="5722EB2C" w14:textId="57CBF568"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Endocrine therapy: 421 (83.9%)</w:t>
            </w:r>
            <w:r w:rsidRPr="0066602A">
              <w:rPr>
                <w:rFonts w:ascii="Calibri" w:hAnsi="Calibri" w:cs="Calibri"/>
                <w:color w:val="4E5053"/>
                <w:sz w:val="20"/>
                <w:szCs w:val="20"/>
                <w:lang w:val="en-US"/>
              </w:rPr>
              <w:br/>
            </w:r>
            <w:r w:rsidR="00480763" w:rsidRPr="0066602A">
              <w:rPr>
                <w:rFonts w:ascii="Calibri" w:hAnsi="Calibri" w:cs="Calibri"/>
                <w:color w:val="4E5053"/>
                <w:sz w:val="20"/>
                <w:szCs w:val="20"/>
                <w:lang w:val="en-US"/>
              </w:rPr>
              <w:t xml:space="preserve">Radiation </w:t>
            </w:r>
            <w:r w:rsidRPr="0066602A">
              <w:rPr>
                <w:rFonts w:ascii="Calibri" w:hAnsi="Calibri" w:cs="Calibri"/>
                <w:color w:val="4E5053"/>
                <w:sz w:val="20"/>
                <w:szCs w:val="20"/>
                <w:lang w:val="en-US"/>
              </w:rPr>
              <w:t>therapy: 366 (72.9%)</w:t>
            </w:r>
            <w:r w:rsidRPr="0066602A">
              <w:rPr>
                <w:rFonts w:ascii="Calibri" w:hAnsi="Calibri" w:cs="Calibri"/>
                <w:color w:val="4E5053"/>
                <w:sz w:val="20"/>
                <w:szCs w:val="20"/>
                <w:lang w:val="en-US"/>
              </w:rPr>
              <w:br/>
              <w:t>Chemotherapy: 298 (59.4%)</w:t>
            </w:r>
            <w:r w:rsidRPr="0066602A">
              <w:rPr>
                <w:rFonts w:ascii="Calibri" w:hAnsi="Calibri" w:cs="Calibri"/>
                <w:color w:val="4E5053"/>
                <w:sz w:val="20"/>
                <w:szCs w:val="20"/>
                <w:lang w:val="en-US"/>
              </w:rPr>
              <w:br/>
              <w:t>Brachytherapy: 95 (18.9%)</w:t>
            </w:r>
            <w:r w:rsidRPr="0066602A">
              <w:rPr>
                <w:rFonts w:ascii="Calibri" w:hAnsi="Calibri" w:cs="Calibri"/>
                <w:color w:val="4E5053"/>
                <w:sz w:val="20"/>
                <w:szCs w:val="20"/>
                <w:lang w:val="en-US"/>
              </w:rPr>
              <w:br/>
              <w:t>Immunotherapy: 68 (13.6%)</w:t>
            </w:r>
            <w:r w:rsidRPr="0066602A">
              <w:rPr>
                <w:rFonts w:ascii="Calibri" w:hAnsi="Calibri" w:cs="Calibri"/>
                <w:color w:val="4E5053"/>
                <w:sz w:val="20"/>
                <w:szCs w:val="20"/>
                <w:lang w:val="en-US"/>
              </w:rPr>
              <w:br/>
            </w:r>
            <w:r w:rsidRPr="0066602A">
              <w:rPr>
                <w:rFonts w:ascii="Calibri" w:hAnsi="Calibri" w:cs="Calibri"/>
                <w:b/>
                <w:bCs w:val="0"/>
                <w:color w:val="4E5053"/>
                <w:sz w:val="20"/>
                <w:szCs w:val="20"/>
                <w:lang w:val="en-US"/>
              </w:rPr>
              <w:t>Surgery:</w:t>
            </w:r>
            <w:r w:rsidRPr="0066602A">
              <w:rPr>
                <w:rFonts w:ascii="Calibri" w:hAnsi="Calibri" w:cs="Calibri"/>
                <w:color w:val="4E5053"/>
                <w:sz w:val="20"/>
                <w:szCs w:val="20"/>
                <w:lang w:val="en-US"/>
              </w:rPr>
              <w:br/>
              <w:t>Breast conserving: 249 (49.6%)</w:t>
            </w:r>
            <w:r w:rsidRPr="0066602A">
              <w:rPr>
                <w:rFonts w:ascii="Calibri" w:hAnsi="Calibri" w:cs="Calibri"/>
                <w:color w:val="4E5053"/>
                <w:sz w:val="20"/>
                <w:szCs w:val="20"/>
                <w:lang w:val="en-US"/>
              </w:rPr>
              <w:br/>
              <w:t>Mastectomy: 252 (50.2%)</w:t>
            </w:r>
            <w:r w:rsidRPr="0066602A">
              <w:rPr>
                <w:rFonts w:ascii="Calibri" w:hAnsi="Calibri" w:cs="Calibri"/>
                <w:color w:val="4E5053"/>
                <w:sz w:val="20"/>
                <w:szCs w:val="20"/>
                <w:lang w:val="en-US"/>
              </w:rPr>
              <w:br/>
              <w:t>Only axillary surgery: 1 (0.2%)</w:t>
            </w:r>
            <w:r w:rsidRPr="0066602A">
              <w:rPr>
                <w:rFonts w:ascii="Calibri" w:hAnsi="Calibri" w:cs="Calibri"/>
                <w:color w:val="4E5053"/>
                <w:sz w:val="20"/>
                <w:szCs w:val="20"/>
                <w:lang w:val="en-US"/>
              </w:rPr>
              <w:br/>
              <w:t>Axillary surgery SLNB: 315 (64.7%)</w:t>
            </w:r>
            <w:r w:rsidRPr="0066602A">
              <w:rPr>
                <w:rFonts w:ascii="Calibri" w:hAnsi="Calibri" w:cs="Calibri"/>
                <w:color w:val="4E5053"/>
                <w:sz w:val="20"/>
                <w:szCs w:val="20"/>
                <w:lang w:val="en-US"/>
              </w:rPr>
              <w:br/>
              <w:t>ALND: 172 (35.3%)</w:t>
            </w:r>
          </w:p>
        </w:tc>
        <w:tc>
          <w:tcPr>
            <w:tcW w:w="1545" w:type="pct"/>
          </w:tcPr>
          <w:p w14:paraId="71A4E3ED"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At baseline, anxiety and depression were associated with an odds of poor sleep quality approximately three and five-fold higher.</w:t>
            </w:r>
          </w:p>
          <w:p w14:paraId="5DC8FF58"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b/>
                <w:bCs w:val="0"/>
                <w:sz w:val="20"/>
                <w:szCs w:val="20"/>
                <w:u w:val="single"/>
              </w:rPr>
              <w:t>HADS</w:t>
            </w:r>
            <w:r w:rsidRPr="0066602A">
              <w:rPr>
                <w:sz w:val="20"/>
                <w:szCs w:val="20"/>
              </w:rPr>
              <w:br/>
              <w:t>&gt; Anxiety: 190 (37.9%)</w:t>
            </w:r>
            <w:r w:rsidRPr="0066602A">
              <w:rPr>
                <w:sz w:val="20"/>
                <w:szCs w:val="20"/>
              </w:rPr>
              <w:br/>
              <w:t>&gt; Depression: 41 (8.2%)</w:t>
            </w:r>
          </w:p>
        </w:tc>
      </w:tr>
      <w:tr w:rsidR="008227A4" w:rsidRPr="0066602A" w14:paraId="6133C6D8"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1C79EB4D" w14:textId="77777777" w:rsidR="008227A4" w:rsidRPr="0066602A" w:rsidRDefault="008227A4" w:rsidP="009F150A">
            <w:pPr>
              <w:pStyle w:val="Table-Normal"/>
              <w:rPr>
                <w:bCs/>
                <w:sz w:val="20"/>
                <w:szCs w:val="20"/>
              </w:rPr>
            </w:pPr>
            <w:r w:rsidRPr="0066602A">
              <w:rPr>
                <w:sz w:val="20"/>
                <w:szCs w:val="20"/>
              </w:rPr>
              <w:t>Galiano-Castillo, 2017</w:t>
            </w:r>
          </w:p>
          <w:p w14:paraId="0C44A0F3" w14:textId="77777777" w:rsidR="008227A4" w:rsidRPr="0066602A" w:rsidRDefault="008227A4" w:rsidP="009F150A">
            <w:pPr>
              <w:pStyle w:val="Table-Normal"/>
              <w:rPr>
                <w:rFonts w:ascii="Calibri" w:hAnsi="Calibri" w:cs="Calibri"/>
                <w:color w:val="4E5053"/>
                <w:sz w:val="20"/>
                <w:szCs w:val="20"/>
                <w:lang w:val="en-US"/>
              </w:rPr>
            </w:pPr>
            <w:r w:rsidRPr="0066602A">
              <w:rPr>
                <w:rFonts w:ascii="Calibri" w:hAnsi="Calibri" w:cs="Calibri"/>
                <w:color w:val="4E5053"/>
                <w:sz w:val="20"/>
                <w:szCs w:val="20"/>
                <w:lang w:val="en-US"/>
              </w:rPr>
              <w:t>Spain</w:t>
            </w:r>
          </w:p>
          <w:p w14:paraId="3FDF48B1"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Cross-sectional study, NR</w:t>
            </w:r>
          </w:p>
        </w:tc>
        <w:tc>
          <w:tcPr>
            <w:tcW w:w="309" w:type="pct"/>
          </w:tcPr>
          <w:p w14:paraId="73F493E7"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123</w:t>
            </w:r>
          </w:p>
        </w:tc>
        <w:tc>
          <w:tcPr>
            <w:tcW w:w="446" w:type="pct"/>
          </w:tcPr>
          <w:p w14:paraId="08DAEA73"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- 47.74</w:t>
            </w:r>
          </w:p>
        </w:tc>
        <w:tc>
          <w:tcPr>
            <w:tcW w:w="827" w:type="pct"/>
          </w:tcPr>
          <w:p w14:paraId="5160F60C"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Breast Cancer: 123 (100%)</w:t>
            </w:r>
          </w:p>
        </w:tc>
        <w:tc>
          <w:tcPr>
            <w:tcW w:w="1227" w:type="pct"/>
          </w:tcPr>
          <w:p w14:paraId="0FCC1403" w14:textId="47C39D0C"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Chemotherapy: 48 (39%)</w:t>
            </w:r>
            <w:r w:rsidRPr="0066602A">
              <w:rPr>
                <w:rFonts w:ascii="Calibri" w:hAnsi="Calibri" w:cs="Calibri"/>
                <w:color w:val="4E5053"/>
                <w:sz w:val="20"/>
                <w:szCs w:val="20"/>
                <w:lang w:val="en-US"/>
              </w:rPr>
              <w:br/>
            </w:r>
            <w:r w:rsidR="00480763" w:rsidRPr="0066602A">
              <w:rPr>
                <w:rFonts w:ascii="Calibri" w:hAnsi="Calibri" w:cs="Calibri"/>
                <w:color w:val="4E5053"/>
                <w:sz w:val="20"/>
                <w:szCs w:val="20"/>
                <w:lang w:val="en-US"/>
              </w:rPr>
              <w:t xml:space="preserve">Radiation </w:t>
            </w:r>
            <w:r w:rsidRPr="0066602A">
              <w:rPr>
                <w:rFonts w:ascii="Calibri" w:hAnsi="Calibri" w:cs="Calibri"/>
                <w:color w:val="4E5053"/>
                <w:sz w:val="20"/>
                <w:szCs w:val="20"/>
                <w:lang w:val="en-US"/>
              </w:rPr>
              <w:t>therapy: 4 (3.3%)</w:t>
            </w:r>
            <w:r w:rsidRPr="0066602A">
              <w:rPr>
                <w:rFonts w:ascii="Calibri" w:hAnsi="Calibri" w:cs="Calibri"/>
                <w:color w:val="4E5053"/>
                <w:sz w:val="20"/>
                <w:szCs w:val="20"/>
                <w:lang w:val="en-US"/>
              </w:rPr>
              <w:br/>
              <w:t xml:space="preserve">Chemotherapy + </w:t>
            </w:r>
            <w:r w:rsidR="00480763" w:rsidRPr="0066602A">
              <w:rPr>
                <w:rFonts w:ascii="Calibri" w:hAnsi="Calibri" w:cs="Calibri"/>
                <w:color w:val="4E5053"/>
                <w:sz w:val="20"/>
                <w:szCs w:val="20"/>
                <w:lang w:val="en-US"/>
              </w:rPr>
              <w:t xml:space="preserve">Radiation </w:t>
            </w:r>
            <w:r w:rsidRPr="0066602A">
              <w:rPr>
                <w:rFonts w:ascii="Calibri" w:hAnsi="Calibri" w:cs="Calibri"/>
                <w:color w:val="4E5053"/>
                <w:sz w:val="20"/>
                <w:szCs w:val="20"/>
                <w:lang w:val="en-US"/>
              </w:rPr>
              <w:t>therapy: 71 (57.7%)</w:t>
            </w:r>
            <w:r w:rsidRPr="0066602A">
              <w:rPr>
                <w:rFonts w:ascii="Calibri" w:hAnsi="Calibri" w:cs="Calibri"/>
                <w:color w:val="4E5053"/>
                <w:sz w:val="20"/>
                <w:szCs w:val="20"/>
                <w:lang w:val="en-US"/>
              </w:rPr>
              <w:br/>
              <w:t>Hormonal therapy</w:t>
            </w:r>
            <w:r w:rsidRPr="0066602A">
              <w:rPr>
                <w:rFonts w:ascii="Calibri" w:hAnsi="Calibri" w:cs="Calibri"/>
                <w:color w:val="4E5053"/>
                <w:sz w:val="20"/>
                <w:szCs w:val="20"/>
                <w:lang w:val="en-US"/>
              </w:rPr>
              <w:br/>
              <w:t>Tamoxifen: 36 (29.3%)</w:t>
            </w:r>
            <w:r w:rsidRPr="0066602A">
              <w:rPr>
                <w:rFonts w:ascii="Calibri" w:hAnsi="Calibri" w:cs="Calibri"/>
                <w:color w:val="4E5053"/>
                <w:sz w:val="20"/>
                <w:szCs w:val="20"/>
                <w:lang w:val="en-US"/>
              </w:rPr>
              <w:br/>
              <w:t>Aromatase inhibitor: 23 (18.7%)</w:t>
            </w:r>
            <w:r w:rsidRPr="0066602A">
              <w:rPr>
                <w:rFonts w:ascii="Calibri" w:hAnsi="Calibri" w:cs="Calibri"/>
                <w:color w:val="4E5053"/>
                <w:sz w:val="20"/>
                <w:szCs w:val="20"/>
                <w:lang w:val="en-US"/>
              </w:rPr>
              <w:br/>
            </w:r>
            <w:proofErr w:type="spellStart"/>
            <w:r w:rsidRPr="0066602A">
              <w:rPr>
                <w:rFonts w:ascii="Calibri" w:hAnsi="Calibri" w:cs="Calibri"/>
                <w:color w:val="4E5053"/>
                <w:sz w:val="20"/>
                <w:szCs w:val="20"/>
                <w:lang w:val="en-US"/>
              </w:rPr>
              <w:t>Fulvestrant</w:t>
            </w:r>
            <w:proofErr w:type="spellEnd"/>
            <w:r w:rsidRPr="0066602A">
              <w:rPr>
                <w:rFonts w:ascii="Calibri" w:hAnsi="Calibri" w:cs="Calibri"/>
                <w:color w:val="4E5053"/>
                <w:sz w:val="20"/>
                <w:szCs w:val="20"/>
                <w:lang w:val="en-US"/>
              </w:rPr>
              <w:t>: 6 (4.8%)</w:t>
            </w:r>
            <w:r w:rsidRPr="0066602A">
              <w:rPr>
                <w:rFonts w:ascii="Calibri" w:hAnsi="Calibri" w:cs="Calibri"/>
                <w:color w:val="4E5053"/>
                <w:sz w:val="20"/>
                <w:szCs w:val="20"/>
                <w:lang w:val="en-US"/>
              </w:rPr>
              <w:br/>
              <w:t xml:space="preserve">Patients were treated during </w:t>
            </w:r>
            <w:r w:rsidRPr="0066602A">
              <w:rPr>
                <w:rFonts w:ascii="Calibri" w:hAnsi="Calibri" w:cs="Calibri"/>
                <w:color w:val="4E5053"/>
                <w:sz w:val="20"/>
                <w:szCs w:val="20"/>
                <w:lang w:val="en-US"/>
              </w:rPr>
              <w:lastRenderedPageBreak/>
              <w:t>Chemotherapy: 44 (35.8%) and after primary treatment: 79 (64.2%)</w:t>
            </w:r>
          </w:p>
        </w:tc>
        <w:tc>
          <w:tcPr>
            <w:tcW w:w="1545" w:type="pct"/>
          </w:tcPr>
          <w:p w14:paraId="23286EEA"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rPr>
              <w:lastRenderedPageBreak/>
              <w:t xml:space="preserve"> Higher levels of insomnia were associated with higher scores on </w:t>
            </w:r>
            <w:r w:rsidRPr="0066602A">
              <w:rPr>
                <w:b/>
                <w:bCs w:val="0"/>
                <w:sz w:val="20"/>
                <w:szCs w:val="20"/>
              </w:rPr>
              <w:t>BPI</w:t>
            </w:r>
            <w:r w:rsidRPr="0066602A">
              <w:rPr>
                <w:sz w:val="20"/>
                <w:szCs w:val="20"/>
              </w:rPr>
              <w:t xml:space="preserve"> (pain severity r=0.445, p=0.01; pain interference r=0.507, p=0.01) and </w:t>
            </w:r>
            <w:r w:rsidRPr="0066602A">
              <w:rPr>
                <w:b/>
                <w:bCs w:val="0"/>
                <w:sz w:val="20"/>
                <w:szCs w:val="20"/>
              </w:rPr>
              <w:t xml:space="preserve">HADS </w:t>
            </w:r>
            <w:r w:rsidRPr="0066602A">
              <w:rPr>
                <w:sz w:val="20"/>
                <w:szCs w:val="20"/>
              </w:rPr>
              <w:t xml:space="preserve">(HADS anxiety r=0.583, p=0.01; HADS depression r=0.423, p=0.01). </w:t>
            </w:r>
          </w:p>
        </w:tc>
      </w:tr>
      <w:tr w:rsidR="008227A4" w:rsidRPr="0066602A" w14:paraId="3C7F1093"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1A604362" w14:textId="77777777" w:rsidR="008227A4" w:rsidRPr="0066602A" w:rsidRDefault="008227A4" w:rsidP="009F150A">
            <w:pPr>
              <w:pStyle w:val="Table-Normal"/>
              <w:rPr>
                <w:bCs/>
                <w:sz w:val="20"/>
                <w:szCs w:val="20"/>
              </w:rPr>
            </w:pPr>
            <w:r w:rsidRPr="0066602A">
              <w:rPr>
                <w:sz w:val="20"/>
                <w:szCs w:val="20"/>
              </w:rPr>
              <w:t>Gehrman, 2017</w:t>
            </w:r>
          </w:p>
          <w:p w14:paraId="7A05C430"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USA</w:t>
            </w:r>
          </w:p>
          <w:p w14:paraId="4A44717A"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Cross-sectional survey, NR</w:t>
            </w:r>
          </w:p>
        </w:tc>
        <w:tc>
          <w:tcPr>
            <w:tcW w:w="309" w:type="pct"/>
          </w:tcPr>
          <w:p w14:paraId="3EC241E4"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413</w:t>
            </w:r>
          </w:p>
        </w:tc>
        <w:tc>
          <w:tcPr>
            <w:tcW w:w="446" w:type="pct"/>
          </w:tcPr>
          <w:p w14:paraId="3D66A93C"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- 61.7</w:t>
            </w:r>
          </w:p>
        </w:tc>
        <w:tc>
          <w:tcPr>
            <w:tcW w:w="827" w:type="pct"/>
          </w:tcPr>
          <w:p w14:paraId="267741BC"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Breast cancer: 413 (100%)</w:t>
            </w:r>
          </w:p>
        </w:tc>
        <w:tc>
          <w:tcPr>
            <w:tcW w:w="1227" w:type="pct"/>
          </w:tcPr>
          <w:p w14:paraId="48218218"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 xml:space="preserve">Patients were currently taking a third-generation aromatase inhibitor (anastrozole, letrozole, or exemestane). </w:t>
            </w:r>
            <w:r w:rsidRPr="0066602A">
              <w:rPr>
                <w:rFonts w:ascii="Calibri" w:hAnsi="Calibri" w:cs="Calibri"/>
                <w:color w:val="4E5053"/>
                <w:sz w:val="20"/>
                <w:szCs w:val="20"/>
                <w:lang w:val="en-US"/>
              </w:rPr>
              <w:br/>
              <w:t>(Aromatase inhibitors are a class of drugs used in the treatment of breast cancer in postmenopausal women)</w:t>
            </w:r>
          </w:p>
        </w:tc>
        <w:tc>
          <w:tcPr>
            <w:tcW w:w="1545" w:type="pct"/>
          </w:tcPr>
          <w:p w14:paraId="4888A06B"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b/>
                <w:bCs w:val="0"/>
                <w:sz w:val="20"/>
                <w:szCs w:val="20"/>
              </w:rPr>
              <w:t>HADS Anxiety:</w:t>
            </w:r>
            <w:r w:rsidRPr="0066602A">
              <w:rPr>
                <w:sz w:val="20"/>
                <w:szCs w:val="20"/>
              </w:rPr>
              <w:t xml:space="preserve"> 5.5 (3.8), 0–19.0</w:t>
            </w:r>
            <w:r w:rsidRPr="0066602A">
              <w:rPr>
                <w:sz w:val="20"/>
                <w:szCs w:val="20"/>
              </w:rPr>
              <w:br/>
            </w:r>
            <w:r w:rsidRPr="0066602A">
              <w:rPr>
                <w:b/>
                <w:bCs w:val="0"/>
                <w:sz w:val="20"/>
                <w:szCs w:val="20"/>
              </w:rPr>
              <w:t>HADS Depression:</w:t>
            </w:r>
            <w:r w:rsidRPr="0066602A">
              <w:rPr>
                <w:sz w:val="20"/>
                <w:szCs w:val="20"/>
              </w:rPr>
              <w:t xml:space="preserve"> 3.1 (2.8), 0–14.0</w:t>
            </w:r>
          </w:p>
        </w:tc>
      </w:tr>
      <w:tr w:rsidR="008227A4" w:rsidRPr="0066602A" w14:paraId="5C98D577"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71AB99DC" w14:textId="77777777" w:rsidR="008227A4" w:rsidRPr="0066602A" w:rsidRDefault="008227A4" w:rsidP="009F150A">
            <w:pPr>
              <w:pStyle w:val="Table-Normal"/>
              <w:rPr>
                <w:bCs/>
                <w:sz w:val="20"/>
                <w:szCs w:val="20"/>
              </w:rPr>
            </w:pPr>
            <w:r w:rsidRPr="0066602A">
              <w:rPr>
                <w:sz w:val="20"/>
                <w:szCs w:val="20"/>
              </w:rPr>
              <w:t>Hoang, 2020</w:t>
            </w:r>
          </w:p>
          <w:p w14:paraId="5F3A918B"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Vietnam</w:t>
            </w:r>
          </w:p>
          <w:p w14:paraId="64EE6ED1"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Cross-sectional survey, May-July 2017</w:t>
            </w:r>
          </w:p>
        </w:tc>
        <w:tc>
          <w:tcPr>
            <w:tcW w:w="309" w:type="pct"/>
          </w:tcPr>
          <w:p w14:paraId="2A1E224A"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213</w:t>
            </w:r>
          </w:p>
        </w:tc>
        <w:tc>
          <w:tcPr>
            <w:tcW w:w="446" w:type="pct"/>
          </w:tcPr>
          <w:p w14:paraId="61164CF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Male - 40%</w:t>
            </w:r>
            <w:r w:rsidRPr="0066602A">
              <w:rPr>
                <w:rFonts w:ascii="Calibri" w:hAnsi="Calibri" w:cs="Calibri"/>
                <w:color w:val="4E5053"/>
                <w:sz w:val="20"/>
                <w:szCs w:val="20"/>
                <w:lang w:val="en-US"/>
              </w:rPr>
              <w:br/>
              <w:t>Female - 60%</w:t>
            </w:r>
            <w:r w:rsidRPr="0066602A">
              <w:rPr>
                <w:rFonts w:ascii="Calibri" w:hAnsi="Calibri" w:cs="Calibri"/>
                <w:color w:val="4E5053"/>
                <w:sz w:val="20"/>
                <w:szCs w:val="20"/>
                <w:lang w:val="en-US"/>
              </w:rPr>
              <w:br/>
              <w:t>Mean 53.1</w:t>
            </w:r>
          </w:p>
        </w:tc>
        <w:tc>
          <w:tcPr>
            <w:tcW w:w="827" w:type="pct"/>
          </w:tcPr>
          <w:p w14:paraId="2F93A900"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Breast cancer: 59 (27.7%)</w:t>
            </w:r>
            <w:r w:rsidRPr="0066602A">
              <w:rPr>
                <w:rFonts w:ascii="Calibri" w:hAnsi="Calibri" w:cs="Calibri"/>
                <w:color w:val="4E5053"/>
                <w:sz w:val="20"/>
                <w:szCs w:val="20"/>
                <w:lang w:val="en-US"/>
              </w:rPr>
              <w:br/>
              <w:t>Gynecologic cancer: 24 (11.3%)</w:t>
            </w:r>
            <w:r w:rsidRPr="0066602A">
              <w:rPr>
                <w:rFonts w:ascii="Calibri" w:hAnsi="Calibri" w:cs="Calibri"/>
                <w:color w:val="4E5053"/>
                <w:sz w:val="20"/>
                <w:szCs w:val="20"/>
                <w:lang w:val="en-US"/>
              </w:rPr>
              <w:br/>
              <w:t>Lung/bronchial cancer: 41 (19.2%)</w:t>
            </w:r>
            <w:r w:rsidRPr="0066602A">
              <w:rPr>
                <w:rFonts w:ascii="Calibri" w:hAnsi="Calibri" w:cs="Calibri"/>
                <w:color w:val="4E5053"/>
                <w:sz w:val="20"/>
                <w:szCs w:val="20"/>
                <w:lang w:val="en-US"/>
              </w:rPr>
              <w:br/>
              <w:t>GI cancer: 38 (17.8%)</w:t>
            </w:r>
            <w:r w:rsidRPr="0066602A">
              <w:rPr>
                <w:rFonts w:ascii="Calibri" w:hAnsi="Calibri" w:cs="Calibri"/>
                <w:color w:val="4E5053"/>
                <w:sz w:val="20"/>
                <w:szCs w:val="20"/>
                <w:lang w:val="en-US"/>
              </w:rPr>
              <w:br/>
            </w:r>
            <w:proofErr w:type="gramStart"/>
            <w:r w:rsidRPr="0066602A">
              <w:rPr>
                <w:rFonts w:ascii="Calibri" w:hAnsi="Calibri" w:cs="Calibri"/>
                <w:color w:val="4E5053"/>
                <w:sz w:val="20"/>
                <w:szCs w:val="20"/>
                <w:lang w:val="en-US"/>
              </w:rPr>
              <w:t>Non-Hodgkin’s</w:t>
            </w:r>
            <w:proofErr w:type="gramEnd"/>
            <w:r w:rsidRPr="0066602A">
              <w:rPr>
                <w:rFonts w:ascii="Calibri" w:hAnsi="Calibri" w:cs="Calibri"/>
                <w:color w:val="4E5053"/>
                <w:sz w:val="20"/>
                <w:szCs w:val="20"/>
                <w:lang w:val="en-US"/>
              </w:rPr>
              <w:t xml:space="preserve"> lymphoma: 30 (14.1%)</w:t>
            </w:r>
            <w:r w:rsidRPr="0066602A">
              <w:rPr>
                <w:rFonts w:ascii="Calibri" w:hAnsi="Calibri" w:cs="Calibri"/>
                <w:color w:val="4E5053"/>
                <w:sz w:val="20"/>
                <w:szCs w:val="20"/>
                <w:lang w:val="en-US"/>
              </w:rPr>
              <w:br/>
              <w:t>Laryngeal cancer: 3 (1.4%)</w:t>
            </w:r>
            <w:r w:rsidRPr="0066602A">
              <w:rPr>
                <w:rFonts w:ascii="Calibri" w:hAnsi="Calibri" w:cs="Calibri"/>
                <w:color w:val="4E5053"/>
                <w:sz w:val="20"/>
                <w:szCs w:val="20"/>
                <w:lang w:val="en-US"/>
              </w:rPr>
              <w:br/>
              <w:t>Nasopharyngeal cancer: 12 (5.6%)</w:t>
            </w:r>
            <w:r w:rsidRPr="0066602A">
              <w:rPr>
                <w:rFonts w:ascii="Calibri" w:hAnsi="Calibri" w:cs="Calibri"/>
                <w:color w:val="4E5053"/>
                <w:sz w:val="20"/>
                <w:szCs w:val="20"/>
                <w:lang w:val="en-US"/>
              </w:rPr>
              <w:br/>
              <w:t>Brain cancer: 2 (0.9%)</w:t>
            </w:r>
            <w:r w:rsidRPr="0066602A">
              <w:rPr>
                <w:rFonts w:ascii="Calibri" w:hAnsi="Calibri" w:cs="Calibri"/>
                <w:color w:val="4E5053"/>
                <w:sz w:val="20"/>
                <w:szCs w:val="20"/>
                <w:lang w:val="en-US"/>
              </w:rPr>
              <w:br/>
              <w:t>Urinary system cancer: 4 (1.9%)</w:t>
            </w:r>
          </w:p>
        </w:tc>
        <w:tc>
          <w:tcPr>
            <w:tcW w:w="1227" w:type="pct"/>
          </w:tcPr>
          <w:p w14:paraId="4EC735D9"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Chemotherapy: 100%</w:t>
            </w:r>
          </w:p>
        </w:tc>
        <w:tc>
          <w:tcPr>
            <w:tcW w:w="1545" w:type="pct"/>
          </w:tcPr>
          <w:p w14:paraId="4B699F4C"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sz w:val="20"/>
                <w:szCs w:val="20"/>
              </w:rPr>
              <w:t>&gt; Score NR</w:t>
            </w:r>
          </w:p>
          <w:p w14:paraId="2E10FBCE"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rPr>
              <w:t xml:space="preserve">&gt; Insomnia occurrence was correlated with both anxiety </w:t>
            </w:r>
            <w:r w:rsidRPr="0066602A">
              <w:rPr>
                <w:sz w:val="20"/>
                <w:szCs w:val="20"/>
              </w:rPr>
              <w:br/>
              <w:t>(r=0.30; p&lt;0.01) and depression (r=0.27; p&lt;0.01).</w:t>
            </w:r>
          </w:p>
        </w:tc>
      </w:tr>
      <w:tr w:rsidR="008227A4" w:rsidRPr="0066602A" w14:paraId="250A7852"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6E4228F1" w14:textId="77777777" w:rsidR="008227A4" w:rsidRPr="0066602A" w:rsidRDefault="008227A4" w:rsidP="009F150A">
            <w:pPr>
              <w:pStyle w:val="Table-Normal"/>
              <w:rPr>
                <w:bCs/>
                <w:sz w:val="20"/>
                <w:szCs w:val="20"/>
              </w:rPr>
            </w:pPr>
            <w:r w:rsidRPr="0066602A">
              <w:rPr>
                <w:sz w:val="20"/>
                <w:szCs w:val="20"/>
              </w:rPr>
              <w:t>Kim, 2008</w:t>
            </w:r>
          </w:p>
          <w:p w14:paraId="7B29A945" w14:textId="77777777" w:rsidR="008227A4" w:rsidRPr="0066602A" w:rsidRDefault="008227A4" w:rsidP="009F150A">
            <w:pPr>
              <w:pStyle w:val="Table-Normal"/>
              <w:rPr>
                <w:rFonts w:cstheme="minorHAnsi"/>
                <w:color w:val="4E5053"/>
                <w:sz w:val="20"/>
                <w:szCs w:val="20"/>
                <w:lang w:val="en-US"/>
              </w:rPr>
            </w:pPr>
            <w:r w:rsidRPr="0066602A">
              <w:rPr>
                <w:rFonts w:cstheme="minorHAnsi"/>
                <w:color w:val="4E5053"/>
                <w:sz w:val="20"/>
                <w:szCs w:val="20"/>
                <w:lang w:val="en-US"/>
              </w:rPr>
              <w:t>Korea</w:t>
            </w:r>
          </w:p>
          <w:p w14:paraId="084FC8DC" w14:textId="77777777" w:rsidR="008227A4" w:rsidRPr="0066602A" w:rsidRDefault="008227A4" w:rsidP="009F150A">
            <w:pPr>
              <w:pStyle w:val="Table-Normal"/>
              <w:rPr>
                <w:sz w:val="20"/>
                <w:szCs w:val="20"/>
                <w:lang w:val="en-US"/>
              </w:rPr>
            </w:pPr>
            <w:r w:rsidRPr="0066602A">
              <w:rPr>
                <w:rFonts w:cstheme="minorHAnsi"/>
                <w:color w:val="4E5053"/>
                <w:sz w:val="20"/>
                <w:szCs w:val="20"/>
                <w:lang w:val="en-US"/>
              </w:rPr>
              <w:t>Prospective, open-labeled study, 4 weeks</w:t>
            </w:r>
          </w:p>
        </w:tc>
        <w:tc>
          <w:tcPr>
            <w:tcW w:w="309" w:type="pct"/>
          </w:tcPr>
          <w:p w14:paraId="77D95F15"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42</w:t>
            </w:r>
          </w:p>
        </w:tc>
        <w:tc>
          <w:tcPr>
            <w:tcW w:w="446" w:type="pct"/>
          </w:tcPr>
          <w:p w14:paraId="6921AD8D"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Male - 55%</w:t>
            </w:r>
            <w:r w:rsidRPr="0066602A">
              <w:rPr>
                <w:rFonts w:cstheme="minorHAnsi"/>
                <w:color w:val="4E5053"/>
                <w:sz w:val="20"/>
                <w:szCs w:val="20"/>
                <w:lang w:val="en-US"/>
              </w:rPr>
              <w:br/>
              <w:t>Female - 45%</w:t>
            </w:r>
            <w:r w:rsidRPr="0066602A">
              <w:rPr>
                <w:rFonts w:cstheme="minorHAnsi"/>
                <w:color w:val="4E5053"/>
                <w:sz w:val="20"/>
                <w:szCs w:val="20"/>
                <w:lang w:val="en-US"/>
              </w:rPr>
              <w:br/>
              <w:t>Mean - 57.5</w:t>
            </w:r>
          </w:p>
        </w:tc>
        <w:tc>
          <w:tcPr>
            <w:tcW w:w="827" w:type="pct"/>
          </w:tcPr>
          <w:p w14:paraId="4C0BDD0D"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Lung: 25 (59.5%)</w:t>
            </w:r>
            <w:r w:rsidRPr="0066602A">
              <w:rPr>
                <w:rFonts w:cstheme="minorHAnsi"/>
                <w:color w:val="4E5053"/>
                <w:sz w:val="20"/>
                <w:szCs w:val="20"/>
                <w:lang w:val="en-US"/>
              </w:rPr>
              <w:br/>
              <w:t>Breast: 5 (11.9%)</w:t>
            </w:r>
            <w:r w:rsidRPr="0066602A">
              <w:rPr>
                <w:rFonts w:cstheme="minorHAnsi"/>
                <w:color w:val="4E5053"/>
                <w:sz w:val="20"/>
                <w:szCs w:val="20"/>
                <w:lang w:val="en-US"/>
              </w:rPr>
              <w:br/>
              <w:t>GI tract: 6 (14.3%)</w:t>
            </w:r>
            <w:r w:rsidRPr="0066602A">
              <w:rPr>
                <w:rFonts w:cstheme="minorHAnsi"/>
                <w:color w:val="4E5053"/>
                <w:sz w:val="20"/>
                <w:szCs w:val="20"/>
                <w:lang w:val="en-US"/>
              </w:rPr>
              <w:br/>
              <w:t>Hepatobiliary tract: 3 (7.1%)</w:t>
            </w:r>
            <w:r w:rsidRPr="0066602A">
              <w:rPr>
                <w:rFonts w:cstheme="minorHAnsi"/>
                <w:color w:val="4E5053"/>
                <w:sz w:val="20"/>
                <w:szCs w:val="20"/>
                <w:lang w:val="en-US"/>
              </w:rPr>
              <w:br/>
              <w:t>Other malignancy: 3 (7.1%)</w:t>
            </w:r>
          </w:p>
        </w:tc>
        <w:tc>
          <w:tcPr>
            <w:tcW w:w="1227" w:type="pct"/>
          </w:tcPr>
          <w:p w14:paraId="7E2C2BF6"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Cancer therapy: NR</w:t>
            </w:r>
            <w:r w:rsidRPr="0066602A">
              <w:rPr>
                <w:rFonts w:cstheme="minorHAnsi"/>
                <w:color w:val="4E5053"/>
                <w:sz w:val="20"/>
                <w:szCs w:val="20"/>
                <w:lang w:val="en-US"/>
              </w:rPr>
              <w:br/>
              <w:t>All patients were taking mirtazapine: 42 (100%) (anti-depressant)</w:t>
            </w:r>
          </w:p>
        </w:tc>
        <w:tc>
          <w:tcPr>
            <w:tcW w:w="1545" w:type="pct"/>
          </w:tcPr>
          <w:p w14:paraId="7F9F8050"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rPr>
              <w:t>&gt; Score NR</w:t>
            </w:r>
          </w:p>
        </w:tc>
      </w:tr>
      <w:tr w:rsidR="008227A4" w:rsidRPr="0066602A" w14:paraId="07D711CD"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1DB6B3FD" w14:textId="77777777" w:rsidR="008227A4" w:rsidRPr="0066602A" w:rsidRDefault="008227A4" w:rsidP="009F150A">
            <w:pPr>
              <w:pStyle w:val="Table-Normal"/>
              <w:rPr>
                <w:bCs/>
                <w:sz w:val="20"/>
                <w:szCs w:val="20"/>
              </w:rPr>
            </w:pPr>
            <w:r w:rsidRPr="0066602A">
              <w:rPr>
                <w:sz w:val="20"/>
                <w:szCs w:val="20"/>
              </w:rPr>
              <w:t>Nishiura, 2013</w:t>
            </w:r>
          </w:p>
          <w:p w14:paraId="0523AE5B"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Japan</w:t>
            </w:r>
          </w:p>
          <w:p w14:paraId="44E48A70"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Questionnaire, NR</w:t>
            </w:r>
          </w:p>
        </w:tc>
        <w:tc>
          <w:tcPr>
            <w:tcW w:w="309" w:type="pct"/>
          </w:tcPr>
          <w:p w14:paraId="0E9FB911"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50</w:t>
            </w:r>
          </w:p>
        </w:tc>
        <w:tc>
          <w:tcPr>
            <w:tcW w:w="446" w:type="pct"/>
          </w:tcPr>
          <w:p w14:paraId="208B7481"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Male - 70%</w:t>
            </w:r>
            <w:r w:rsidRPr="0066602A">
              <w:rPr>
                <w:rFonts w:ascii="Calibri" w:hAnsi="Calibri" w:cs="Calibri"/>
                <w:color w:val="4E5053"/>
                <w:sz w:val="20"/>
                <w:szCs w:val="20"/>
                <w:lang w:val="en-US"/>
              </w:rPr>
              <w:br/>
              <w:t>Female - 30%</w:t>
            </w:r>
            <w:r w:rsidRPr="0066602A">
              <w:rPr>
                <w:rFonts w:ascii="Calibri" w:hAnsi="Calibri" w:cs="Calibri"/>
                <w:color w:val="4E5053"/>
                <w:sz w:val="20"/>
                <w:szCs w:val="20"/>
                <w:lang w:val="en-US"/>
              </w:rPr>
              <w:br/>
              <w:t>Mean - 71.8</w:t>
            </w:r>
          </w:p>
        </w:tc>
        <w:tc>
          <w:tcPr>
            <w:tcW w:w="827" w:type="pct"/>
          </w:tcPr>
          <w:p w14:paraId="21013C9A"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Lung cancer: 50 (100%)</w:t>
            </w:r>
          </w:p>
        </w:tc>
        <w:tc>
          <w:tcPr>
            <w:tcW w:w="1227" w:type="pct"/>
          </w:tcPr>
          <w:p w14:paraId="477E9B37"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Receiving chemotherapy</w:t>
            </w:r>
            <w:r w:rsidRPr="0066602A">
              <w:rPr>
                <w:rFonts w:ascii="Calibri" w:hAnsi="Calibri" w:cs="Calibri"/>
                <w:color w:val="4E5053"/>
                <w:sz w:val="20"/>
                <w:szCs w:val="20"/>
                <w:lang w:val="en-US"/>
              </w:rPr>
              <w:br/>
              <w:t>Yes (inpatient): 21 (42%)</w:t>
            </w:r>
            <w:r w:rsidRPr="0066602A">
              <w:rPr>
                <w:rFonts w:ascii="Calibri" w:hAnsi="Calibri" w:cs="Calibri"/>
                <w:color w:val="4E5053"/>
                <w:sz w:val="20"/>
                <w:szCs w:val="20"/>
                <w:lang w:val="en-US"/>
              </w:rPr>
              <w:br/>
              <w:t>Yes (outpatient): 10 (20%)</w:t>
            </w:r>
          </w:p>
        </w:tc>
        <w:tc>
          <w:tcPr>
            <w:tcW w:w="1545" w:type="pct"/>
          </w:tcPr>
          <w:p w14:paraId="5F155A74"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b/>
                <w:bCs w:val="0"/>
                <w:sz w:val="20"/>
                <w:szCs w:val="20"/>
              </w:rPr>
              <w:t>Patients with sleep disturbance (AIS≥6)</w:t>
            </w:r>
            <w:r w:rsidRPr="0066602A">
              <w:rPr>
                <w:sz w:val="20"/>
                <w:szCs w:val="20"/>
              </w:rPr>
              <w:t xml:space="preserve">: </w:t>
            </w:r>
            <w:r w:rsidRPr="0066602A">
              <w:rPr>
                <w:sz w:val="20"/>
                <w:szCs w:val="20"/>
              </w:rPr>
              <w:br/>
            </w:r>
            <w:r w:rsidRPr="0066602A">
              <w:rPr>
                <w:b/>
                <w:bCs w:val="0"/>
                <w:sz w:val="20"/>
                <w:szCs w:val="20"/>
              </w:rPr>
              <w:t>Total HADS:</w:t>
            </w:r>
            <w:r w:rsidRPr="0066602A">
              <w:rPr>
                <w:sz w:val="20"/>
                <w:szCs w:val="20"/>
              </w:rPr>
              <w:t xml:space="preserve"> 14.6 (5.8)</w:t>
            </w:r>
          </w:p>
          <w:p w14:paraId="513C0D4D"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rPr>
              <w:t>EORTC-QLQ–C30:</w:t>
            </w:r>
            <w:r w:rsidRPr="0066602A">
              <w:rPr>
                <w:sz w:val="20"/>
                <w:szCs w:val="20"/>
              </w:rPr>
              <w:t xml:space="preserve"> 46.3 (20.2)</w:t>
            </w:r>
            <w:r w:rsidRPr="0066602A">
              <w:rPr>
                <w:sz w:val="20"/>
                <w:szCs w:val="20"/>
              </w:rPr>
              <w:br/>
            </w:r>
            <w:r w:rsidRPr="0066602A">
              <w:rPr>
                <w:b/>
                <w:bCs w:val="0"/>
                <w:sz w:val="20"/>
                <w:szCs w:val="20"/>
              </w:rPr>
              <w:t>Pain:</w:t>
            </w:r>
            <w:r w:rsidRPr="0066602A">
              <w:rPr>
                <w:sz w:val="20"/>
                <w:szCs w:val="20"/>
              </w:rPr>
              <w:t xml:space="preserve"> 27.2 (26.2). </w:t>
            </w:r>
            <w:r w:rsidRPr="0066602A">
              <w:rPr>
                <w:sz w:val="20"/>
                <w:szCs w:val="20"/>
              </w:rPr>
              <w:br/>
            </w:r>
            <w:r w:rsidRPr="0066602A">
              <w:rPr>
                <w:b/>
                <w:bCs w:val="0"/>
                <w:sz w:val="20"/>
                <w:szCs w:val="20"/>
              </w:rPr>
              <w:lastRenderedPageBreak/>
              <w:t>Patients without sleep disturbance (AIS&lt;6):</w:t>
            </w:r>
            <w:r w:rsidRPr="0066602A">
              <w:rPr>
                <w:sz w:val="20"/>
                <w:szCs w:val="20"/>
              </w:rPr>
              <w:br/>
            </w:r>
            <w:r w:rsidRPr="0066602A">
              <w:rPr>
                <w:b/>
                <w:bCs w:val="0"/>
                <w:sz w:val="20"/>
                <w:szCs w:val="20"/>
              </w:rPr>
              <w:t>Total HADS:</w:t>
            </w:r>
            <w:r w:rsidRPr="0066602A">
              <w:rPr>
                <w:sz w:val="20"/>
                <w:szCs w:val="20"/>
              </w:rPr>
              <w:t xml:space="preserve"> 9.9 (8.1) </w:t>
            </w:r>
            <w:r w:rsidRPr="0066602A">
              <w:rPr>
                <w:sz w:val="20"/>
                <w:szCs w:val="20"/>
              </w:rPr>
              <w:br/>
            </w:r>
            <w:r w:rsidRPr="0066602A">
              <w:rPr>
                <w:b/>
                <w:bCs w:val="0"/>
                <w:sz w:val="20"/>
                <w:szCs w:val="20"/>
              </w:rPr>
              <w:t>EORTC-QLQ–C30:</w:t>
            </w:r>
            <w:r w:rsidRPr="0066602A">
              <w:rPr>
                <w:sz w:val="20"/>
                <w:szCs w:val="20"/>
              </w:rPr>
              <w:t xml:space="preserve"> 65.2 (20.7)</w:t>
            </w:r>
            <w:r w:rsidRPr="0066602A">
              <w:rPr>
                <w:sz w:val="20"/>
                <w:szCs w:val="20"/>
              </w:rPr>
              <w:br/>
            </w:r>
            <w:r w:rsidRPr="0066602A">
              <w:rPr>
                <w:b/>
                <w:bCs w:val="0"/>
                <w:sz w:val="20"/>
                <w:szCs w:val="20"/>
              </w:rPr>
              <w:t>Pain:</w:t>
            </w:r>
            <w:r w:rsidRPr="0066602A">
              <w:rPr>
                <w:sz w:val="20"/>
                <w:szCs w:val="20"/>
              </w:rPr>
              <w:t xml:space="preserve"> 8.7 (15.8)</w:t>
            </w:r>
          </w:p>
        </w:tc>
      </w:tr>
      <w:tr w:rsidR="008227A4" w:rsidRPr="0066602A" w14:paraId="13D9D065"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60D29C3E" w14:textId="77777777" w:rsidR="008227A4" w:rsidRPr="0066602A" w:rsidRDefault="008227A4" w:rsidP="009F150A">
            <w:pPr>
              <w:pStyle w:val="Table-Normal"/>
              <w:rPr>
                <w:bCs/>
                <w:sz w:val="20"/>
                <w:szCs w:val="20"/>
              </w:rPr>
            </w:pPr>
            <w:proofErr w:type="spellStart"/>
            <w:r w:rsidRPr="0066602A">
              <w:rPr>
                <w:sz w:val="20"/>
                <w:szCs w:val="20"/>
              </w:rPr>
              <w:lastRenderedPageBreak/>
              <w:t>Saberzadeh-Ardestani</w:t>
            </w:r>
            <w:proofErr w:type="spellEnd"/>
            <w:r w:rsidRPr="0066602A">
              <w:rPr>
                <w:sz w:val="20"/>
                <w:szCs w:val="20"/>
              </w:rPr>
              <w:t>, 2019</w:t>
            </w:r>
          </w:p>
          <w:p w14:paraId="0AC0EE43" w14:textId="77777777" w:rsidR="008227A4" w:rsidRPr="0066602A" w:rsidRDefault="008227A4" w:rsidP="009F150A">
            <w:pPr>
              <w:pStyle w:val="Table-Normal"/>
              <w:rPr>
                <w:rFonts w:cstheme="minorHAnsi"/>
                <w:color w:val="4E5053"/>
                <w:sz w:val="20"/>
                <w:szCs w:val="20"/>
                <w:lang w:val="en-US"/>
              </w:rPr>
            </w:pPr>
            <w:r w:rsidRPr="0066602A">
              <w:rPr>
                <w:rFonts w:cstheme="minorHAnsi"/>
                <w:sz w:val="20"/>
                <w:szCs w:val="20"/>
                <w:lang w:val="en-US"/>
              </w:rPr>
              <w:t>Iran</w:t>
            </w:r>
          </w:p>
          <w:p w14:paraId="26813DDC" w14:textId="77777777" w:rsidR="008227A4" w:rsidRPr="0066602A" w:rsidRDefault="008227A4" w:rsidP="009F150A">
            <w:pPr>
              <w:pStyle w:val="Table-Normal"/>
              <w:rPr>
                <w:sz w:val="20"/>
                <w:szCs w:val="20"/>
                <w:lang w:val="en-US"/>
              </w:rPr>
            </w:pPr>
            <w:r w:rsidRPr="0066602A">
              <w:rPr>
                <w:rFonts w:cstheme="minorHAnsi"/>
                <w:color w:val="4E5053"/>
                <w:sz w:val="20"/>
                <w:szCs w:val="20"/>
                <w:lang w:val="en-US"/>
              </w:rPr>
              <w:t>Cross-sectional, October 2015 to November 2016</w:t>
            </w:r>
          </w:p>
        </w:tc>
        <w:tc>
          <w:tcPr>
            <w:tcW w:w="309" w:type="pct"/>
          </w:tcPr>
          <w:p w14:paraId="472ED945"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74</w:t>
            </w:r>
          </w:p>
        </w:tc>
        <w:tc>
          <w:tcPr>
            <w:tcW w:w="446" w:type="pct"/>
          </w:tcPr>
          <w:p w14:paraId="6B51F651"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Male - 43%</w:t>
            </w:r>
            <w:r w:rsidRPr="0066602A">
              <w:rPr>
                <w:rFonts w:cstheme="minorHAnsi"/>
                <w:color w:val="4E5053"/>
                <w:sz w:val="20"/>
                <w:szCs w:val="20"/>
                <w:lang w:val="en-US"/>
              </w:rPr>
              <w:br/>
              <w:t>Female - 57%</w:t>
            </w:r>
            <w:r w:rsidRPr="0066602A">
              <w:rPr>
                <w:rFonts w:cstheme="minorHAnsi"/>
                <w:color w:val="4E5053"/>
                <w:sz w:val="20"/>
                <w:szCs w:val="20"/>
                <w:lang w:val="en-US"/>
              </w:rPr>
              <w:br/>
              <w:t>Mean - 68.3</w:t>
            </w:r>
          </w:p>
        </w:tc>
        <w:tc>
          <w:tcPr>
            <w:tcW w:w="827" w:type="pct"/>
          </w:tcPr>
          <w:p w14:paraId="426381DA"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GI: 37 (50%)</w:t>
            </w:r>
            <w:r w:rsidRPr="0066602A">
              <w:rPr>
                <w:rFonts w:cstheme="minorHAnsi"/>
                <w:color w:val="4E5053"/>
                <w:sz w:val="20"/>
                <w:szCs w:val="20"/>
                <w:lang w:val="en-US"/>
              </w:rPr>
              <w:br/>
              <w:t>Genitourinary: 16 (21.6%)</w:t>
            </w:r>
            <w:r w:rsidRPr="0066602A">
              <w:rPr>
                <w:rFonts w:cstheme="minorHAnsi"/>
                <w:color w:val="4E5053"/>
                <w:sz w:val="20"/>
                <w:szCs w:val="20"/>
                <w:lang w:val="en-US"/>
              </w:rPr>
              <w:br/>
              <w:t>Breast: 11 (14.9%)</w:t>
            </w:r>
            <w:r w:rsidRPr="0066602A">
              <w:rPr>
                <w:rFonts w:cstheme="minorHAnsi"/>
                <w:color w:val="4E5053"/>
                <w:sz w:val="20"/>
                <w:szCs w:val="20"/>
                <w:lang w:val="en-US"/>
              </w:rPr>
              <w:br/>
              <w:t>Head &amp; Neck: 4 (5.4%)</w:t>
            </w:r>
            <w:r w:rsidRPr="0066602A">
              <w:rPr>
                <w:rFonts w:cstheme="minorHAnsi"/>
                <w:color w:val="4E5053"/>
                <w:sz w:val="20"/>
                <w:szCs w:val="20"/>
                <w:lang w:val="en-US"/>
              </w:rPr>
              <w:br/>
              <w:t>Lymphoma: 4 (5.4%)</w:t>
            </w:r>
            <w:r w:rsidRPr="0066602A">
              <w:rPr>
                <w:rFonts w:cstheme="minorHAnsi"/>
                <w:color w:val="4E5053"/>
                <w:sz w:val="20"/>
                <w:szCs w:val="20"/>
                <w:lang w:val="en-US"/>
              </w:rPr>
              <w:br/>
              <w:t>Lung: 2 (2.7%)</w:t>
            </w:r>
          </w:p>
          <w:p w14:paraId="7E796EEB"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p>
        </w:tc>
        <w:tc>
          <w:tcPr>
            <w:tcW w:w="1227" w:type="pct"/>
          </w:tcPr>
          <w:p w14:paraId="13A12EB3"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Chemotherapy</w:t>
            </w:r>
          </w:p>
        </w:tc>
        <w:tc>
          <w:tcPr>
            <w:tcW w:w="1545" w:type="pct"/>
          </w:tcPr>
          <w:p w14:paraId="29895049"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rPr>
              <w:t>&gt; Score NR</w:t>
            </w:r>
          </w:p>
        </w:tc>
      </w:tr>
      <w:tr w:rsidR="008227A4" w:rsidRPr="0066602A" w14:paraId="101E31DB"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261C7E4C" w14:textId="77777777" w:rsidR="008227A4" w:rsidRPr="0066602A" w:rsidRDefault="008227A4" w:rsidP="009F150A">
            <w:pPr>
              <w:pStyle w:val="Table-Normal"/>
              <w:rPr>
                <w:bCs/>
                <w:sz w:val="20"/>
                <w:szCs w:val="20"/>
              </w:rPr>
            </w:pPr>
            <w:r w:rsidRPr="0066602A">
              <w:rPr>
                <w:sz w:val="20"/>
                <w:szCs w:val="20"/>
              </w:rPr>
              <w:t>Sanford, 2013</w:t>
            </w:r>
          </w:p>
          <w:p w14:paraId="2E25E7A7" w14:textId="77777777" w:rsidR="008227A4" w:rsidRPr="0066602A" w:rsidRDefault="008227A4" w:rsidP="009F150A">
            <w:pPr>
              <w:pStyle w:val="Table-Normal"/>
              <w:rPr>
                <w:bCs/>
                <w:sz w:val="20"/>
                <w:szCs w:val="20"/>
                <w:lang w:val="en-US"/>
              </w:rPr>
            </w:pPr>
            <w:r w:rsidRPr="0066602A">
              <w:rPr>
                <w:sz w:val="20"/>
                <w:szCs w:val="20"/>
                <w:lang w:val="en-US"/>
              </w:rPr>
              <w:t>USA</w:t>
            </w:r>
          </w:p>
          <w:p w14:paraId="7F34B46D" w14:textId="77777777" w:rsidR="008227A4" w:rsidRPr="0066602A" w:rsidRDefault="008227A4" w:rsidP="009F150A">
            <w:pPr>
              <w:pStyle w:val="Table-Normal"/>
              <w:rPr>
                <w:sz w:val="20"/>
                <w:szCs w:val="20"/>
                <w:lang w:val="en-US"/>
              </w:rPr>
            </w:pPr>
            <w:r w:rsidRPr="0066602A">
              <w:rPr>
                <w:rFonts w:cstheme="minorHAnsi"/>
                <w:color w:val="4E5053"/>
                <w:sz w:val="20"/>
                <w:szCs w:val="20"/>
                <w:lang w:val="en-US"/>
              </w:rPr>
              <w:t>Secondary analysis of a Longitudinal Prospective study, pre-chemotheray-6-month follow-up</w:t>
            </w:r>
          </w:p>
        </w:tc>
        <w:tc>
          <w:tcPr>
            <w:tcW w:w="309" w:type="pct"/>
          </w:tcPr>
          <w:p w14:paraId="23FAB3BC"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80</w:t>
            </w:r>
          </w:p>
        </w:tc>
        <w:tc>
          <w:tcPr>
            <w:tcW w:w="446" w:type="pct"/>
          </w:tcPr>
          <w:p w14:paraId="63CDE9C5"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Male - 2%</w:t>
            </w:r>
          </w:p>
          <w:p w14:paraId="6D8E066D"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- 98%</w:t>
            </w:r>
          </w:p>
          <w:p w14:paraId="7C9977F5"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Mean - 49.7</w:t>
            </w:r>
          </w:p>
        </w:tc>
        <w:tc>
          <w:tcPr>
            <w:tcW w:w="827" w:type="pct"/>
          </w:tcPr>
          <w:p w14:paraId="269BF5A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Breast cancer: 80 (100%)</w:t>
            </w:r>
          </w:p>
        </w:tc>
        <w:tc>
          <w:tcPr>
            <w:tcW w:w="1227" w:type="pct"/>
          </w:tcPr>
          <w:p w14:paraId="482BE70D"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Chemotherapy: 80 (100%)</w:t>
            </w:r>
          </w:p>
        </w:tc>
        <w:tc>
          <w:tcPr>
            <w:tcW w:w="1545" w:type="pct"/>
          </w:tcPr>
          <w:p w14:paraId="574BC054"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Score NR</w:t>
            </w:r>
          </w:p>
        </w:tc>
      </w:tr>
      <w:tr w:rsidR="008227A4" w:rsidRPr="0066602A" w14:paraId="5CFBB2C5"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7EEBCB98" w14:textId="77777777" w:rsidR="00D775ED" w:rsidRPr="0066602A" w:rsidRDefault="008227A4" w:rsidP="009F150A">
            <w:pPr>
              <w:pStyle w:val="Table-Normal"/>
              <w:rPr>
                <w:rFonts w:ascii="Calibri" w:hAnsi="Calibri" w:cs="Calibri"/>
                <w:bCs/>
                <w:color w:val="4E5053"/>
                <w:sz w:val="20"/>
                <w:szCs w:val="20"/>
                <w:lang w:val="en-US"/>
              </w:rPr>
            </w:pPr>
            <w:proofErr w:type="spellStart"/>
            <w:r w:rsidRPr="0066602A">
              <w:rPr>
                <w:rFonts w:ascii="Calibri" w:hAnsi="Calibri" w:cs="Calibri"/>
                <w:color w:val="4E5053"/>
                <w:sz w:val="20"/>
                <w:szCs w:val="20"/>
                <w:lang w:val="en-US"/>
              </w:rPr>
              <w:t>Teke</w:t>
            </w:r>
            <w:proofErr w:type="spellEnd"/>
            <w:r w:rsidRPr="0066602A">
              <w:rPr>
                <w:rFonts w:ascii="Calibri" w:hAnsi="Calibri" w:cs="Calibri"/>
                <w:color w:val="4E5053"/>
                <w:sz w:val="20"/>
                <w:szCs w:val="20"/>
                <w:lang w:val="en-US"/>
              </w:rPr>
              <w:t>, 2016</w:t>
            </w:r>
            <w:r w:rsidR="00DB6F2D" w:rsidRPr="0066602A">
              <w:rPr>
                <w:rFonts w:ascii="Calibri" w:hAnsi="Calibri" w:cs="Calibri"/>
                <w:color w:val="4E5053"/>
                <w:sz w:val="20"/>
                <w:szCs w:val="20"/>
                <w:lang w:val="en-US"/>
              </w:rPr>
              <w:t xml:space="preserve"> </w:t>
            </w:r>
          </w:p>
          <w:p w14:paraId="716B6224" w14:textId="51D1F689" w:rsidR="008227A4" w:rsidRPr="0066602A" w:rsidRDefault="008227A4" w:rsidP="009F150A">
            <w:pPr>
              <w:pStyle w:val="Table-Normal"/>
              <w:rPr>
                <w:rFonts w:ascii="Calibri" w:hAnsi="Calibri" w:cs="Calibri"/>
                <w:color w:val="4E5053"/>
                <w:sz w:val="20"/>
                <w:szCs w:val="20"/>
                <w:lang w:val="en-US"/>
              </w:rPr>
            </w:pPr>
            <w:r w:rsidRPr="0066602A">
              <w:rPr>
                <w:rFonts w:ascii="Calibri" w:hAnsi="Calibri" w:cs="Calibri"/>
                <w:color w:val="4E5053"/>
                <w:sz w:val="20"/>
                <w:szCs w:val="20"/>
                <w:lang w:val="en-US"/>
              </w:rPr>
              <w:t>Turkey</w:t>
            </w:r>
          </w:p>
          <w:p w14:paraId="3FA0F923" w14:textId="77777777" w:rsidR="008227A4" w:rsidRPr="0066602A" w:rsidRDefault="008227A4" w:rsidP="009F150A">
            <w:pPr>
              <w:pStyle w:val="Table-Normal"/>
              <w:rPr>
                <w:sz w:val="20"/>
                <w:szCs w:val="20"/>
                <w:lang w:val="en-US"/>
              </w:rPr>
            </w:pPr>
            <w:r w:rsidRPr="0066602A">
              <w:rPr>
                <w:rFonts w:ascii="Calibri" w:hAnsi="Calibri" w:cs="Calibri"/>
                <w:color w:val="4E5053"/>
                <w:sz w:val="20"/>
                <w:szCs w:val="20"/>
                <w:lang w:val="en-US"/>
              </w:rPr>
              <w:t xml:space="preserve">Prospective study, November </w:t>
            </w:r>
            <w:proofErr w:type="gramStart"/>
            <w:r w:rsidRPr="0066602A">
              <w:rPr>
                <w:rFonts w:ascii="Calibri" w:hAnsi="Calibri" w:cs="Calibri"/>
                <w:color w:val="4E5053"/>
                <w:sz w:val="20"/>
                <w:szCs w:val="20"/>
                <w:lang w:val="en-US"/>
              </w:rPr>
              <w:t>2013</w:t>
            </w:r>
            <w:proofErr w:type="gramEnd"/>
            <w:r w:rsidRPr="0066602A">
              <w:rPr>
                <w:rFonts w:ascii="Calibri" w:hAnsi="Calibri" w:cs="Calibri"/>
                <w:color w:val="4E5053"/>
                <w:sz w:val="20"/>
                <w:szCs w:val="20"/>
                <w:lang w:val="en-US"/>
              </w:rPr>
              <w:t xml:space="preserve"> and March 2015</w:t>
            </w:r>
          </w:p>
        </w:tc>
        <w:tc>
          <w:tcPr>
            <w:tcW w:w="309" w:type="pct"/>
          </w:tcPr>
          <w:p w14:paraId="1D828983"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33</w:t>
            </w:r>
          </w:p>
        </w:tc>
        <w:tc>
          <w:tcPr>
            <w:tcW w:w="446" w:type="pct"/>
          </w:tcPr>
          <w:p w14:paraId="33E2193E"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- 56.74</w:t>
            </w:r>
          </w:p>
        </w:tc>
        <w:tc>
          <w:tcPr>
            <w:tcW w:w="827" w:type="pct"/>
          </w:tcPr>
          <w:p w14:paraId="03EF3146"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Breast (n=9)</w:t>
            </w:r>
            <w:r w:rsidRPr="0066602A">
              <w:rPr>
                <w:rFonts w:cstheme="minorHAnsi"/>
                <w:color w:val="4E5053"/>
                <w:sz w:val="20"/>
                <w:szCs w:val="20"/>
                <w:lang w:val="en-US"/>
              </w:rPr>
              <w:br/>
              <w:t>Gastric (n=1)</w:t>
            </w:r>
            <w:r w:rsidRPr="0066602A">
              <w:rPr>
                <w:rFonts w:cstheme="minorHAnsi"/>
                <w:color w:val="4E5053"/>
                <w:sz w:val="20"/>
                <w:szCs w:val="20"/>
                <w:lang w:val="en-US"/>
              </w:rPr>
              <w:br/>
              <w:t>Kidney (n=1)</w:t>
            </w:r>
            <w:r w:rsidRPr="0066602A">
              <w:rPr>
                <w:rFonts w:cstheme="minorHAnsi"/>
                <w:color w:val="4E5053"/>
                <w:sz w:val="20"/>
                <w:szCs w:val="20"/>
                <w:lang w:val="en-US"/>
              </w:rPr>
              <w:br/>
              <w:t>Lung (n=20)</w:t>
            </w:r>
            <w:r w:rsidRPr="0066602A">
              <w:rPr>
                <w:rFonts w:cstheme="minorHAnsi"/>
                <w:color w:val="4E5053"/>
                <w:sz w:val="20"/>
                <w:szCs w:val="20"/>
                <w:lang w:val="en-US"/>
              </w:rPr>
              <w:br/>
              <w:t>Ovarian (n=1)</w:t>
            </w:r>
            <w:r w:rsidRPr="0066602A">
              <w:rPr>
                <w:rFonts w:cstheme="minorHAnsi"/>
                <w:color w:val="4E5053"/>
                <w:sz w:val="20"/>
                <w:szCs w:val="20"/>
                <w:lang w:val="en-US"/>
              </w:rPr>
              <w:br/>
              <w:t>Prostate (n=1)</w:t>
            </w:r>
          </w:p>
          <w:p w14:paraId="0A42046E"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cstheme="minorHAnsi"/>
                <w:color w:val="4E5053"/>
                <w:sz w:val="20"/>
                <w:szCs w:val="20"/>
                <w:lang w:val="en-US"/>
              </w:rPr>
            </w:pPr>
          </w:p>
        </w:tc>
        <w:tc>
          <w:tcPr>
            <w:tcW w:w="1227" w:type="pct"/>
          </w:tcPr>
          <w:p w14:paraId="21B093B4"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color w:val="4E5053"/>
                <w:sz w:val="20"/>
                <w:szCs w:val="20"/>
                <w:lang w:val="en-US"/>
              </w:rPr>
              <w:t>Whole brain radiation therapy (WBRT)</w:t>
            </w:r>
            <w:r w:rsidRPr="0066602A">
              <w:rPr>
                <w:rFonts w:cstheme="minorHAnsi"/>
                <w:color w:val="4E5053"/>
                <w:sz w:val="20"/>
                <w:szCs w:val="20"/>
                <w:lang w:val="en-US"/>
              </w:rPr>
              <w:br/>
              <w:t>dexamethasone</w:t>
            </w:r>
          </w:p>
        </w:tc>
        <w:tc>
          <w:tcPr>
            <w:tcW w:w="1545" w:type="pct"/>
          </w:tcPr>
          <w:p w14:paraId="0E1F2C85"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rPr>
              <w:t>&gt; Score NR</w:t>
            </w:r>
          </w:p>
        </w:tc>
      </w:tr>
      <w:tr w:rsidR="008227A4" w:rsidRPr="0066602A" w14:paraId="695B21A5" w14:textId="77777777" w:rsidTr="00A049DF">
        <w:trPr>
          <w:cnfStyle w:val="000000010000" w:firstRow="0" w:lastRow="0" w:firstColumn="0" w:lastColumn="0" w:oddVBand="0" w:evenVBand="0" w:oddHBand="0" w:evenHBand="1"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ED6FF" w:themeFill="accent6" w:themeFillTint="33"/>
          </w:tcPr>
          <w:p w14:paraId="3F062235" w14:textId="3655B82D" w:rsidR="008227A4" w:rsidRPr="0066602A" w:rsidRDefault="008227A4" w:rsidP="009F150A">
            <w:pPr>
              <w:pStyle w:val="Table-Normal"/>
              <w:rPr>
                <w:b/>
                <w:bCs/>
                <w:sz w:val="20"/>
                <w:szCs w:val="20"/>
              </w:rPr>
            </w:pPr>
            <w:r w:rsidRPr="0066602A">
              <w:rPr>
                <w:b/>
                <w:bCs/>
                <w:sz w:val="20"/>
                <w:szCs w:val="20"/>
                <w:lang w:val="en-US"/>
              </w:rPr>
              <w:t>EORTC-QLQ-C30 (6</w:t>
            </w:r>
            <w:r w:rsidR="00D31DE7" w:rsidRPr="0066602A">
              <w:rPr>
                <w:b/>
                <w:bCs/>
                <w:sz w:val="20"/>
                <w:szCs w:val="20"/>
                <w:lang w:val="en-US"/>
              </w:rPr>
              <w:t xml:space="preserve"> studies</w:t>
            </w:r>
            <w:r w:rsidRPr="0066602A">
              <w:rPr>
                <w:b/>
                <w:bCs/>
                <w:sz w:val="20"/>
                <w:szCs w:val="20"/>
                <w:lang w:val="en-US"/>
              </w:rPr>
              <w:t>)</w:t>
            </w:r>
          </w:p>
        </w:tc>
      </w:tr>
      <w:tr w:rsidR="008227A4" w:rsidRPr="0066602A" w14:paraId="02C8B01C"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6826A156" w14:textId="77777777" w:rsidR="008227A4" w:rsidRPr="0066602A" w:rsidRDefault="008227A4" w:rsidP="009F150A">
            <w:pPr>
              <w:pStyle w:val="Table-Normal"/>
              <w:rPr>
                <w:bCs/>
                <w:sz w:val="20"/>
                <w:szCs w:val="20"/>
              </w:rPr>
            </w:pPr>
            <w:r w:rsidRPr="0066602A">
              <w:rPr>
                <w:sz w:val="20"/>
                <w:szCs w:val="20"/>
              </w:rPr>
              <w:t>Evangelista, 2012</w:t>
            </w:r>
          </w:p>
          <w:p w14:paraId="2D085DC0" w14:textId="77777777" w:rsidR="008227A4" w:rsidRPr="0066602A" w:rsidRDefault="008227A4" w:rsidP="009F150A">
            <w:pPr>
              <w:pStyle w:val="Table-Normal"/>
              <w:rPr>
                <w:bCs/>
                <w:sz w:val="20"/>
                <w:szCs w:val="20"/>
              </w:rPr>
            </w:pPr>
            <w:r w:rsidRPr="0066602A">
              <w:rPr>
                <w:sz w:val="20"/>
                <w:szCs w:val="20"/>
              </w:rPr>
              <w:t>Brazil</w:t>
            </w:r>
          </w:p>
          <w:p w14:paraId="35014BBE" w14:textId="77777777" w:rsidR="008227A4" w:rsidRPr="0066602A" w:rsidRDefault="008227A4" w:rsidP="009F150A">
            <w:pPr>
              <w:pStyle w:val="Table-Normal"/>
              <w:rPr>
                <w:sz w:val="20"/>
                <w:szCs w:val="20"/>
              </w:rPr>
            </w:pPr>
            <w:r w:rsidRPr="0066602A">
              <w:rPr>
                <w:rFonts w:cstheme="minorHAnsi"/>
                <w:sz w:val="20"/>
                <w:szCs w:val="20"/>
                <w:lang w:val="en-US"/>
              </w:rPr>
              <w:t>NR, 3-24 months</w:t>
            </w:r>
          </w:p>
        </w:tc>
        <w:tc>
          <w:tcPr>
            <w:tcW w:w="309" w:type="pct"/>
          </w:tcPr>
          <w:p w14:paraId="0DC38C52"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sz w:val="20"/>
                <w:szCs w:val="20"/>
                <w:lang w:val="en-US"/>
              </w:rPr>
              <w:t>138</w:t>
            </w:r>
          </w:p>
        </w:tc>
        <w:tc>
          <w:tcPr>
            <w:tcW w:w="446" w:type="pct"/>
          </w:tcPr>
          <w:p w14:paraId="21EAE687"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- 51</w:t>
            </w:r>
          </w:p>
        </w:tc>
        <w:tc>
          <w:tcPr>
            <w:tcW w:w="827" w:type="pct"/>
          </w:tcPr>
          <w:p w14:paraId="4B9AA07C"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sz w:val="20"/>
                <w:szCs w:val="20"/>
                <w:lang w:val="en-US"/>
              </w:rPr>
              <w:t>Breast cancer: 138 (100%)</w:t>
            </w:r>
          </w:p>
        </w:tc>
        <w:tc>
          <w:tcPr>
            <w:tcW w:w="1227" w:type="pct"/>
          </w:tcPr>
          <w:p w14:paraId="060B8DEA" w14:textId="03CEDA9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cstheme="minorHAnsi"/>
                <w:sz w:val="20"/>
                <w:szCs w:val="20"/>
                <w:lang w:val="en-US"/>
              </w:rPr>
              <w:t>Patients included were those who have been treated with curative intent and concluded adjuvant chemotherapy 3–24 months prior who may or may not be using hormone therapy</w:t>
            </w:r>
            <w:r w:rsidRPr="0066602A">
              <w:rPr>
                <w:rFonts w:cstheme="minorHAnsi"/>
                <w:sz w:val="20"/>
                <w:szCs w:val="20"/>
                <w:lang w:val="en-US"/>
              </w:rPr>
              <w:br/>
              <w:t>Chemotherapy: 87 (63%)</w:t>
            </w:r>
            <w:r w:rsidRPr="0066602A">
              <w:rPr>
                <w:rFonts w:cstheme="minorHAnsi"/>
                <w:sz w:val="20"/>
                <w:szCs w:val="20"/>
                <w:lang w:val="en-US"/>
              </w:rPr>
              <w:br/>
            </w:r>
            <w:r w:rsidR="00480763" w:rsidRPr="0066602A">
              <w:rPr>
                <w:rFonts w:cstheme="minorHAnsi"/>
                <w:sz w:val="20"/>
                <w:szCs w:val="20"/>
                <w:lang w:val="en-US"/>
              </w:rPr>
              <w:lastRenderedPageBreak/>
              <w:t xml:space="preserve">Radiation </w:t>
            </w:r>
            <w:r w:rsidRPr="0066602A">
              <w:rPr>
                <w:rFonts w:cstheme="minorHAnsi"/>
                <w:sz w:val="20"/>
                <w:szCs w:val="20"/>
                <w:lang w:val="en-US"/>
              </w:rPr>
              <w:t>therapy: 89 (64.5%)</w:t>
            </w:r>
            <w:r w:rsidRPr="0066602A">
              <w:rPr>
                <w:rFonts w:cstheme="minorHAnsi"/>
                <w:sz w:val="20"/>
                <w:szCs w:val="20"/>
                <w:lang w:val="en-US"/>
              </w:rPr>
              <w:br/>
              <w:t>Hormone therapy: 76 (55.1%)</w:t>
            </w:r>
          </w:p>
        </w:tc>
        <w:tc>
          <w:tcPr>
            <w:tcW w:w="1545" w:type="pct"/>
          </w:tcPr>
          <w:p w14:paraId="04500DD2"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lastRenderedPageBreak/>
              <w:t xml:space="preserve">&gt; EORTC-C30 insomnia and POMS </w:t>
            </w:r>
            <w:proofErr w:type="spellStart"/>
            <w:r w:rsidRPr="0066602A">
              <w:rPr>
                <w:sz w:val="20"/>
                <w:szCs w:val="20"/>
              </w:rPr>
              <w:t>vigor</w:t>
            </w:r>
            <w:proofErr w:type="spellEnd"/>
            <w:r w:rsidRPr="0066602A">
              <w:rPr>
                <w:sz w:val="20"/>
                <w:szCs w:val="20"/>
              </w:rPr>
              <w:t xml:space="preserve"> (r): −0.034</w:t>
            </w:r>
          </w:p>
          <w:p w14:paraId="0E2EF387"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POMS confusions (r): 0.190*</w:t>
            </w:r>
          </w:p>
          <w:p w14:paraId="3A414B66"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POMS tension (r): 0.319*</w:t>
            </w:r>
          </w:p>
          <w:p w14:paraId="75F65B39"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POMS depression (r): 0.387*</w:t>
            </w:r>
          </w:p>
          <w:p w14:paraId="07168B61"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lastRenderedPageBreak/>
              <w:t>&gt; EORTC-C30 insomnia and POMS anger (r): 0.270*</w:t>
            </w:r>
          </w:p>
          <w:p w14:paraId="06EDAA7C"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 xml:space="preserve">&gt; EORTC-C30 insomnia and </w:t>
            </w:r>
            <w:bookmarkStart w:id="39" w:name="_Hlk129788130"/>
            <w:r w:rsidRPr="0066602A">
              <w:rPr>
                <w:sz w:val="20"/>
                <w:szCs w:val="20"/>
              </w:rPr>
              <w:t xml:space="preserve">EORTC-QLQBR </w:t>
            </w:r>
            <w:bookmarkEnd w:id="39"/>
            <w:r w:rsidRPr="0066602A">
              <w:rPr>
                <w:sz w:val="20"/>
                <w:szCs w:val="20"/>
              </w:rPr>
              <w:t>23 corporal image (r</w:t>
            </w:r>
            <w:proofErr w:type="gramStart"/>
            <w:r w:rsidRPr="0066602A">
              <w:rPr>
                <w:sz w:val="20"/>
                <w:szCs w:val="20"/>
              </w:rPr>
              <w:t>):−</w:t>
            </w:r>
            <w:proofErr w:type="gramEnd"/>
            <w:r w:rsidRPr="0066602A">
              <w:rPr>
                <w:sz w:val="20"/>
                <w:szCs w:val="20"/>
              </w:rPr>
              <w:t>0.764*</w:t>
            </w:r>
          </w:p>
          <w:p w14:paraId="66B20AE5"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EORTC-QLQBR 23 sexual function (r): −0.225*</w:t>
            </w:r>
          </w:p>
          <w:p w14:paraId="5758E7B4"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ORTC-QLQBR 23 sexual satisfaction (r): −0.293*</w:t>
            </w:r>
          </w:p>
          <w:p w14:paraId="08BDCF8B"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EORTC-QLQBR 23 future perspective (r): −0.317*</w:t>
            </w:r>
          </w:p>
          <w:p w14:paraId="74CFB13A"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EORTC-QLQC23 side effects of systemic therapy (r): 0.401*</w:t>
            </w:r>
          </w:p>
          <w:p w14:paraId="5ECF04F1"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EORTC-QLQC23 breast symptoms (r): 0.582*</w:t>
            </w:r>
          </w:p>
          <w:p w14:paraId="46FD6997"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sz w:val="20"/>
                <w:szCs w:val="20"/>
              </w:rPr>
              <w:t>&gt; EORTC-C30 insomnia and EORTC-QL Q-C23 arm symptoms (r): 0.550*</w:t>
            </w:r>
          </w:p>
        </w:tc>
      </w:tr>
      <w:tr w:rsidR="008227A4" w:rsidRPr="0066602A" w14:paraId="3A974892"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6818C503" w14:textId="77777777" w:rsidR="008227A4" w:rsidRPr="0066602A" w:rsidRDefault="008227A4" w:rsidP="009F150A">
            <w:pPr>
              <w:pStyle w:val="Table-Normal"/>
              <w:rPr>
                <w:bCs/>
                <w:sz w:val="20"/>
                <w:szCs w:val="20"/>
              </w:rPr>
            </w:pPr>
            <w:r w:rsidRPr="0066602A">
              <w:rPr>
                <w:sz w:val="20"/>
                <w:szCs w:val="20"/>
              </w:rPr>
              <w:lastRenderedPageBreak/>
              <w:t>Kramer, 2000</w:t>
            </w:r>
          </w:p>
          <w:p w14:paraId="194AEFB1"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Brussels</w:t>
            </w:r>
          </w:p>
          <w:p w14:paraId="6ADA1D7C" w14:textId="77777777" w:rsidR="008227A4" w:rsidRPr="0066602A" w:rsidRDefault="008227A4" w:rsidP="009F150A">
            <w:pPr>
              <w:pStyle w:val="Table-Normal"/>
              <w:rPr>
                <w:sz w:val="20"/>
                <w:szCs w:val="20"/>
              </w:rPr>
            </w:pPr>
            <w:r w:rsidRPr="0066602A">
              <w:rPr>
                <w:rFonts w:ascii="Calibri" w:hAnsi="Calibri" w:cs="Calibri"/>
                <w:color w:val="4E5053"/>
                <w:sz w:val="20"/>
                <w:szCs w:val="20"/>
                <w:lang w:val="en-US"/>
              </w:rPr>
              <w:t>Exploratory prognostic factor analysis from a randomized phase II/III trial, September 1993-April 1996</w:t>
            </w:r>
          </w:p>
        </w:tc>
        <w:tc>
          <w:tcPr>
            <w:tcW w:w="309" w:type="pct"/>
          </w:tcPr>
          <w:p w14:paraId="4CAA0320"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lang w:val="en-US"/>
              </w:rPr>
              <w:t>187</w:t>
            </w:r>
          </w:p>
        </w:tc>
        <w:tc>
          <w:tcPr>
            <w:tcW w:w="446" w:type="pct"/>
          </w:tcPr>
          <w:p w14:paraId="3146BDD0"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lang w:val="en-US"/>
              </w:rPr>
              <w:t>Female - 100%</w:t>
            </w:r>
            <w:r w:rsidRPr="0066602A">
              <w:rPr>
                <w:rFonts w:ascii="Calibri" w:hAnsi="Calibri" w:cs="Calibri"/>
                <w:color w:val="4E5053"/>
                <w:sz w:val="20"/>
                <w:szCs w:val="20"/>
                <w:lang w:val="en-US"/>
              </w:rPr>
              <w:br/>
              <w:t>Mean - NR</w:t>
            </w:r>
          </w:p>
        </w:tc>
        <w:tc>
          <w:tcPr>
            <w:tcW w:w="827" w:type="pct"/>
          </w:tcPr>
          <w:p w14:paraId="01ECB094"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lang w:val="en-US"/>
              </w:rPr>
              <w:t>Breast Cancer: 100%</w:t>
            </w:r>
          </w:p>
        </w:tc>
        <w:tc>
          <w:tcPr>
            <w:tcW w:w="1227" w:type="pct"/>
          </w:tcPr>
          <w:p w14:paraId="703ED356"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lang w:val="en-US"/>
              </w:rPr>
              <w:t>Chemotherapy:</w:t>
            </w:r>
            <w:r w:rsidRPr="0066602A">
              <w:rPr>
                <w:rFonts w:ascii="Calibri" w:hAnsi="Calibri" w:cs="Calibri"/>
                <w:color w:val="4E5053"/>
                <w:sz w:val="20"/>
                <w:szCs w:val="20"/>
                <w:lang w:val="en-US"/>
              </w:rPr>
              <w:br/>
              <w:t>Paclitaxel: 94 (50.3%)</w:t>
            </w:r>
            <w:r w:rsidRPr="0066602A">
              <w:rPr>
                <w:rFonts w:ascii="Calibri" w:hAnsi="Calibri" w:cs="Calibri"/>
                <w:color w:val="4E5053"/>
                <w:sz w:val="20"/>
                <w:szCs w:val="20"/>
                <w:lang w:val="en-US"/>
              </w:rPr>
              <w:br/>
              <w:t>Doxorubicin: 93 (49.7%)</w:t>
            </w:r>
          </w:p>
        </w:tc>
        <w:tc>
          <w:tcPr>
            <w:tcW w:w="1545" w:type="pct"/>
          </w:tcPr>
          <w:p w14:paraId="353E8594"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b/>
                <w:bCs w:val="0"/>
                <w:color w:val="4E5053"/>
                <w:sz w:val="20"/>
                <w:szCs w:val="20"/>
              </w:rPr>
              <w:t>Correlation matrix for</w:t>
            </w:r>
            <w:r w:rsidRPr="0066602A">
              <w:rPr>
                <w:rFonts w:ascii="Calibri" w:hAnsi="Calibri" w:cs="Calibri"/>
                <w:color w:val="4E5053"/>
                <w:sz w:val="20"/>
                <w:szCs w:val="20"/>
              </w:rPr>
              <w:t>:</w:t>
            </w:r>
            <w:r w:rsidRPr="0066602A">
              <w:rPr>
                <w:rFonts w:ascii="Calibri" w:hAnsi="Calibri" w:cs="Calibri"/>
                <w:color w:val="4E5053"/>
                <w:sz w:val="20"/>
                <w:szCs w:val="20"/>
              </w:rPr>
              <w:br/>
              <w:t>&gt; Insomnia and physical functional: 0.044</w:t>
            </w:r>
            <w:r w:rsidRPr="0066602A">
              <w:rPr>
                <w:rFonts w:ascii="Calibri" w:hAnsi="Calibri" w:cs="Calibri"/>
                <w:color w:val="4E5053"/>
                <w:sz w:val="20"/>
                <w:szCs w:val="20"/>
              </w:rPr>
              <w:br/>
              <w:t>&gt; Insomnia and role function: -0.201</w:t>
            </w:r>
            <w:r w:rsidRPr="0066602A">
              <w:rPr>
                <w:rFonts w:ascii="Calibri" w:hAnsi="Calibri" w:cs="Calibri"/>
                <w:color w:val="4E5053"/>
                <w:sz w:val="20"/>
                <w:szCs w:val="20"/>
              </w:rPr>
              <w:br/>
              <w:t>&gt; Insomnia and emotional function: -0.301</w:t>
            </w:r>
            <w:r w:rsidRPr="0066602A">
              <w:rPr>
                <w:rFonts w:ascii="Calibri" w:hAnsi="Calibri" w:cs="Calibri"/>
                <w:color w:val="4E5053"/>
                <w:sz w:val="20"/>
                <w:szCs w:val="20"/>
              </w:rPr>
              <w:br/>
              <w:t>&gt; Insomnia and cognitive function: -0.116</w:t>
            </w:r>
            <w:r w:rsidRPr="0066602A">
              <w:rPr>
                <w:rFonts w:ascii="Calibri" w:hAnsi="Calibri" w:cs="Calibri"/>
                <w:color w:val="4E5053"/>
                <w:sz w:val="20"/>
                <w:szCs w:val="20"/>
              </w:rPr>
              <w:br/>
              <w:t xml:space="preserve">&gt; Insomnia and social function: -0.186 </w:t>
            </w:r>
            <w:r w:rsidRPr="0066602A">
              <w:rPr>
                <w:rFonts w:ascii="Calibri" w:hAnsi="Calibri" w:cs="Calibri"/>
                <w:color w:val="4E5053"/>
                <w:sz w:val="20"/>
                <w:szCs w:val="20"/>
              </w:rPr>
              <w:br/>
              <w:t xml:space="preserve">&gt; Insomnia and fatigue: 0.203 </w:t>
            </w:r>
            <w:r w:rsidRPr="0066602A">
              <w:rPr>
                <w:rFonts w:ascii="Calibri" w:hAnsi="Calibri" w:cs="Calibri"/>
                <w:color w:val="4E5053"/>
                <w:sz w:val="20"/>
                <w:szCs w:val="20"/>
              </w:rPr>
              <w:br/>
              <w:t xml:space="preserve">&gt; Insomnia and Nausea and vomiting: 0.117 </w:t>
            </w:r>
            <w:r w:rsidRPr="0066602A">
              <w:rPr>
                <w:rFonts w:ascii="Calibri" w:hAnsi="Calibri" w:cs="Calibri"/>
                <w:color w:val="4E5053"/>
                <w:sz w:val="20"/>
                <w:szCs w:val="20"/>
              </w:rPr>
              <w:br/>
              <w:t xml:space="preserve">&gt; Insomnia and pain: 0.201 </w:t>
            </w:r>
            <w:r w:rsidRPr="0066602A">
              <w:rPr>
                <w:rFonts w:ascii="Calibri" w:hAnsi="Calibri" w:cs="Calibri"/>
                <w:color w:val="4E5053"/>
                <w:sz w:val="20"/>
                <w:szCs w:val="20"/>
              </w:rPr>
              <w:br/>
              <w:t xml:space="preserve">&gt; Insomnia and </w:t>
            </w:r>
            <w:proofErr w:type="spellStart"/>
            <w:r w:rsidRPr="0066602A">
              <w:rPr>
                <w:rFonts w:ascii="Calibri" w:hAnsi="Calibri" w:cs="Calibri"/>
                <w:color w:val="4E5053"/>
                <w:sz w:val="20"/>
                <w:szCs w:val="20"/>
              </w:rPr>
              <w:t>dyspnea</w:t>
            </w:r>
            <w:proofErr w:type="spellEnd"/>
            <w:r w:rsidRPr="0066602A">
              <w:rPr>
                <w:rFonts w:ascii="Calibri" w:hAnsi="Calibri" w:cs="Calibri"/>
                <w:color w:val="4E5053"/>
                <w:sz w:val="20"/>
                <w:szCs w:val="20"/>
              </w:rPr>
              <w:t>: 0.037</w:t>
            </w:r>
          </w:p>
        </w:tc>
      </w:tr>
      <w:tr w:rsidR="008227A4" w:rsidRPr="0066602A" w14:paraId="5C5777D0"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58C7DFA8" w14:textId="77777777" w:rsidR="008227A4" w:rsidRPr="0066602A" w:rsidRDefault="008227A4" w:rsidP="009F150A">
            <w:pPr>
              <w:pStyle w:val="Table-Normal"/>
              <w:rPr>
                <w:bCs/>
                <w:sz w:val="20"/>
                <w:szCs w:val="20"/>
              </w:rPr>
            </w:pPr>
            <w:r w:rsidRPr="0066602A">
              <w:rPr>
                <w:sz w:val="20"/>
                <w:szCs w:val="20"/>
              </w:rPr>
              <w:t>Lis, 2008</w:t>
            </w:r>
          </w:p>
          <w:p w14:paraId="06DC08FA" w14:textId="77777777" w:rsidR="008227A4" w:rsidRPr="0066602A" w:rsidRDefault="008227A4" w:rsidP="009F150A">
            <w:pPr>
              <w:pStyle w:val="Table-Normal"/>
              <w:rPr>
                <w:rFonts w:cstheme="minorHAnsi"/>
                <w:sz w:val="20"/>
                <w:szCs w:val="20"/>
                <w:lang w:val="en-US"/>
              </w:rPr>
            </w:pPr>
            <w:r w:rsidRPr="0066602A">
              <w:rPr>
                <w:rFonts w:cstheme="minorHAnsi"/>
                <w:sz w:val="20"/>
                <w:szCs w:val="20"/>
                <w:lang w:val="en-US"/>
              </w:rPr>
              <w:t>USA</w:t>
            </w:r>
          </w:p>
          <w:p w14:paraId="4251033C" w14:textId="77777777" w:rsidR="008227A4" w:rsidRPr="0066602A" w:rsidRDefault="008227A4" w:rsidP="009F150A">
            <w:pPr>
              <w:pStyle w:val="Table-Normal"/>
              <w:rPr>
                <w:sz w:val="20"/>
                <w:szCs w:val="20"/>
              </w:rPr>
            </w:pPr>
            <w:r w:rsidRPr="0066602A">
              <w:rPr>
                <w:rFonts w:cstheme="minorHAnsi"/>
                <w:sz w:val="20"/>
                <w:szCs w:val="20"/>
                <w:lang w:val="en-US"/>
              </w:rPr>
              <w:t>Case series, 3 years</w:t>
            </w:r>
          </w:p>
        </w:tc>
        <w:tc>
          <w:tcPr>
            <w:tcW w:w="309" w:type="pct"/>
          </w:tcPr>
          <w:p w14:paraId="38F5F947"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sz w:val="20"/>
                <w:szCs w:val="20"/>
                <w:lang w:val="en-US"/>
              </w:rPr>
              <w:t>954</w:t>
            </w:r>
          </w:p>
        </w:tc>
        <w:tc>
          <w:tcPr>
            <w:tcW w:w="446" w:type="pct"/>
          </w:tcPr>
          <w:p w14:paraId="4F68E286"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lang w:val="en-US"/>
              </w:rPr>
              <w:t>Male - 39%</w:t>
            </w:r>
            <w:r w:rsidRPr="0066602A">
              <w:rPr>
                <w:rFonts w:ascii="Calibri" w:hAnsi="Calibri" w:cs="Calibri"/>
                <w:color w:val="4E5053"/>
                <w:sz w:val="20"/>
                <w:szCs w:val="20"/>
                <w:lang w:val="en-US"/>
              </w:rPr>
              <w:br/>
              <w:t>Female - 61%</w:t>
            </w:r>
            <w:r w:rsidRPr="0066602A">
              <w:rPr>
                <w:rFonts w:ascii="Calibri" w:hAnsi="Calibri" w:cs="Calibri"/>
                <w:color w:val="4E5053"/>
                <w:sz w:val="20"/>
                <w:szCs w:val="20"/>
                <w:lang w:val="en-US"/>
              </w:rPr>
              <w:br/>
              <w:t>Mean – 55.7</w:t>
            </w:r>
          </w:p>
        </w:tc>
        <w:tc>
          <w:tcPr>
            <w:tcW w:w="827" w:type="pct"/>
          </w:tcPr>
          <w:p w14:paraId="05C6FE55"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sz w:val="20"/>
                <w:szCs w:val="20"/>
                <w:lang w:val="en-US"/>
              </w:rPr>
              <w:t>Breast: 251 (26.3%)</w:t>
            </w:r>
            <w:r w:rsidRPr="0066602A">
              <w:rPr>
                <w:rFonts w:cstheme="minorHAnsi"/>
                <w:sz w:val="20"/>
                <w:szCs w:val="20"/>
                <w:lang w:val="en-US"/>
              </w:rPr>
              <w:br/>
              <w:t>Colorectal: 177 (18.6%)</w:t>
            </w:r>
            <w:r w:rsidRPr="0066602A">
              <w:rPr>
                <w:rFonts w:cstheme="minorHAnsi"/>
                <w:sz w:val="20"/>
                <w:szCs w:val="20"/>
                <w:lang w:val="en-US"/>
              </w:rPr>
              <w:br/>
              <w:t>Lung: 156 (16.4%)</w:t>
            </w:r>
            <w:r w:rsidRPr="0066602A">
              <w:rPr>
                <w:rFonts w:cstheme="minorHAnsi"/>
                <w:sz w:val="20"/>
                <w:szCs w:val="20"/>
                <w:lang w:val="en-US"/>
              </w:rPr>
              <w:br/>
              <w:t>Pancreas: 55 (5.8%)</w:t>
            </w:r>
            <w:r w:rsidRPr="0066602A">
              <w:rPr>
                <w:rFonts w:cstheme="minorHAnsi"/>
                <w:sz w:val="20"/>
                <w:szCs w:val="20"/>
                <w:lang w:val="en-US"/>
              </w:rPr>
              <w:br/>
              <w:t>Prostate: 43 (4.5%)</w:t>
            </w:r>
            <w:r w:rsidRPr="0066602A">
              <w:rPr>
                <w:rFonts w:cstheme="minorHAnsi"/>
                <w:sz w:val="20"/>
                <w:szCs w:val="20"/>
                <w:lang w:val="en-US"/>
              </w:rPr>
              <w:br/>
              <w:t>Others: 272 (28.5%)</w:t>
            </w:r>
          </w:p>
        </w:tc>
        <w:tc>
          <w:tcPr>
            <w:tcW w:w="1227" w:type="pct"/>
          </w:tcPr>
          <w:p w14:paraId="3E17B994"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sz w:val="20"/>
                <w:szCs w:val="20"/>
                <w:lang w:val="en-US"/>
              </w:rPr>
              <w:t>NR</w:t>
            </w:r>
          </w:p>
        </w:tc>
        <w:tc>
          <w:tcPr>
            <w:tcW w:w="1545" w:type="pct"/>
          </w:tcPr>
          <w:p w14:paraId="2F372D2C"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rPr>
              <w:t>QLQ-C30 insomnia subscale scores:</w:t>
            </w:r>
          </w:p>
          <w:p w14:paraId="72CCB29E"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rPr>
              <w:t>Mean: 43.5</w:t>
            </w:r>
          </w:p>
          <w:p w14:paraId="31ED5C19"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rPr>
              <w:t>Median: 33.3</w:t>
            </w:r>
          </w:p>
          <w:p w14:paraId="79F2F8EE"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ascii="Calibri" w:hAnsi="Calibri" w:cs="Calibri"/>
                <w:color w:val="4E5053"/>
                <w:sz w:val="20"/>
                <w:szCs w:val="20"/>
              </w:rPr>
              <w:t>SD: 35.3</w:t>
            </w:r>
          </w:p>
          <w:p w14:paraId="7944B818"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rPr>
              <w:t xml:space="preserve">Range: 0–100 </w:t>
            </w:r>
          </w:p>
        </w:tc>
      </w:tr>
      <w:tr w:rsidR="008227A4" w:rsidRPr="0066602A" w14:paraId="2566D291"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229C5396" w14:textId="77777777" w:rsidR="008227A4" w:rsidRPr="0066602A" w:rsidRDefault="008227A4" w:rsidP="009F150A">
            <w:pPr>
              <w:pStyle w:val="Table-Normal"/>
              <w:rPr>
                <w:bCs/>
                <w:sz w:val="20"/>
                <w:szCs w:val="20"/>
              </w:rPr>
            </w:pPr>
            <w:r w:rsidRPr="0066602A">
              <w:rPr>
                <w:sz w:val="20"/>
                <w:szCs w:val="20"/>
              </w:rPr>
              <w:lastRenderedPageBreak/>
              <w:t>Nishiura, 2013</w:t>
            </w:r>
          </w:p>
          <w:p w14:paraId="623F5FFB" w14:textId="77777777" w:rsidR="008227A4" w:rsidRPr="0066602A" w:rsidRDefault="008227A4" w:rsidP="009F150A">
            <w:pPr>
              <w:pStyle w:val="Table-Normal"/>
              <w:rPr>
                <w:rFonts w:ascii="Calibri" w:hAnsi="Calibri" w:cs="Calibri"/>
                <w:color w:val="4E5053"/>
                <w:sz w:val="20"/>
                <w:szCs w:val="20"/>
                <w:lang w:val="en-US"/>
              </w:rPr>
            </w:pPr>
            <w:r w:rsidRPr="0066602A">
              <w:rPr>
                <w:sz w:val="20"/>
                <w:szCs w:val="20"/>
                <w:lang w:val="en-US"/>
              </w:rPr>
              <w:t>Japan</w:t>
            </w:r>
          </w:p>
          <w:p w14:paraId="34520CC1" w14:textId="77777777" w:rsidR="008227A4" w:rsidRPr="0066602A" w:rsidRDefault="008227A4" w:rsidP="009F150A">
            <w:pPr>
              <w:pStyle w:val="Table-Normal"/>
              <w:rPr>
                <w:sz w:val="20"/>
                <w:szCs w:val="20"/>
              </w:rPr>
            </w:pPr>
            <w:r w:rsidRPr="0066602A">
              <w:rPr>
                <w:rFonts w:ascii="Calibri" w:hAnsi="Calibri" w:cs="Calibri"/>
                <w:color w:val="4E5053"/>
                <w:sz w:val="20"/>
                <w:szCs w:val="20"/>
                <w:lang w:val="en-US"/>
              </w:rPr>
              <w:t>Questionnaire, NR</w:t>
            </w:r>
          </w:p>
        </w:tc>
        <w:tc>
          <w:tcPr>
            <w:tcW w:w="309" w:type="pct"/>
          </w:tcPr>
          <w:p w14:paraId="4AC02985"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50</w:t>
            </w:r>
          </w:p>
        </w:tc>
        <w:tc>
          <w:tcPr>
            <w:tcW w:w="446" w:type="pct"/>
          </w:tcPr>
          <w:p w14:paraId="4905B240"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Male - 70%</w:t>
            </w:r>
            <w:r w:rsidRPr="0066602A">
              <w:rPr>
                <w:rFonts w:ascii="Calibri" w:hAnsi="Calibri" w:cs="Calibri"/>
                <w:color w:val="4E5053"/>
                <w:sz w:val="20"/>
                <w:szCs w:val="20"/>
                <w:lang w:val="en-US"/>
              </w:rPr>
              <w:br/>
              <w:t>Female - 30%</w:t>
            </w:r>
            <w:r w:rsidRPr="0066602A">
              <w:rPr>
                <w:rFonts w:ascii="Calibri" w:hAnsi="Calibri" w:cs="Calibri"/>
                <w:color w:val="4E5053"/>
                <w:sz w:val="20"/>
                <w:szCs w:val="20"/>
                <w:lang w:val="en-US"/>
              </w:rPr>
              <w:br/>
              <w:t>Mean - 71.8</w:t>
            </w:r>
          </w:p>
        </w:tc>
        <w:tc>
          <w:tcPr>
            <w:tcW w:w="827" w:type="pct"/>
          </w:tcPr>
          <w:p w14:paraId="7A94206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Lung cancer: 50 (100%)</w:t>
            </w:r>
          </w:p>
        </w:tc>
        <w:tc>
          <w:tcPr>
            <w:tcW w:w="1227" w:type="pct"/>
          </w:tcPr>
          <w:p w14:paraId="1FAC29D9"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lang w:val="en-US"/>
              </w:rPr>
              <w:t>Receiving chemotherapy</w:t>
            </w:r>
            <w:r w:rsidRPr="0066602A">
              <w:rPr>
                <w:rFonts w:ascii="Calibri" w:hAnsi="Calibri" w:cs="Calibri"/>
                <w:color w:val="4E5053"/>
                <w:sz w:val="20"/>
                <w:szCs w:val="20"/>
                <w:lang w:val="en-US"/>
              </w:rPr>
              <w:br/>
              <w:t>Yes (inpatient): 21 (42%)</w:t>
            </w:r>
            <w:r w:rsidRPr="0066602A">
              <w:rPr>
                <w:rFonts w:ascii="Calibri" w:hAnsi="Calibri" w:cs="Calibri"/>
                <w:color w:val="4E5053"/>
                <w:sz w:val="20"/>
                <w:szCs w:val="20"/>
                <w:lang w:val="en-US"/>
              </w:rPr>
              <w:br/>
              <w:t>Yes (outpatient): 10 (20%)</w:t>
            </w:r>
          </w:p>
        </w:tc>
        <w:tc>
          <w:tcPr>
            <w:tcW w:w="1545" w:type="pct"/>
          </w:tcPr>
          <w:p w14:paraId="2ACE2B3F"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b/>
                <w:bCs w:val="0"/>
                <w:sz w:val="20"/>
                <w:szCs w:val="20"/>
              </w:rPr>
              <w:t>Patients with sleep disturbance (AIS≥6)</w:t>
            </w:r>
            <w:r w:rsidRPr="0066602A">
              <w:rPr>
                <w:sz w:val="20"/>
                <w:szCs w:val="20"/>
              </w:rPr>
              <w:br/>
              <w:t>EORTC-QLQ–C30: 46.3 (20.2)</w:t>
            </w:r>
          </w:p>
          <w:p w14:paraId="425DD951"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b/>
                <w:bCs w:val="0"/>
                <w:sz w:val="20"/>
                <w:szCs w:val="20"/>
              </w:rPr>
              <w:t>Patients without sleep disturbance (AIS&lt;6)</w:t>
            </w:r>
            <w:r w:rsidRPr="0066602A">
              <w:rPr>
                <w:sz w:val="20"/>
                <w:szCs w:val="20"/>
              </w:rPr>
              <w:br/>
              <w:t>EORTC-QLQ–C30: 65.2 (20.7)</w:t>
            </w:r>
          </w:p>
        </w:tc>
      </w:tr>
      <w:tr w:rsidR="008227A4" w:rsidRPr="0066602A" w14:paraId="6BE7A223" w14:textId="77777777" w:rsidTr="00A04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74A8CBDB" w14:textId="77777777" w:rsidR="008227A4" w:rsidRPr="0066602A" w:rsidRDefault="008227A4" w:rsidP="009F150A">
            <w:pPr>
              <w:pStyle w:val="Table-Normal"/>
              <w:rPr>
                <w:bCs/>
                <w:sz w:val="20"/>
                <w:szCs w:val="20"/>
              </w:rPr>
            </w:pPr>
            <w:r w:rsidRPr="0066602A">
              <w:rPr>
                <w:sz w:val="20"/>
                <w:szCs w:val="20"/>
              </w:rPr>
              <w:t>Maguire, 2018</w:t>
            </w:r>
          </w:p>
          <w:p w14:paraId="0AA17FD5" w14:textId="77777777" w:rsidR="008227A4" w:rsidRPr="0066602A" w:rsidRDefault="008227A4" w:rsidP="009F150A">
            <w:pPr>
              <w:pStyle w:val="Table-Normal"/>
              <w:rPr>
                <w:rFonts w:cstheme="minorHAnsi"/>
                <w:color w:val="4E5053"/>
                <w:sz w:val="20"/>
                <w:szCs w:val="20"/>
                <w:lang w:val="en-US"/>
              </w:rPr>
            </w:pPr>
            <w:r w:rsidRPr="0066602A">
              <w:rPr>
                <w:rFonts w:cstheme="minorHAnsi"/>
                <w:color w:val="4E5053"/>
                <w:sz w:val="20"/>
                <w:szCs w:val="20"/>
                <w:lang w:val="en-US"/>
              </w:rPr>
              <w:t>Ireland</w:t>
            </w:r>
          </w:p>
          <w:p w14:paraId="70B1B7D0" w14:textId="77777777" w:rsidR="008227A4" w:rsidRPr="0066602A" w:rsidRDefault="008227A4" w:rsidP="009F150A">
            <w:pPr>
              <w:pStyle w:val="Table-Normal"/>
              <w:rPr>
                <w:sz w:val="20"/>
                <w:szCs w:val="20"/>
              </w:rPr>
            </w:pPr>
            <w:r w:rsidRPr="0066602A">
              <w:rPr>
                <w:rFonts w:cstheme="minorHAnsi"/>
                <w:color w:val="4E5053"/>
                <w:sz w:val="20"/>
                <w:szCs w:val="20"/>
                <w:lang w:val="en-US"/>
              </w:rPr>
              <w:t>Cross-Sectional Design, April-September 2012</w:t>
            </w:r>
          </w:p>
        </w:tc>
        <w:tc>
          <w:tcPr>
            <w:tcW w:w="309" w:type="pct"/>
          </w:tcPr>
          <w:p w14:paraId="6CE5918F"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3,348</w:t>
            </w:r>
          </w:p>
        </w:tc>
        <w:tc>
          <w:tcPr>
            <w:tcW w:w="446" w:type="pct"/>
          </w:tcPr>
          <w:p w14:paraId="3E0E037A"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Male - 100%</w:t>
            </w:r>
            <w:r w:rsidRPr="0066602A">
              <w:rPr>
                <w:rFonts w:cstheme="minorHAnsi"/>
                <w:color w:val="4E5053"/>
                <w:sz w:val="20"/>
                <w:szCs w:val="20"/>
                <w:lang w:val="en-US"/>
              </w:rPr>
              <w:br/>
              <w:t>Mean - NR</w:t>
            </w:r>
          </w:p>
        </w:tc>
        <w:tc>
          <w:tcPr>
            <w:tcW w:w="827" w:type="pct"/>
          </w:tcPr>
          <w:p w14:paraId="3AA821C8"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Prostate cancer survivors: 3,348 (100%)</w:t>
            </w:r>
          </w:p>
        </w:tc>
        <w:tc>
          <w:tcPr>
            <w:tcW w:w="1227" w:type="pct"/>
          </w:tcPr>
          <w:p w14:paraId="5F24D3EA" w14:textId="0EE4E683"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Prostate cancer Survivors (No more medical therapy)</w:t>
            </w:r>
            <w:r w:rsidRPr="0066602A">
              <w:rPr>
                <w:rFonts w:cstheme="minorHAnsi"/>
                <w:color w:val="4E5053"/>
                <w:sz w:val="20"/>
                <w:szCs w:val="20"/>
                <w:lang w:val="en-US"/>
              </w:rPr>
              <w:br/>
              <w:t>ADT current: 657 (20%)</w:t>
            </w:r>
            <w:r w:rsidRPr="0066602A">
              <w:rPr>
                <w:rFonts w:cstheme="minorHAnsi"/>
                <w:color w:val="4E5053"/>
                <w:sz w:val="20"/>
                <w:szCs w:val="20"/>
                <w:lang w:val="en-US"/>
              </w:rPr>
              <w:br/>
              <w:t>Previous therapy</w:t>
            </w:r>
            <w:r w:rsidRPr="0066602A">
              <w:rPr>
                <w:rFonts w:cstheme="minorHAnsi"/>
                <w:color w:val="4E5053"/>
                <w:sz w:val="20"/>
                <w:szCs w:val="20"/>
                <w:lang w:val="en-US"/>
              </w:rPr>
              <w:br/>
              <w:t>Radical prostatectomy: 934 (28%)</w:t>
            </w:r>
            <w:r w:rsidRPr="0066602A">
              <w:rPr>
                <w:rFonts w:cstheme="minorHAnsi"/>
                <w:color w:val="4E5053"/>
                <w:sz w:val="20"/>
                <w:szCs w:val="20"/>
                <w:lang w:val="en-US"/>
              </w:rPr>
              <w:br/>
              <w:t xml:space="preserve">External beam </w:t>
            </w:r>
            <w:r w:rsidR="00480763" w:rsidRPr="0066602A">
              <w:rPr>
                <w:rFonts w:cstheme="minorHAnsi"/>
                <w:color w:val="4E5053"/>
                <w:sz w:val="20"/>
                <w:szCs w:val="20"/>
                <w:lang w:val="en-US"/>
              </w:rPr>
              <w:t xml:space="preserve">radiation </w:t>
            </w:r>
            <w:r w:rsidRPr="0066602A">
              <w:rPr>
                <w:rFonts w:cstheme="minorHAnsi"/>
                <w:color w:val="4E5053"/>
                <w:sz w:val="20"/>
                <w:szCs w:val="20"/>
                <w:lang w:val="en-US"/>
              </w:rPr>
              <w:t>therapy: 1718 (51%)</w:t>
            </w:r>
            <w:r w:rsidRPr="0066602A">
              <w:rPr>
                <w:rFonts w:cstheme="minorHAnsi"/>
                <w:color w:val="4E5053"/>
                <w:sz w:val="20"/>
                <w:szCs w:val="20"/>
                <w:lang w:val="en-US"/>
              </w:rPr>
              <w:br/>
              <w:t>Brachytherapy: 183 (6%)</w:t>
            </w:r>
            <w:r w:rsidRPr="0066602A">
              <w:rPr>
                <w:rFonts w:cstheme="minorHAnsi"/>
                <w:color w:val="4E5053"/>
                <w:sz w:val="20"/>
                <w:szCs w:val="20"/>
                <w:lang w:val="en-US"/>
              </w:rPr>
              <w:br/>
              <w:t>Androgen deprivation therapy past: 912 (27%)</w:t>
            </w:r>
            <w:r w:rsidRPr="0066602A">
              <w:rPr>
                <w:rFonts w:cstheme="minorHAnsi"/>
                <w:color w:val="4E5053"/>
                <w:sz w:val="20"/>
                <w:szCs w:val="20"/>
                <w:lang w:val="en-US"/>
              </w:rPr>
              <w:br/>
              <w:t>Androgen deprivation therapy current: 657 (20%)</w:t>
            </w:r>
            <w:r w:rsidRPr="0066602A">
              <w:rPr>
                <w:rFonts w:cstheme="minorHAnsi"/>
                <w:color w:val="4E5053"/>
                <w:sz w:val="20"/>
                <w:szCs w:val="20"/>
                <w:lang w:val="en-US"/>
              </w:rPr>
              <w:br/>
              <w:t>Watchful waiting: 258 (8%) (delaying treatment until there are symptoms)</w:t>
            </w:r>
          </w:p>
        </w:tc>
        <w:tc>
          <w:tcPr>
            <w:tcW w:w="1545" w:type="pct"/>
          </w:tcPr>
          <w:p w14:paraId="22E2A52E" w14:textId="77777777" w:rsidR="008227A4" w:rsidRPr="0066602A" w:rsidRDefault="008227A4" w:rsidP="009F150A">
            <w:pPr>
              <w:pStyle w:val="Table-Normal"/>
              <w:cnfStyle w:val="000000100000" w:firstRow="0" w:lastRow="0" w:firstColumn="0" w:lastColumn="0" w:oddVBand="0" w:evenVBand="0" w:oddHBand="1" w:evenHBand="0" w:firstRowFirstColumn="0" w:firstRowLastColumn="0" w:lastRowFirstColumn="0" w:lastRowLastColumn="0"/>
              <w:rPr>
                <w:sz w:val="20"/>
                <w:szCs w:val="20"/>
              </w:rPr>
            </w:pPr>
            <w:r w:rsidRPr="0066602A">
              <w:rPr>
                <w:rFonts w:ascii="Calibri" w:hAnsi="Calibri" w:cs="Calibri"/>
                <w:color w:val="4E5053"/>
                <w:sz w:val="20"/>
                <w:szCs w:val="20"/>
              </w:rPr>
              <w:t>&gt; Score NR</w:t>
            </w:r>
          </w:p>
        </w:tc>
      </w:tr>
      <w:tr w:rsidR="008227A4" w:rsidRPr="0066602A" w14:paraId="474D2F96" w14:textId="77777777" w:rsidTr="00A049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pct"/>
          </w:tcPr>
          <w:p w14:paraId="3043FD0C" w14:textId="77777777" w:rsidR="008227A4" w:rsidRPr="0066602A" w:rsidRDefault="008227A4" w:rsidP="009F150A">
            <w:pPr>
              <w:pStyle w:val="Table-Normal"/>
              <w:rPr>
                <w:bCs/>
                <w:sz w:val="20"/>
                <w:szCs w:val="20"/>
              </w:rPr>
            </w:pPr>
            <w:proofErr w:type="spellStart"/>
            <w:r w:rsidRPr="0066602A">
              <w:rPr>
                <w:sz w:val="20"/>
                <w:szCs w:val="20"/>
              </w:rPr>
              <w:t>Steindorfet</w:t>
            </w:r>
            <w:proofErr w:type="spellEnd"/>
            <w:r w:rsidRPr="0066602A">
              <w:rPr>
                <w:sz w:val="20"/>
                <w:szCs w:val="20"/>
              </w:rPr>
              <w:t>, 2017</w:t>
            </w:r>
          </w:p>
          <w:p w14:paraId="3B4F713A" w14:textId="77777777" w:rsidR="008227A4" w:rsidRPr="0066602A" w:rsidRDefault="008227A4" w:rsidP="009F150A">
            <w:pPr>
              <w:pStyle w:val="Table-Normal"/>
              <w:rPr>
                <w:rFonts w:cstheme="minorHAnsi"/>
                <w:color w:val="4E5053"/>
                <w:sz w:val="20"/>
                <w:szCs w:val="20"/>
                <w:lang w:val="en-US"/>
              </w:rPr>
            </w:pPr>
            <w:r w:rsidRPr="0066602A">
              <w:rPr>
                <w:rFonts w:cstheme="minorHAnsi"/>
                <w:sz w:val="20"/>
                <w:szCs w:val="20"/>
                <w:lang w:val="en-US"/>
              </w:rPr>
              <w:t>Germany</w:t>
            </w:r>
          </w:p>
          <w:p w14:paraId="71B79CED" w14:textId="77777777" w:rsidR="008227A4" w:rsidRPr="0066602A" w:rsidRDefault="008227A4" w:rsidP="009F150A">
            <w:pPr>
              <w:pStyle w:val="Table-Normal"/>
              <w:rPr>
                <w:sz w:val="20"/>
                <w:szCs w:val="20"/>
              </w:rPr>
            </w:pPr>
            <w:r w:rsidRPr="0066602A">
              <w:rPr>
                <w:rFonts w:cstheme="minorHAnsi"/>
                <w:color w:val="4E5053"/>
                <w:sz w:val="20"/>
                <w:szCs w:val="20"/>
                <w:lang w:val="en-US"/>
              </w:rPr>
              <w:t>Prospective randomized controlled intervention trial, 2011 and 2013</w:t>
            </w:r>
          </w:p>
        </w:tc>
        <w:tc>
          <w:tcPr>
            <w:tcW w:w="309" w:type="pct"/>
          </w:tcPr>
          <w:p w14:paraId="2C0C2EA7"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160</w:t>
            </w:r>
          </w:p>
        </w:tc>
        <w:tc>
          <w:tcPr>
            <w:tcW w:w="446" w:type="pct"/>
          </w:tcPr>
          <w:p w14:paraId="6A668E90"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Female - 100%</w:t>
            </w:r>
            <w:r w:rsidRPr="0066602A">
              <w:rPr>
                <w:rFonts w:cstheme="minorHAnsi"/>
                <w:color w:val="4E5053"/>
                <w:sz w:val="20"/>
                <w:szCs w:val="20"/>
                <w:lang w:val="en-US"/>
              </w:rPr>
              <w:br/>
              <w:t>Mean - 55.6</w:t>
            </w:r>
          </w:p>
        </w:tc>
        <w:tc>
          <w:tcPr>
            <w:tcW w:w="827" w:type="pct"/>
          </w:tcPr>
          <w:p w14:paraId="7B78189B"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Breast cancer: 160 (100%)</w:t>
            </w:r>
          </w:p>
        </w:tc>
        <w:tc>
          <w:tcPr>
            <w:tcW w:w="1227" w:type="pct"/>
          </w:tcPr>
          <w:p w14:paraId="4954DA89" w14:textId="78C15511"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rFonts w:ascii="Calibri" w:hAnsi="Calibri" w:cs="Calibri"/>
                <w:color w:val="4E5053"/>
                <w:sz w:val="20"/>
                <w:szCs w:val="20"/>
              </w:rPr>
            </w:pPr>
            <w:r w:rsidRPr="0066602A">
              <w:rPr>
                <w:rFonts w:cstheme="minorHAnsi"/>
                <w:color w:val="4E5053"/>
                <w:sz w:val="20"/>
                <w:szCs w:val="20"/>
                <w:lang w:val="en-US"/>
              </w:rPr>
              <w:t xml:space="preserve">Adjuvant </w:t>
            </w:r>
            <w:r w:rsidR="00480763" w:rsidRPr="0066602A">
              <w:rPr>
                <w:rFonts w:cstheme="minorHAnsi"/>
                <w:color w:val="4E5053"/>
                <w:sz w:val="20"/>
                <w:szCs w:val="20"/>
                <w:lang w:val="en-US"/>
              </w:rPr>
              <w:t xml:space="preserve">radiation </w:t>
            </w:r>
            <w:r w:rsidRPr="0066602A">
              <w:rPr>
                <w:rFonts w:cstheme="minorHAnsi"/>
                <w:color w:val="4E5053"/>
                <w:sz w:val="20"/>
                <w:szCs w:val="20"/>
                <w:lang w:val="en-US"/>
              </w:rPr>
              <w:t>therapy part of inclusion criteria</w:t>
            </w:r>
            <w:r w:rsidRPr="0066602A">
              <w:rPr>
                <w:rFonts w:cstheme="minorHAnsi"/>
                <w:color w:val="4E5053"/>
                <w:sz w:val="20"/>
                <w:szCs w:val="20"/>
                <w:lang w:val="en-US"/>
              </w:rPr>
              <w:br/>
              <w:t>Surgery: Mastectomy: 21 (13.1%); Breast conserving: 139 (86.9%)</w:t>
            </w:r>
            <w:r w:rsidRPr="0066602A">
              <w:rPr>
                <w:rFonts w:cstheme="minorHAnsi"/>
                <w:color w:val="4E5053"/>
                <w:sz w:val="20"/>
                <w:szCs w:val="20"/>
                <w:lang w:val="en-US"/>
              </w:rPr>
              <w:br/>
              <w:t>Mean days since surgery (SD): 67.8 (56.2)</w:t>
            </w:r>
            <w:r w:rsidRPr="0066602A">
              <w:rPr>
                <w:rFonts w:cstheme="minorHAnsi"/>
                <w:color w:val="4E5053"/>
                <w:sz w:val="20"/>
                <w:szCs w:val="20"/>
                <w:lang w:val="en-US"/>
              </w:rPr>
              <w:br/>
              <w:t>Other therapies:</w:t>
            </w:r>
            <w:r w:rsidRPr="0066602A">
              <w:rPr>
                <w:rFonts w:cstheme="minorHAnsi"/>
                <w:color w:val="4E5053"/>
                <w:sz w:val="20"/>
                <w:szCs w:val="20"/>
                <w:lang w:val="en-US"/>
              </w:rPr>
              <w:br/>
              <w:t>&gt; Hormone therapy: 78 (48.8%)</w:t>
            </w:r>
            <w:r w:rsidRPr="0066602A">
              <w:rPr>
                <w:rFonts w:cstheme="minorHAnsi"/>
                <w:color w:val="4E5053"/>
                <w:sz w:val="20"/>
                <w:szCs w:val="20"/>
                <w:lang w:val="en-US"/>
              </w:rPr>
              <w:br/>
              <w:t>&gt; Radiation boost: 119 (74.4%)</w:t>
            </w:r>
            <w:r w:rsidRPr="0066602A">
              <w:rPr>
                <w:rFonts w:cstheme="minorHAnsi"/>
                <w:color w:val="4E5053"/>
                <w:sz w:val="20"/>
                <w:szCs w:val="20"/>
                <w:lang w:val="en-US"/>
              </w:rPr>
              <w:br/>
              <w:t>&gt; Psychopharmaceuticals: 19 (11.9%)</w:t>
            </w:r>
          </w:p>
        </w:tc>
        <w:tc>
          <w:tcPr>
            <w:tcW w:w="1545" w:type="pct"/>
          </w:tcPr>
          <w:p w14:paraId="575086B8" w14:textId="77777777" w:rsidR="008227A4" w:rsidRPr="0066602A" w:rsidRDefault="008227A4" w:rsidP="009F150A">
            <w:pPr>
              <w:pStyle w:val="Table-Normal"/>
              <w:cnfStyle w:val="000000010000" w:firstRow="0" w:lastRow="0" w:firstColumn="0" w:lastColumn="0" w:oddVBand="0" w:evenVBand="0" w:oddHBand="0" w:evenHBand="1" w:firstRowFirstColumn="0" w:firstRowLastColumn="0" w:lastRowFirstColumn="0" w:lastRowLastColumn="0"/>
              <w:rPr>
                <w:sz w:val="20"/>
                <w:szCs w:val="20"/>
              </w:rPr>
            </w:pPr>
            <w:r w:rsidRPr="0066602A">
              <w:rPr>
                <w:rFonts w:ascii="Calibri" w:hAnsi="Calibri" w:cs="Calibri"/>
                <w:color w:val="4E5053"/>
                <w:sz w:val="20"/>
                <w:szCs w:val="20"/>
              </w:rPr>
              <w:t>&gt; Score NR</w:t>
            </w:r>
          </w:p>
        </w:tc>
      </w:tr>
    </w:tbl>
    <w:p w14:paraId="77277929" w14:textId="07A8F931" w:rsidR="008227A4" w:rsidRPr="0066602A" w:rsidRDefault="008227A4" w:rsidP="001A68E4">
      <w:pPr>
        <w:pStyle w:val="EndnoteText"/>
        <w:rPr>
          <w:rFonts w:ascii="Calibri" w:eastAsiaTheme="majorEastAsia" w:hAnsi="Calibri" w:cstheme="majorBidi"/>
          <w:color w:val="003569" w:themeColor="accent6"/>
          <w:sz w:val="32"/>
          <w:szCs w:val="26"/>
          <w:lang w:val="en-US"/>
        </w:rPr>
      </w:pPr>
      <w:r w:rsidRPr="0066602A">
        <w:rPr>
          <w:sz w:val="16"/>
          <w:szCs w:val="18"/>
          <w:lang w:val="en-US"/>
        </w:rPr>
        <w:t xml:space="preserve">ADT: androgen deprivation therapy; AIS: </w:t>
      </w:r>
      <w:r w:rsidR="009463EB" w:rsidRPr="0066602A">
        <w:rPr>
          <w:sz w:val="16"/>
          <w:szCs w:val="18"/>
          <w:lang w:val="en-US"/>
        </w:rPr>
        <w:t>Athens</w:t>
      </w:r>
      <w:r w:rsidRPr="0066602A">
        <w:rPr>
          <w:sz w:val="16"/>
          <w:szCs w:val="18"/>
          <w:lang w:val="en-US"/>
        </w:rPr>
        <w:t xml:space="preserve"> sleep insomnia scale; BPI: the brief pain inventory; EORTC-QLQ-C30: </w:t>
      </w:r>
      <w:r w:rsidR="009463EB" w:rsidRPr="0066602A">
        <w:rPr>
          <w:sz w:val="16"/>
          <w:szCs w:val="18"/>
          <w:lang w:val="en-US"/>
        </w:rPr>
        <w:t>European</w:t>
      </w:r>
      <w:r w:rsidRPr="0066602A">
        <w:rPr>
          <w:sz w:val="16"/>
          <w:szCs w:val="18"/>
          <w:lang w:val="en-US"/>
        </w:rPr>
        <w:t xml:space="preserve"> organization for research and treatment of cancer quality of life questionnaire; EORTC-QLQBR: </w:t>
      </w:r>
      <w:r w:rsidR="009463EB" w:rsidRPr="0066602A">
        <w:rPr>
          <w:sz w:val="16"/>
          <w:szCs w:val="18"/>
          <w:lang w:val="en-US"/>
        </w:rPr>
        <w:t>European</w:t>
      </w:r>
      <w:r w:rsidRPr="0066602A">
        <w:rPr>
          <w:sz w:val="16"/>
          <w:szCs w:val="18"/>
          <w:lang w:val="en-US"/>
        </w:rPr>
        <w:t xml:space="preserve"> organization for research and treatment of cancer quality of life questionnaire for breast cancer; EORTC-QLQ-C23: </w:t>
      </w:r>
      <w:r w:rsidR="009463EB" w:rsidRPr="0066602A">
        <w:rPr>
          <w:sz w:val="16"/>
          <w:szCs w:val="18"/>
          <w:lang w:val="en-US"/>
        </w:rPr>
        <w:t>European</w:t>
      </w:r>
      <w:r w:rsidRPr="0066602A">
        <w:rPr>
          <w:sz w:val="16"/>
          <w:szCs w:val="18"/>
          <w:lang w:val="en-US"/>
        </w:rPr>
        <w:t xml:space="preserve"> organization for research and treatment of cancer quality of life questionnaire, breast-specific module that comprises of 23 questions; HADS: hospital anxiety and depression score; NA: not applicable; NR: not recorded; POMS: profile of mood states; USA: </w:t>
      </w:r>
      <w:r w:rsidR="009463EB" w:rsidRPr="0066602A">
        <w:rPr>
          <w:sz w:val="16"/>
          <w:szCs w:val="18"/>
          <w:lang w:val="en-US"/>
        </w:rPr>
        <w:t>U</w:t>
      </w:r>
      <w:r w:rsidRPr="0066602A">
        <w:rPr>
          <w:sz w:val="16"/>
          <w:szCs w:val="18"/>
          <w:lang w:val="en-US"/>
        </w:rPr>
        <w:t xml:space="preserve">nited </w:t>
      </w:r>
      <w:r w:rsidR="009463EB" w:rsidRPr="0066602A">
        <w:rPr>
          <w:sz w:val="16"/>
          <w:szCs w:val="18"/>
          <w:lang w:val="en-US"/>
        </w:rPr>
        <w:t>S</w:t>
      </w:r>
      <w:r w:rsidRPr="0066602A">
        <w:rPr>
          <w:sz w:val="16"/>
          <w:szCs w:val="18"/>
          <w:lang w:val="en-US"/>
        </w:rPr>
        <w:t xml:space="preserve">tates of </w:t>
      </w:r>
      <w:r w:rsidR="009463EB" w:rsidRPr="0066602A">
        <w:rPr>
          <w:sz w:val="16"/>
          <w:szCs w:val="18"/>
          <w:lang w:val="en-US"/>
        </w:rPr>
        <w:t>America</w:t>
      </w:r>
      <w:r w:rsidR="00D54591" w:rsidRPr="0066602A">
        <w:rPr>
          <w:sz w:val="16"/>
          <w:szCs w:val="18"/>
          <w:lang w:val="en-US"/>
        </w:rPr>
        <w:t>.</w:t>
      </w:r>
      <w:r w:rsidRPr="0066602A">
        <w:rPr>
          <w:lang w:val="en-US"/>
        </w:rPr>
        <w:br w:type="page"/>
      </w:r>
    </w:p>
    <w:p w14:paraId="12440E3E" w14:textId="5C2DD272" w:rsidR="0010051E" w:rsidRPr="0066602A" w:rsidRDefault="007F55B1" w:rsidP="0034649A">
      <w:pPr>
        <w:pStyle w:val="Heading2"/>
        <w:numPr>
          <w:ilvl w:val="0"/>
          <w:numId w:val="0"/>
        </w:numPr>
        <w:ind w:left="709" w:hanging="709"/>
        <w:rPr>
          <w:lang w:val="en-US"/>
        </w:rPr>
      </w:pPr>
      <w:bookmarkStart w:id="40" w:name="_Toc129008668"/>
      <w:bookmarkStart w:id="41" w:name="_Ref125386433"/>
      <w:r w:rsidRPr="0066602A">
        <w:rPr>
          <w:lang w:val="en-US"/>
        </w:rPr>
        <w:lastRenderedPageBreak/>
        <w:t xml:space="preserve">Table </w:t>
      </w:r>
      <w:r w:rsidR="009A7DFD" w:rsidRPr="0066602A">
        <w:rPr>
          <w:lang w:val="en-US"/>
        </w:rPr>
        <w:t>7</w:t>
      </w:r>
      <w:r w:rsidRPr="0066602A">
        <w:rPr>
          <w:lang w:val="en-US"/>
        </w:rPr>
        <w:t xml:space="preserve">. </w:t>
      </w:r>
      <w:r w:rsidR="0010051E" w:rsidRPr="0066602A">
        <w:rPr>
          <w:lang w:val="en-US"/>
        </w:rPr>
        <w:t>Interventions for insomnia in cancer patients</w:t>
      </w:r>
      <w:bookmarkEnd w:id="40"/>
    </w:p>
    <w:p w14:paraId="0F7A898B" w14:textId="48361405" w:rsidR="008550C0" w:rsidRPr="0066602A" w:rsidRDefault="00823E33" w:rsidP="00F85F51">
      <w:pPr>
        <w:keepNext/>
        <w:spacing w:before="0" w:after="0" w:line="240" w:lineRule="auto"/>
        <w:rPr>
          <w:b/>
          <w:bCs/>
          <w:lang w:val="en-US"/>
        </w:rPr>
      </w:pPr>
      <w:bookmarkStart w:id="42" w:name="_Ref128483636"/>
      <w:bookmarkStart w:id="43" w:name="_Toc128725852"/>
      <w:bookmarkStart w:id="44" w:name="_Toc132179154"/>
      <w:r w:rsidRPr="0066602A">
        <w:rPr>
          <w:b/>
          <w:bCs/>
          <w:lang w:val="en-US"/>
        </w:rPr>
        <w:t xml:space="preserve">Table </w:t>
      </w:r>
      <w:r w:rsidRPr="0066602A">
        <w:rPr>
          <w:b/>
          <w:bCs/>
          <w:lang w:val="en-US"/>
        </w:rPr>
        <w:fldChar w:fldCharType="begin"/>
      </w:r>
      <w:r w:rsidRPr="0066602A">
        <w:rPr>
          <w:b/>
          <w:bCs/>
          <w:lang w:val="en-US"/>
        </w:rPr>
        <w:instrText xml:space="preserve"> SEQ Table \* ARABIC </w:instrText>
      </w:r>
      <w:r w:rsidRPr="0066602A">
        <w:rPr>
          <w:b/>
          <w:bCs/>
          <w:lang w:val="en-US"/>
        </w:rPr>
        <w:fldChar w:fldCharType="separate"/>
      </w:r>
      <w:r w:rsidR="009A7DFD" w:rsidRPr="0066602A">
        <w:rPr>
          <w:b/>
          <w:bCs/>
          <w:noProof/>
          <w:lang w:val="en-US"/>
        </w:rPr>
        <w:t>7</w:t>
      </w:r>
      <w:r w:rsidRPr="0066602A">
        <w:rPr>
          <w:b/>
          <w:bCs/>
          <w:noProof/>
          <w:lang w:val="en-US"/>
        </w:rPr>
        <w:fldChar w:fldCharType="end"/>
      </w:r>
      <w:bookmarkEnd w:id="41"/>
      <w:bookmarkEnd w:id="42"/>
      <w:r w:rsidRPr="0066602A">
        <w:rPr>
          <w:b/>
          <w:bCs/>
          <w:lang w:val="en-US"/>
        </w:rPr>
        <w:t xml:space="preserve">. </w:t>
      </w:r>
      <w:r w:rsidR="00F85F51" w:rsidRPr="0066602A">
        <w:rPr>
          <w:b/>
          <w:bCs/>
          <w:lang w:val="en-US"/>
        </w:rPr>
        <w:t>Interventions for insomnia in cancer patients</w:t>
      </w:r>
      <w:bookmarkEnd w:id="43"/>
      <w:bookmarkEnd w:id="44"/>
    </w:p>
    <w:tbl>
      <w:tblPr>
        <w:tblStyle w:val="LightList-Accent61"/>
        <w:tblW w:w="5000" w:type="pct"/>
        <w:tblLook w:val="04A0" w:firstRow="1" w:lastRow="0" w:firstColumn="1" w:lastColumn="0" w:noHBand="0" w:noVBand="1"/>
      </w:tblPr>
      <w:tblGrid>
        <w:gridCol w:w="1423"/>
        <w:gridCol w:w="1339"/>
        <w:gridCol w:w="1248"/>
        <w:gridCol w:w="2078"/>
        <w:gridCol w:w="2175"/>
        <w:gridCol w:w="1577"/>
        <w:gridCol w:w="4470"/>
      </w:tblGrid>
      <w:tr w:rsidR="008B53F1" w:rsidRPr="0066602A" w14:paraId="3CE7FE8C" w14:textId="77777777" w:rsidTr="00685696">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497" w:type="pct"/>
            <w:noWrap/>
          </w:tcPr>
          <w:p w14:paraId="2A3A58EA" w14:textId="5F8D2CCE" w:rsidR="003C37D8" w:rsidRPr="0066602A" w:rsidRDefault="003C37D8" w:rsidP="00631BE4">
            <w:pPr>
              <w:rPr>
                <w:rFonts w:eastAsia="Times New Roman"/>
                <w:sz w:val="20"/>
                <w:szCs w:val="20"/>
                <w:lang w:val="en-US" w:eastAsia="en-GB"/>
              </w:rPr>
            </w:pPr>
            <w:r w:rsidRPr="0066602A">
              <w:rPr>
                <w:rFonts w:ascii="Calibri" w:hAnsi="Calibri" w:cs="Calibri"/>
                <w:kern w:val="24"/>
                <w:sz w:val="20"/>
                <w:szCs w:val="20"/>
                <w:lang w:val="en-US"/>
              </w:rPr>
              <w:t>Study details</w:t>
            </w:r>
          </w:p>
        </w:tc>
        <w:tc>
          <w:tcPr>
            <w:tcW w:w="468" w:type="pct"/>
          </w:tcPr>
          <w:p w14:paraId="79E235BE" w14:textId="17E4E477" w:rsidR="003C37D8" w:rsidRPr="0066602A" w:rsidRDefault="003C37D8"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Sample size</w:t>
            </w:r>
          </w:p>
        </w:tc>
        <w:tc>
          <w:tcPr>
            <w:tcW w:w="436" w:type="pct"/>
          </w:tcPr>
          <w:p w14:paraId="0B19110A" w14:textId="71240E58" w:rsidR="003C37D8" w:rsidRPr="0066602A" w:rsidRDefault="003C37D8"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Sex and age (years)</w:t>
            </w:r>
          </w:p>
        </w:tc>
        <w:tc>
          <w:tcPr>
            <w:tcW w:w="726" w:type="pct"/>
          </w:tcPr>
          <w:p w14:paraId="1B71CD6B" w14:textId="7200285B" w:rsidR="003C37D8" w:rsidRPr="0066602A" w:rsidRDefault="003C37D8"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Tumor type</w:t>
            </w:r>
          </w:p>
        </w:tc>
        <w:tc>
          <w:tcPr>
            <w:tcW w:w="760" w:type="pct"/>
          </w:tcPr>
          <w:p w14:paraId="40F69186" w14:textId="77777777" w:rsidR="003C37D8" w:rsidRPr="0066602A" w:rsidRDefault="003C37D8"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Cancer treatment type</w:t>
            </w:r>
          </w:p>
        </w:tc>
        <w:tc>
          <w:tcPr>
            <w:tcW w:w="551" w:type="pct"/>
          </w:tcPr>
          <w:p w14:paraId="4E3997EC" w14:textId="77777777" w:rsidR="003C37D8" w:rsidRPr="0066602A" w:rsidRDefault="003C37D8"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Insomnia intervention</w:t>
            </w:r>
          </w:p>
        </w:tc>
        <w:tc>
          <w:tcPr>
            <w:tcW w:w="1562" w:type="pct"/>
          </w:tcPr>
          <w:p w14:paraId="12861533" w14:textId="3AE22E47" w:rsidR="003C37D8" w:rsidRPr="0066602A" w:rsidRDefault="00245F64" w:rsidP="00631BE4">
            <w:pPr>
              <w:cnfStyle w:val="100000000000" w:firstRow="1" w:lastRow="0" w:firstColumn="0" w:lastColumn="0" w:oddVBand="0" w:evenVBand="0" w:oddHBand="0" w:evenHBand="0" w:firstRowFirstColumn="0" w:firstRowLastColumn="0" w:lastRowFirstColumn="0" w:lastRowLastColumn="0"/>
              <w:rPr>
                <w:rFonts w:ascii="Calibri" w:hAnsi="Calibri" w:cs="Calibri"/>
                <w:kern w:val="24"/>
                <w:sz w:val="20"/>
                <w:szCs w:val="20"/>
                <w:lang w:val="en-US"/>
              </w:rPr>
            </w:pPr>
            <w:r w:rsidRPr="0066602A">
              <w:rPr>
                <w:rFonts w:ascii="Calibri" w:hAnsi="Calibri" w:cs="Calibri"/>
                <w:kern w:val="24"/>
                <w:sz w:val="20"/>
                <w:szCs w:val="20"/>
                <w:lang w:val="en-US"/>
              </w:rPr>
              <w:t>Intervention-related outcomes</w:t>
            </w:r>
          </w:p>
        </w:tc>
      </w:tr>
      <w:tr w:rsidR="00685696" w:rsidRPr="0066602A" w14:paraId="17E66792" w14:textId="77777777" w:rsidTr="00A049D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AED6FF" w:themeFill="accent6" w:themeFillTint="33"/>
          </w:tcPr>
          <w:p w14:paraId="5C2FFEFA" w14:textId="6A3BF778" w:rsidR="00685696" w:rsidRPr="0066602A" w:rsidRDefault="00685696" w:rsidP="00685696">
            <w:pPr>
              <w:pStyle w:val="Table-Normal"/>
              <w:rPr>
                <w:rFonts w:ascii="Calibri" w:hAnsi="Calibri" w:cs="Calibri"/>
                <w:b/>
                <w:color w:val="4E5053"/>
                <w:sz w:val="20"/>
                <w:szCs w:val="20"/>
                <w:lang w:val="en-US"/>
              </w:rPr>
            </w:pPr>
            <w:r w:rsidRPr="0066602A">
              <w:rPr>
                <w:rFonts w:ascii="Calibri" w:hAnsi="Calibri" w:cs="Calibri"/>
                <w:b/>
                <w:bCs/>
                <w:color w:val="4E5053"/>
                <w:sz w:val="20"/>
                <w:szCs w:val="20"/>
                <w:lang w:val="en-US"/>
              </w:rPr>
              <w:t>Pharmacological treatments (7</w:t>
            </w:r>
            <w:r w:rsidR="00D31DE7" w:rsidRPr="0066602A">
              <w:rPr>
                <w:rFonts w:ascii="Calibri" w:hAnsi="Calibri" w:cs="Calibri"/>
                <w:b/>
                <w:bCs/>
                <w:color w:val="4E5053"/>
                <w:sz w:val="20"/>
                <w:szCs w:val="20"/>
                <w:lang w:val="en-US"/>
              </w:rPr>
              <w:t xml:space="preserve"> studies</w:t>
            </w:r>
            <w:r w:rsidRPr="0066602A">
              <w:rPr>
                <w:rFonts w:ascii="Calibri" w:hAnsi="Calibri" w:cs="Calibri"/>
                <w:b/>
                <w:bCs/>
                <w:color w:val="4E5053"/>
                <w:sz w:val="20"/>
                <w:szCs w:val="20"/>
                <w:lang w:val="en-US"/>
              </w:rPr>
              <w:t>)</w:t>
            </w:r>
          </w:p>
        </w:tc>
      </w:tr>
      <w:tr w:rsidR="00685696" w:rsidRPr="0066602A" w14:paraId="60BF9520"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74D84E4C" w14:textId="77777777" w:rsidR="00685696" w:rsidRPr="0066602A" w:rsidRDefault="00685696" w:rsidP="00685696">
            <w:pPr>
              <w:pStyle w:val="Table-Normal"/>
              <w:rPr>
                <w:bCs/>
                <w:sz w:val="20"/>
                <w:szCs w:val="20"/>
                <w:lang w:val="en-US"/>
              </w:rPr>
            </w:pPr>
            <w:r w:rsidRPr="0066602A">
              <w:rPr>
                <w:sz w:val="20"/>
                <w:szCs w:val="20"/>
                <w:lang w:val="en-US"/>
              </w:rPr>
              <w:t>Clevenger, 2013</w:t>
            </w:r>
          </w:p>
          <w:p w14:paraId="1228A417" w14:textId="3C2BBC01" w:rsidR="00685696" w:rsidRPr="0066602A" w:rsidRDefault="00685696" w:rsidP="00685696">
            <w:pPr>
              <w:pStyle w:val="Table-Normal"/>
              <w:rPr>
                <w:sz w:val="20"/>
                <w:szCs w:val="20"/>
                <w:lang w:val="en-US"/>
              </w:rPr>
            </w:pPr>
            <w:r w:rsidRPr="0066602A">
              <w:rPr>
                <w:sz w:val="20"/>
                <w:szCs w:val="20"/>
                <w:lang w:val="en-US"/>
              </w:rPr>
              <w:t>NR</w:t>
            </w:r>
          </w:p>
          <w:p w14:paraId="08378E16" w14:textId="1E2BD21F" w:rsidR="00685696" w:rsidRPr="0066602A" w:rsidRDefault="00685696" w:rsidP="00685696">
            <w:pPr>
              <w:pStyle w:val="Table-Normal"/>
              <w:rPr>
                <w:sz w:val="20"/>
                <w:szCs w:val="20"/>
                <w:lang w:val="en-US"/>
              </w:rPr>
            </w:pPr>
            <w:r w:rsidRPr="0066602A">
              <w:rPr>
                <w:sz w:val="20"/>
                <w:szCs w:val="20"/>
                <w:lang w:val="en-US"/>
              </w:rPr>
              <w:t>Prospective, Longitudinal study, 1 year</w:t>
            </w:r>
          </w:p>
        </w:tc>
        <w:tc>
          <w:tcPr>
            <w:tcW w:w="468" w:type="pct"/>
          </w:tcPr>
          <w:p w14:paraId="426B9ABA" w14:textId="72E5726D"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Before surgery: 173</w:t>
            </w:r>
          </w:p>
          <w:p w14:paraId="479B5664" w14:textId="55318762"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6-month follow-up: 119</w:t>
            </w:r>
            <w:r w:rsidRPr="0066602A">
              <w:rPr>
                <w:sz w:val="20"/>
                <w:szCs w:val="20"/>
                <w:lang w:val="en-US"/>
              </w:rPr>
              <w:br/>
              <w:t xml:space="preserve">1-year follow-up: 108 </w:t>
            </w:r>
          </w:p>
        </w:tc>
        <w:tc>
          <w:tcPr>
            <w:tcW w:w="436" w:type="pct"/>
          </w:tcPr>
          <w:p w14:paraId="158E7287" w14:textId="73D10E48"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- 59.39</w:t>
            </w:r>
          </w:p>
        </w:tc>
        <w:tc>
          <w:tcPr>
            <w:tcW w:w="726" w:type="pct"/>
          </w:tcPr>
          <w:p w14:paraId="565294A5" w14:textId="6FA12ED4"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Ovarian: 173 (100%)</w:t>
            </w:r>
          </w:p>
        </w:tc>
        <w:tc>
          <w:tcPr>
            <w:tcW w:w="760" w:type="pct"/>
          </w:tcPr>
          <w:p w14:paraId="3486F34C" w14:textId="14C7A721"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lang w:val="en-US"/>
              </w:rPr>
              <w:t>Medication use before surgery</w:t>
            </w:r>
            <w:r w:rsidRPr="0066602A">
              <w:rPr>
                <w:sz w:val="20"/>
                <w:szCs w:val="20"/>
                <w:lang w:val="en-US"/>
              </w:rPr>
              <w:br/>
              <w:t>Hypnotics: 11.8%</w:t>
            </w:r>
            <w:r w:rsidRPr="0066602A">
              <w:rPr>
                <w:sz w:val="20"/>
                <w:szCs w:val="20"/>
                <w:lang w:val="en-US"/>
              </w:rPr>
              <w:br/>
              <w:t>Antidepressants: 22.6%</w:t>
            </w:r>
            <w:r w:rsidRPr="0066602A">
              <w:rPr>
                <w:sz w:val="20"/>
                <w:szCs w:val="20"/>
                <w:lang w:val="en-US"/>
              </w:rPr>
              <w:br/>
              <w:t>Anxiolytics: 12.4%</w:t>
            </w:r>
            <w:r w:rsidRPr="0066602A">
              <w:rPr>
                <w:sz w:val="20"/>
                <w:szCs w:val="20"/>
                <w:lang w:val="en-US"/>
              </w:rPr>
              <w:br/>
              <w:t>Pain medications: 23.1%</w:t>
            </w:r>
            <w:r w:rsidRPr="0066602A">
              <w:rPr>
                <w:sz w:val="20"/>
                <w:szCs w:val="20"/>
                <w:lang w:val="en-US"/>
              </w:rPr>
              <w:br/>
            </w:r>
            <w:r w:rsidRPr="0066602A">
              <w:rPr>
                <w:b/>
                <w:bCs w:val="0"/>
                <w:sz w:val="20"/>
                <w:szCs w:val="20"/>
                <w:lang w:val="en-US"/>
              </w:rPr>
              <w:t>Medication use at 6 months</w:t>
            </w:r>
            <w:r w:rsidRPr="0066602A">
              <w:rPr>
                <w:sz w:val="20"/>
                <w:szCs w:val="20"/>
                <w:lang w:val="en-US"/>
              </w:rPr>
              <w:br/>
              <w:t>Hypnotics: 11.3%</w:t>
            </w:r>
            <w:r w:rsidRPr="0066602A">
              <w:rPr>
                <w:sz w:val="20"/>
                <w:szCs w:val="20"/>
                <w:lang w:val="en-US"/>
              </w:rPr>
              <w:br/>
              <w:t>Antidepressants: 12.9%</w:t>
            </w:r>
            <w:r w:rsidRPr="0066602A">
              <w:rPr>
                <w:sz w:val="20"/>
                <w:szCs w:val="20"/>
                <w:lang w:val="en-US"/>
              </w:rPr>
              <w:br/>
              <w:t>Anxiolytics: 8.6%</w:t>
            </w:r>
            <w:r w:rsidRPr="0066602A">
              <w:rPr>
                <w:sz w:val="20"/>
                <w:szCs w:val="20"/>
                <w:lang w:val="en-US"/>
              </w:rPr>
              <w:br/>
              <w:t>Pain medications: 17.7%</w:t>
            </w:r>
            <w:r w:rsidRPr="0066602A">
              <w:rPr>
                <w:sz w:val="20"/>
                <w:szCs w:val="20"/>
                <w:lang w:val="en-US"/>
              </w:rPr>
              <w:br/>
            </w:r>
            <w:r w:rsidRPr="0066602A">
              <w:rPr>
                <w:b/>
                <w:bCs w:val="0"/>
                <w:sz w:val="20"/>
                <w:szCs w:val="20"/>
                <w:lang w:val="en-US"/>
              </w:rPr>
              <w:t>Medication use at 1 year</w:t>
            </w:r>
            <w:r w:rsidRPr="0066602A">
              <w:rPr>
                <w:sz w:val="20"/>
                <w:szCs w:val="20"/>
                <w:lang w:val="en-US"/>
              </w:rPr>
              <w:br/>
              <w:t>Hypnotics: 9.3%</w:t>
            </w:r>
            <w:r w:rsidRPr="0066602A">
              <w:rPr>
                <w:sz w:val="20"/>
                <w:szCs w:val="20"/>
                <w:lang w:val="en-US"/>
              </w:rPr>
              <w:br/>
              <w:t>Antidepressants: 25.8%</w:t>
            </w:r>
            <w:r w:rsidRPr="0066602A">
              <w:rPr>
                <w:sz w:val="20"/>
                <w:szCs w:val="20"/>
                <w:lang w:val="en-US"/>
              </w:rPr>
              <w:br/>
              <w:t>Anxiolytics: 13.4%</w:t>
            </w:r>
            <w:r w:rsidRPr="0066602A">
              <w:rPr>
                <w:sz w:val="20"/>
                <w:szCs w:val="20"/>
                <w:lang w:val="en-US"/>
              </w:rPr>
              <w:br/>
              <w:t>Pain medications: 28.9%</w:t>
            </w:r>
          </w:p>
        </w:tc>
        <w:tc>
          <w:tcPr>
            <w:tcW w:w="551" w:type="pct"/>
          </w:tcPr>
          <w:p w14:paraId="383074B7"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Prescribed sleep or analgesic medications.</w:t>
            </w:r>
          </w:p>
        </w:tc>
        <w:tc>
          <w:tcPr>
            <w:tcW w:w="1562" w:type="pct"/>
          </w:tcPr>
          <w:p w14:paraId="35FA5C9C" w14:textId="34B4BD10"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Medication use was largely similar before surgery and at 6 months and 1 year after diagnosis. </w:t>
            </w:r>
            <w:r w:rsidRPr="0066602A">
              <w:rPr>
                <w:sz w:val="20"/>
                <w:szCs w:val="20"/>
                <w:lang w:val="en-US"/>
              </w:rPr>
              <w:br/>
              <w:t xml:space="preserve">&gt; At all time points, patients using prescribed sleep or analgesic medications reported significantly worse sleep quality than those not using these medications (all P values &gt; 0.025). </w:t>
            </w:r>
            <w:r w:rsidRPr="0066602A">
              <w:rPr>
                <w:sz w:val="20"/>
                <w:szCs w:val="20"/>
                <w:lang w:val="en-US"/>
              </w:rPr>
              <w:br/>
              <w:t>&gt; There were generally no differences in global sleep quality for users and non-users of anti-depressant and anxiolytic medications (all p&gt;0.10), although at 6 months, patients taking antidepressants had significantly worse sleep quality than non-users (p=0.03).</w:t>
            </w:r>
            <w:r w:rsidRPr="0066602A">
              <w:rPr>
                <w:sz w:val="20"/>
                <w:szCs w:val="20"/>
                <w:lang w:val="en-US"/>
              </w:rPr>
              <w:br/>
              <w:t xml:space="preserve">&gt; In addition, specific patterns of medication use were associated with psychosocial recovery over time. For example, presurgical use of pain medication was associated with less improvement in sleep quality, depression, anxiety, and QoL over time (all p&lt;0.038). </w:t>
            </w:r>
            <w:r w:rsidRPr="0066602A">
              <w:rPr>
                <w:sz w:val="20"/>
                <w:szCs w:val="20"/>
                <w:lang w:val="en-US"/>
              </w:rPr>
              <w:br/>
              <w:t>&gt; In contrast, sleep medication and anxiolytics/antidepressants generally had no associations with changes in these measures over time (all p&gt;0.15).</w:t>
            </w:r>
          </w:p>
        </w:tc>
      </w:tr>
      <w:tr w:rsidR="00685696" w:rsidRPr="0066602A" w14:paraId="6DF9587E"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54C533C6" w14:textId="77777777" w:rsidR="00685696" w:rsidRPr="0066602A" w:rsidRDefault="00685696" w:rsidP="00685696">
            <w:pPr>
              <w:pStyle w:val="Table-Normal"/>
              <w:rPr>
                <w:bCs/>
                <w:sz w:val="20"/>
                <w:szCs w:val="20"/>
                <w:lang w:val="en-US"/>
              </w:rPr>
            </w:pPr>
            <w:r w:rsidRPr="0066602A">
              <w:rPr>
                <w:sz w:val="20"/>
                <w:szCs w:val="20"/>
                <w:lang w:val="en-US"/>
              </w:rPr>
              <w:t>Daniel, 2019</w:t>
            </w:r>
          </w:p>
          <w:p w14:paraId="5D676C63" w14:textId="63B5E954" w:rsidR="00685696" w:rsidRPr="0066602A" w:rsidRDefault="00685696" w:rsidP="00685696">
            <w:pPr>
              <w:pStyle w:val="Table-Normal"/>
              <w:rPr>
                <w:sz w:val="20"/>
                <w:szCs w:val="20"/>
                <w:lang w:val="en-US"/>
              </w:rPr>
            </w:pPr>
            <w:r w:rsidRPr="0066602A">
              <w:rPr>
                <w:sz w:val="20"/>
                <w:szCs w:val="20"/>
                <w:lang w:val="en-US"/>
              </w:rPr>
              <w:t>NR</w:t>
            </w:r>
          </w:p>
          <w:p w14:paraId="58D2251E" w14:textId="52B0A2EE" w:rsidR="00685696" w:rsidRPr="0066602A" w:rsidRDefault="00685696" w:rsidP="00685696">
            <w:pPr>
              <w:pStyle w:val="Table-Normal"/>
              <w:rPr>
                <w:sz w:val="20"/>
                <w:szCs w:val="20"/>
                <w:lang w:val="en-US"/>
              </w:rPr>
            </w:pPr>
            <w:r w:rsidRPr="0066602A">
              <w:rPr>
                <w:sz w:val="20"/>
                <w:szCs w:val="20"/>
                <w:lang w:val="en-US"/>
              </w:rPr>
              <w:t>Retrospective, 1994-2007</w:t>
            </w:r>
          </w:p>
        </w:tc>
        <w:tc>
          <w:tcPr>
            <w:tcW w:w="468" w:type="pct"/>
          </w:tcPr>
          <w:p w14:paraId="2A0EE8C6" w14:textId="6415FDE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Total of number survivors= 1931</w:t>
            </w:r>
            <w:r w:rsidRPr="0066602A">
              <w:rPr>
                <w:sz w:val="20"/>
                <w:szCs w:val="20"/>
                <w:lang w:val="en-US"/>
              </w:rPr>
              <w:br/>
              <w:t>Total number of siblings= 380</w:t>
            </w:r>
          </w:p>
        </w:tc>
        <w:tc>
          <w:tcPr>
            <w:tcW w:w="436" w:type="pct"/>
          </w:tcPr>
          <w:p w14:paraId="028E8867" w14:textId="554DFA4B"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Male - 44%</w:t>
            </w:r>
            <w:r w:rsidRPr="0066602A">
              <w:rPr>
                <w:rFonts w:cstheme="minorHAnsi"/>
                <w:color w:val="4E5053"/>
                <w:sz w:val="20"/>
                <w:szCs w:val="20"/>
                <w:lang w:val="en-US"/>
              </w:rPr>
              <w:br/>
              <w:t>Female - 56%</w:t>
            </w:r>
            <w:r w:rsidRPr="0066602A">
              <w:rPr>
                <w:rFonts w:cstheme="minorHAnsi"/>
                <w:color w:val="4E5053"/>
                <w:sz w:val="20"/>
                <w:szCs w:val="20"/>
                <w:lang w:val="en-US"/>
              </w:rPr>
              <w:br/>
              <w:t>Mean - 17.23</w:t>
            </w:r>
          </w:p>
        </w:tc>
        <w:tc>
          <w:tcPr>
            <w:tcW w:w="726" w:type="pct"/>
          </w:tcPr>
          <w:p w14:paraId="10E6C70B" w14:textId="14CC7418"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Hodgkin lymphoma: 1018 (52.7%)</w:t>
            </w:r>
            <w:r w:rsidRPr="0066602A">
              <w:rPr>
                <w:sz w:val="20"/>
                <w:szCs w:val="20"/>
                <w:lang w:val="en-US"/>
              </w:rPr>
              <w:br/>
              <w:t>CNS Tumor: 303 (15.7%)</w:t>
            </w:r>
            <w:r w:rsidRPr="0066602A">
              <w:rPr>
                <w:sz w:val="20"/>
                <w:szCs w:val="20"/>
                <w:lang w:val="en-US"/>
              </w:rPr>
              <w:br/>
              <w:t>Leukemia: 302 (15.6%)</w:t>
            </w:r>
            <w:r w:rsidRPr="0066602A">
              <w:rPr>
                <w:sz w:val="20"/>
                <w:szCs w:val="20"/>
                <w:lang w:val="en-US"/>
              </w:rPr>
              <w:br/>
              <w:t>Bone cancer: 159 (8.2%)</w:t>
            </w:r>
            <w:r w:rsidRPr="0066602A">
              <w:rPr>
                <w:sz w:val="20"/>
                <w:szCs w:val="20"/>
                <w:lang w:val="en-US"/>
              </w:rPr>
              <w:br/>
            </w:r>
            <w:r w:rsidRPr="0066602A">
              <w:rPr>
                <w:sz w:val="20"/>
                <w:szCs w:val="20"/>
                <w:lang w:val="en-US"/>
              </w:rPr>
              <w:lastRenderedPageBreak/>
              <w:t>Soft tissue sarcoma: 151 (7.8%)</w:t>
            </w:r>
          </w:p>
        </w:tc>
        <w:tc>
          <w:tcPr>
            <w:tcW w:w="760" w:type="pct"/>
          </w:tcPr>
          <w:p w14:paraId="31159735"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lastRenderedPageBreak/>
              <w:t>&gt; Chemotherapy: 1140 (65.65%)</w:t>
            </w:r>
            <w:r w:rsidRPr="0066602A">
              <w:rPr>
                <w:sz w:val="20"/>
                <w:szCs w:val="20"/>
                <w:lang w:val="en-US"/>
              </w:rPr>
              <w:br/>
              <w:t>&gt; Radiation therapy in the first 5 years of therapy: 1371 (77.7%)</w:t>
            </w:r>
          </w:p>
        </w:tc>
        <w:tc>
          <w:tcPr>
            <w:tcW w:w="551" w:type="pct"/>
          </w:tcPr>
          <w:p w14:paraId="24568CFF" w14:textId="2300CF5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Sleep medication </w:t>
            </w:r>
            <w:r w:rsidRPr="0066602A">
              <w:rPr>
                <w:sz w:val="20"/>
                <w:szCs w:val="20"/>
                <w:lang w:val="en-US"/>
              </w:rPr>
              <w:br/>
            </w:r>
            <w:r w:rsidRPr="0066602A">
              <w:rPr>
                <w:b/>
                <w:bCs w:val="0"/>
                <w:sz w:val="20"/>
                <w:szCs w:val="20"/>
                <w:lang w:val="en-US"/>
              </w:rPr>
              <w:t>Sleep medication use ±</w:t>
            </w:r>
            <w:r w:rsidRPr="0066602A">
              <w:rPr>
                <w:sz w:val="20"/>
                <w:szCs w:val="20"/>
                <w:lang w:val="en-US"/>
              </w:rPr>
              <w:br/>
              <w:t xml:space="preserve">Cancer survivors: 195 </w:t>
            </w:r>
            <w:r w:rsidRPr="0066602A">
              <w:rPr>
                <w:sz w:val="20"/>
                <w:szCs w:val="20"/>
                <w:lang w:val="en-US"/>
              </w:rPr>
              <w:lastRenderedPageBreak/>
              <w:t>(10.1%)</w:t>
            </w:r>
            <w:r w:rsidRPr="0066602A">
              <w:rPr>
                <w:sz w:val="20"/>
                <w:szCs w:val="20"/>
                <w:lang w:val="en-US"/>
              </w:rPr>
              <w:br/>
              <w:t xml:space="preserve">Cancer siblings: 25 (6.6%) </w:t>
            </w:r>
          </w:p>
        </w:tc>
        <w:tc>
          <w:tcPr>
            <w:tcW w:w="1562" w:type="pct"/>
          </w:tcPr>
          <w:p w14:paraId="276BCF38" w14:textId="10FD03C6"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lastRenderedPageBreak/>
              <w:t xml:space="preserve">Strategies to manage sleep (relative to no strategies): </w:t>
            </w:r>
            <w:r w:rsidRPr="0066602A">
              <w:rPr>
                <w:sz w:val="20"/>
                <w:szCs w:val="20"/>
                <w:lang w:val="en-US"/>
              </w:rPr>
              <w:br/>
              <w:t xml:space="preserve">Multinomial logistic regression model was used to estimate odds ratio as an approximation to PR. </w:t>
            </w:r>
            <w:r w:rsidRPr="0066602A">
              <w:rPr>
                <w:sz w:val="20"/>
                <w:szCs w:val="20"/>
                <w:lang w:val="en-US"/>
              </w:rPr>
              <w:br/>
              <w:t>±: Modified Poisson model was used to directly estimate prevalence ratio (PR).</w:t>
            </w:r>
            <w:r w:rsidRPr="0066602A">
              <w:rPr>
                <w:sz w:val="20"/>
                <w:szCs w:val="20"/>
                <w:lang w:val="en-US"/>
              </w:rPr>
              <w:br/>
            </w:r>
            <w:proofErr w:type="gramStart"/>
            <w:r w:rsidRPr="0066602A">
              <w:rPr>
                <w:b/>
                <w:bCs w:val="0"/>
                <w:sz w:val="20"/>
                <w:szCs w:val="20"/>
                <w:lang w:val="en-US"/>
              </w:rPr>
              <w:t>Non-behavioral</w:t>
            </w:r>
            <w:proofErr w:type="gramEnd"/>
            <w:r w:rsidRPr="0066602A">
              <w:rPr>
                <w:b/>
                <w:bCs w:val="0"/>
                <w:sz w:val="20"/>
                <w:szCs w:val="20"/>
                <w:lang w:val="en-US"/>
              </w:rPr>
              <w:t>:</w:t>
            </w:r>
            <w:r w:rsidRPr="0066602A">
              <w:rPr>
                <w:sz w:val="20"/>
                <w:szCs w:val="20"/>
                <w:lang w:val="en-US"/>
              </w:rPr>
              <w:t xml:space="preserve"> </w:t>
            </w:r>
            <w:r w:rsidRPr="0066602A">
              <w:rPr>
                <w:sz w:val="20"/>
                <w:szCs w:val="20"/>
                <w:lang w:val="en-US"/>
              </w:rPr>
              <w:br/>
            </w:r>
            <w:r w:rsidRPr="0066602A">
              <w:rPr>
                <w:b/>
                <w:bCs w:val="0"/>
                <w:sz w:val="20"/>
                <w:szCs w:val="20"/>
                <w:lang w:val="en-US"/>
              </w:rPr>
              <w:lastRenderedPageBreak/>
              <w:t>Cancer survivors</w:t>
            </w:r>
            <w:r w:rsidRPr="0066602A">
              <w:rPr>
                <w:sz w:val="20"/>
                <w:szCs w:val="20"/>
                <w:lang w:val="en-US"/>
              </w:rPr>
              <w:t>: 122 (6.4%)</w:t>
            </w:r>
            <w:r w:rsidRPr="0066602A">
              <w:rPr>
                <w:sz w:val="20"/>
                <w:szCs w:val="20"/>
                <w:lang w:val="en-US"/>
              </w:rPr>
              <w:br/>
            </w:r>
            <w:r w:rsidRPr="0066602A">
              <w:rPr>
                <w:b/>
                <w:bCs w:val="0"/>
                <w:sz w:val="20"/>
                <w:szCs w:val="20"/>
                <w:lang w:val="en-US"/>
              </w:rPr>
              <w:t>Cancer siblings:</w:t>
            </w:r>
            <w:r w:rsidRPr="0066602A">
              <w:rPr>
                <w:sz w:val="20"/>
                <w:szCs w:val="20"/>
                <w:lang w:val="en-US"/>
              </w:rPr>
              <w:t xml:space="preserve"> 12 (3.2%)</w:t>
            </w:r>
            <w:r w:rsidRPr="0066602A">
              <w:rPr>
                <w:sz w:val="20"/>
                <w:szCs w:val="20"/>
                <w:lang w:val="en-US"/>
              </w:rPr>
              <w:br/>
            </w:r>
            <w:r w:rsidRPr="0066602A">
              <w:rPr>
                <w:b/>
                <w:bCs w:val="0"/>
                <w:sz w:val="20"/>
                <w:szCs w:val="20"/>
                <w:lang w:val="en-US"/>
              </w:rPr>
              <w:t>Sleep medication use ±</w:t>
            </w:r>
            <w:r w:rsidRPr="0066602A">
              <w:rPr>
                <w:sz w:val="20"/>
                <w:szCs w:val="20"/>
                <w:lang w:val="en-US"/>
              </w:rPr>
              <w:br/>
            </w:r>
            <w:r w:rsidRPr="0066602A">
              <w:rPr>
                <w:b/>
                <w:bCs w:val="0"/>
                <w:sz w:val="20"/>
                <w:szCs w:val="20"/>
                <w:lang w:val="en-US"/>
              </w:rPr>
              <w:t>Cancer survivors:</w:t>
            </w:r>
            <w:r w:rsidRPr="0066602A">
              <w:rPr>
                <w:sz w:val="20"/>
                <w:szCs w:val="20"/>
                <w:lang w:val="en-US"/>
              </w:rPr>
              <w:t xml:space="preserve"> 195 (10.1%)</w:t>
            </w:r>
            <w:r w:rsidRPr="0066602A">
              <w:rPr>
                <w:sz w:val="20"/>
                <w:szCs w:val="20"/>
                <w:lang w:val="en-US"/>
              </w:rPr>
              <w:br/>
            </w:r>
            <w:r w:rsidRPr="0066602A">
              <w:rPr>
                <w:b/>
                <w:bCs w:val="0"/>
                <w:sz w:val="20"/>
                <w:szCs w:val="20"/>
                <w:lang w:val="en-US"/>
              </w:rPr>
              <w:t>Cancer siblings:</w:t>
            </w:r>
            <w:r w:rsidRPr="0066602A">
              <w:rPr>
                <w:sz w:val="20"/>
                <w:szCs w:val="20"/>
                <w:lang w:val="en-US"/>
              </w:rPr>
              <w:t xml:space="preserve"> 25 (6.6%). </w:t>
            </w:r>
          </w:p>
        </w:tc>
      </w:tr>
      <w:tr w:rsidR="00685696" w:rsidRPr="0066602A" w14:paraId="7C93555C"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2A3B1B50" w14:textId="77777777" w:rsidR="00685696" w:rsidRPr="0066602A" w:rsidRDefault="00685696" w:rsidP="00685696">
            <w:pPr>
              <w:pStyle w:val="Table-Normal"/>
              <w:rPr>
                <w:bCs/>
                <w:sz w:val="20"/>
                <w:szCs w:val="20"/>
                <w:lang w:val="en-US"/>
              </w:rPr>
            </w:pPr>
            <w:r w:rsidRPr="0066602A">
              <w:rPr>
                <w:sz w:val="20"/>
                <w:szCs w:val="20"/>
                <w:lang w:val="en-US"/>
              </w:rPr>
              <w:lastRenderedPageBreak/>
              <w:t>Kim, 2008</w:t>
            </w:r>
          </w:p>
          <w:p w14:paraId="4028A0A0" w14:textId="71A6E20E" w:rsidR="00685696" w:rsidRPr="0066602A" w:rsidRDefault="00685696" w:rsidP="00685696">
            <w:pPr>
              <w:pStyle w:val="Table-Normal"/>
              <w:rPr>
                <w:sz w:val="20"/>
                <w:szCs w:val="20"/>
                <w:lang w:val="en-US"/>
              </w:rPr>
            </w:pPr>
            <w:r w:rsidRPr="0066602A">
              <w:rPr>
                <w:sz w:val="20"/>
                <w:szCs w:val="20"/>
                <w:lang w:val="en-US"/>
              </w:rPr>
              <w:t>Korea</w:t>
            </w:r>
          </w:p>
          <w:p w14:paraId="5B813E83" w14:textId="048D6A03" w:rsidR="00685696" w:rsidRPr="0066602A" w:rsidRDefault="00685696" w:rsidP="00685696">
            <w:pPr>
              <w:pStyle w:val="Table-Normal"/>
              <w:rPr>
                <w:sz w:val="20"/>
                <w:szCs w:val="20"/>
                <w:lang w:val="en-US"/>
              </w:rPr>
            </w:pPr>
            <w:r w:rsidRPr="0066602A">
              <w:rPr>
                <w:sz w:val="20"/>
                <w:szCs w:val="20"/>
                <w:lang w:val="en-US"/>
              </w:rPr>
              <w:t>Prospective, open-labeled study, 4 weeks</w:t>
            </w:r>
          </w:p>
        </w:tc>
        <w:tc>
          <w:tcPr>
            <w:tcW w:w="468" w:type="pct"/>
          </w:tcPr>
          <w:p w14:paraId="6640284A" w14:textId="0AAF089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42</w:t>
            </w:r>
          </w:p>
        </w:tc>
        <w:tc>
          <w:tcPr>
            <w:tcW w:w="436" w:type="pct"/>
          </w:tcPr>
          <w:p w14:paraId="52A528D1" w14:textId="4F476CDA"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Male - 55%</w:t>
            </w:r>
            <w:r w:rsidRPr="0066602A">
              <w:rPr>
                <w:rFonts w:cstheme="minorHAnsi"/>
                <w:color w:val="4E5053"/>
                <w:sz w:val="20"/>
                <w:szCs w:val="20"/>
                <w:lang w:val="en-US"/>
              </w:rPr>
              <w:br/>
              <w:t>Female - 45%</w:t>
            </w:r>
            <w:r w:rsidRPr="0066602A">
              <w:rPr>
                <w:rFonts w:cstheme="minorHAnsi"/>
                <w:color w:val="4E5053"/>
                <w:sz w:val="20"/>
                <w:szCs w:val="20"/>
                <w:lang w:val="en-US"/>
              </w:rPr>
              <w:br/>
              <w:t>Mean - 57.5</w:t>
            </w:r>
          </w:p>
        </w:tc>
        <w:tc>
          <w:tcPr>
            <w:tcW w:w="726" w:type="pct"/>
          </w:tcPr>
          <w:p w14:paraId="084809D3" w14:textId="31137611"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Lung: 25 (59.5%)</w:t>
            </w:r>
            <w:r w:rsidRPr="0066602A">
              <w:rPr>
                <w:sz w:val="20"/>
                <w:szCs w:val="20"/>
                <w:lang w:val="en-US"/>
              </w:rPr>
              <w:br/>
              <w:t>Breast: 5 (11.9%)</w:t>
            </w:r>
            <w:r w:rsidRPr="0066602A">
              <w:rPr>
                <w:sz w:val="20"/>
                <w:szCs w:val="20"/>
                <w:lang w:val="en-US"/>
              </w:rPr>
              <w:br/>
              <w:t>GI tract: 6 (14.3%)</w:t>
            </w:r>
            <w:r w:rsidRPr="0066602A">
              <w:rPr>
                <w:sz w:val="20"/>
                <w:szCs w:val="20"/>
                <w:lang w:val="en-US"/>
              </w:rPr>
              <w:br/>
              <w:t>Hepatobiliary tract: 3 (7.1%)</w:t>
            </w:r>
            <w:r w:rsidRPr="0066602A">
              <w:rPr>
                <w:sz w:val="20"/>
                <w:szCs w:val="20"/>
                <w:lang w:val="en-US"/>
              </w:rPr>
              <w:br/>
              <w:t>Other malignancy: 3 (7.1%)</w:t>
            </w:r>
          </w:p>
        </w:tc>
        <w:tc>
          <w:tcPr>
            <w:tcW w:w="760" w:type="pct"/>
          </w:tcPr>
          <w:p w14:paraId="754C35FE"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Cancer therapy: NR</w:t>
            </w:r>
            <w:r w:rsidRPr="0066602A">
              <w:rPr>
                <w:sz w:val="20"/>
                <w:szCs w:val="20"/>
                <w:lang w:val="en-US"/>
              </w:rPr>
              <w:br/>
              <w:t>All patients were taking mirtazapine: 42 (100%) (anti-depressant)</w:t>
            </w:r>
          </w:p>
        </w:tc>
        <w:tc>
          <w:tcPr>
            <w:tcW w:w="551" w:type="pct"/>
          </w:tcPr>
          <w:p w14:paraId="07C04976"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Mirtazapine</w:t>
            </w:r>
          </w:p>
        </w:tc>
        <w:tc>
          <w:tcPr>
            <w:tcW w:w="1562" w:type="pct"/>
          </w:tcPr>
          <w:p w14:paraId="35701EED" w14:textId="6763B562"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Sleepiness/sedation exacerbation: 36% following the administration of mirtazapine.</w:t>
            </w:r>
          </w:p>
          <w:p w14:paraId="2161DCF1" w14:textId="77326AA8"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Exacerbation of sleepiness/sedation</w:t>
            </w:r>
          </w:p>
          <w:p w14:paraId="4265D6A7" w14:textId="6432AB1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Day 7:</w:t>
            </w:r>
            <w:r w:rsidRPr="0066602A">
              <w:rPr>
                <w:rFonts w:cstheme="minorHAnsi"/>
                <w:color w:val="4E5053"/>
                <w:sz w:val="20"/>
                <w:szCs w:val="20"/>
                <w:lang w:val="en-US"/>
              </w:rPr>
              <w:t xml:space="preserve"> 19% (n=31)</w:t>
            </w:r>
          </w:p>
          <w:p w14:paraId="57E89AFC" w14:textId="455DEE1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Day 14:</w:t>
            </w:r>
            <w:r w:rsidRPr="0066602A">
              <w:rPr>
                <w:rFonts w:cstheme="minorHAnsi"/>
                <w:color w:val="4E5053"/>
                <w:sz w:val="20"/>
                <w:szCs w:val="20"/>
                <w:lang w:val="en-US"/>
              </w:rPr>
              <w:t xml:space="preserve"> 8% (n=26)</w:t>
            </w:r>
          </w:p>
          <w:p w14:paraId="6654C4FC" w14:textId="06DB4996"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b/>
                <w:bCs w:val="0"/>
                <w:color w:val="4E5053"/>
                <w:sz w:val="20"/>
                <w:szCs w:val="20"/>
                <w:lang w:val="en-US"/>
              </w:rPr>
              <w:t>Day 28:</w:t>
            </w:r>
            <w:r w:rsidRPr="0066602A">
              <w:rPr>
                <w:rFonts w:cstheme="minorHAnsi"/>
                <w:color w:val="4E5053"/>
                <w:sz w:val="20"/>
                <w:szCs w:val="20"/>
                <w:lang w:val="en-US"/>
              </w:rPr>
              <w:t xml:space="preserve"> 0% (n=17) </w:t>
            </w:r>
            <w:r w:rsidRPr="0066602A">
              <w:rPr>
                <w:sz w:val="20"/>
                <w:szCs w:val="20"/>
                <w:lang w:val="en-US"/>
              </w:rPr>
              <w:br/>
            </w:r>
            <w:r w:rsidRPr="0066602A">
              <w:rPr>
                <w:rFonts w:cstheme="minorHAnsi"/>
                <w:color w:val="4E5053"/>
                <w:sz w:val="20"/>
                <w:szCs w:val="20"/>
                <w:lang w:val="en-US"/>
              </w:rPr>
              <w:t>&gt; At final observation (n=42), sleepiness/sedation was exacerbated in only six patients (14%)</w:t>
            </w:r>
          </w:p>
          <w:p w14:paraId="31CED8DC" w14:textId="25A2AF00"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&gt; It improved compared to baseline in 60% of 20 patients who had suffered sleepiness at baseline.</w:t>
            </w:r>
            <w:r w:rsidRPr="0066602A">
              <w:rPr>
                <w:sz w:val="20"/>
                <w:szCs w:val="20"/>
                <w:lang w:val="en-US"/>
              </w:rPr>
              <w:br/>
              <w:t xml:space="preserve">&gt; Efficacy on sleep disturbance 11 patients (26%) took hypnotics such as zolpidem or alprazolam with mirtazapine for sleep disturbance. </w:t>
            </w:r>
            <w:r w:rsidRPr="0066602A">
              <w:rPr>
                <w:sz w:val="20"/>
                <w:szCs w:val="20"/>
                <w:lang w:val="en-US"/>
              </w:rPr>
              <w:br/>
            </w:r>
            <w:r w:rsidRPr="0066602A">
              <w:rPr>
                <w:b/>
                <w:bCs w:val="0"/>
                <w:sz w:val="20"/>
                <w:szCs w:val="20"/>
                <w:lang w:val="en-US"/>
              </w:rPr>
              <w:t>Total night sleep time (n=39):</w:t>
            </w:r>
          </w:p>
          <w:p w14:paraId="53410705" w14:textId="6D204C9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lang w:val="en-US"/>
              </w:rPr>
              <w:t>Day 1:</w:t>
            </w:r>
            <w:r w:rsidRPr="0066602A">
              <w:rPr>
                <w:sz w:val="20"/>
                <w:szCs w:val="20"/>
                <w:lang w:val="en-US"/>
              </w:rPr>
              <w:t xml:space="preserve"> 3.6 </w:t>
            </w:r>
            <w:proofErr w:type="spellStart"/>
            <w:r w:rsidRPr="0066602A">
              <w:rPr>
                <w:sz w:val="20"/>
                <w:szCs w:val="20"/>
                <w:lang w:val="en-US"/>
              </w:rPr>
              <w:t>hrs</w:t>
            </w:r>
            <w:proofErr w:type="spellEnd"/>
          </w:p>
          <w:p w14:paraId="76CEF4D4" w14:textId="7215FF64"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lang w:val="en-US"/>
              </w:rPr>
              <w:t>With mirtazapine:</w:t>
            </w:r>
            <w:r w:rsidRPr="0066602A">
              <w:rPr>
                <w:sz w:val="20"/>
                <w:szCs w:val="20"/>
                <w:lang w:val="en-US"/>
              </w:rPr>
              <w:t xml:space="preserve"> 6.8 </w:t>
            </w:r>
            <w:proofErr w:type="spellStart"/>
            <w:r w:rsidRPr="0066602A">
              <w:rPr>
                <w:sz w:val="20"/>
                <w:szCs w:val="20"/>
                <w:lang w:val="en-US"/>
              </w:rPr>
              <w:t>hrs</w:t>
            </w:r>
            <w:proofErr w:type="spellEnd"/>
            <w:r w:rsidRPr="0066602A">
              <w:rPr>
                <w:sz w:val="20"/>
                <w:szCs w:val="20"/>
                <w:lang w:val="en-US"/>
              </w:rPr>
              <w:t xml:space="preserve"> at the last observation. </w:t>
            </w:r>
          </w:p>
        </w:tc>
      </w:tr>
      <w:tr w:rsidR="00685696" w:rsidRPr="0066602A" w14:paraId="5E09495E"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1236E3A9" w14:textId="77777777" w:rsidR="00685696" w:rsidRPr="0066602A" w:rsidRDefault="00685696" w:rsidP="00685696">
            <w:pPr>
              <w:pStyle w:val="Table-Normal"/>
              <w:rPr>
                <w:bCs/>
                <w:sz w:val="20"/>
                <w:szCs w:val="20"/>
                <w:lang w:val="en-US"/>
              </w:rPr>
            </w:pPr>
            <w:r w:rsidRPr="0066602A">
              <w:rPr>
                <w:sz w:val="20"/>
                <w:szCs w:val="20"/>
                <w:lang w:val="en-US"/>
              </w:rPr>
              <w:t>Koopman, 2002</w:t>
            </w:r>
          </w:p>
          <w:p w14:paraId="712F3BF3" w14:textId="3C1BD13D" w:rsidR="00685696" w:rsidRPr="0066602A" w:rsidRDefault="00685696" w:rsidP="00685696">
            <w:pPr>
              <w:pStyle w:val="Table-Normal"/>
              <w:rPr>
                <w:sz w:val="20"/>
                <w:szCs w:val="20"/>
                <w:lang w:val="en-US"/>
              </w:rPr>
            </w:pPr>
            <w:r w:rsidRPr="0066602A">
              <w:rPr>
                <w:sz w:val="20"/>
                <w:szCs w:val="20"/>
                <w:lang w:val="en-US"/>
              </w:rPr>
              <w:t>USA</w:t>
            </w:r>
          </w:p>
          <w:p w14:paraId="3AFAB79D" w14:textId="1CEDFDD3" w:rsidR="00685696" w:rsidRPr="0066602A" w:rsidRDefault="00685696" w:rsidP="00685696">
            <w:pPr>
              <w:pStyle w:val="Table-Normal"/>
              <w:rPr>
                <w:sz w:val="20"/>
                <w:szCs w:val="20"/>
                <w:lang w:val="en-US"/>
              </w:rPr>
            </w:pPr>
            <w:r w:rsidRPr="0066602A">
              <w:rPr>
                <w:sz w:val="20"/>
                <w:szCs w:val="20"/>
                <w:lang w:val="en-US"/>
              </w:rPr>
              <w:t>RCT, NR</w:t>
            </w:r>
          </w:p>
        </w:tc>
        <w:tc>
          <w:tcPr>
            <w:tcW w:w="468" w:type="pct"/>
          </w:tcPr>
          <w:p w14:paraId="03F3E2BD" w14:textId="77EA0C8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97</w:t>
            </w:r>
          </w:p>
        </w:tc>
        <w:tc>
          <w:tcPr>
            <w:tcW w:w="436" w:type="pct"/>
          </w:tcPr>
          <w:p w14:paraId="35643A00" w14:textId="1A6296DA"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- 53</w:t>
            </w:r>
          </w:p>
        </w:tc>
        <w:tc>
          <w:tcPr>
            <w:tcW w:w="726" w:type="pct"/>
          </w:tcPr>
          <w:p w14:paraId="3F62D714" w14:textId="251BC513"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97 (100%)</w:t>
            </w:r>
          </w:p>
        </w:tc>
        <w:tc>
          <w:tcPr>
            <w:tcW w:w="760" w:type="pct"/>
          </w:tcPr>
          <w:p w14:paraId="714D16BE"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NR</w:t>
            </w:r>
          </w:p>
        </w:tc>
        <w:tc>
          <w:tcPr>
            <w:tcW w:w="551" w:type="pct"/>
          </w:tcPr>
          <w:p w14:paraId="356E7A00"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37% used sleeping pills</w:t>
            </w:r>
          </w:p>
        </w:tc>
        <w:tc>
          <w:tcPr>
            <w:tcW w:w="1562" w:type="pct"/>
          </w:tcPr>
          <w:p w14:paraId="6A4B18F4" w14:textId="1D422E79"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b/>
                <w:bCs w:val="0"/>
                <w:sz w:val="20"/>
                <w:szCs w:val="20"/>
                <w:lang w:val="en-US"/>
              </w:rPr>
              <w:t>Sleeping pill use within previous 30 days:</w:t>
            </w:r>
            <w:r w:rsidRPr="0066602A">
              <w:rPr>
                <w:sz w:val="20"/>
                <w:szCs w:val="20"/>
                <w:lang w:val="en-US"/>
              </w:rPr>
              <w:t xml:space="preserve"> 36.7% </w:t>
            </w:r>
            <w:r w:rsidRPr="0066602A">
              <w:rPr>
                <w:sz w:val="20"/>
                <w:szCs w:val="20"/>
                <w:lang w:val="en-US"/>
              </w:rPr>
              <w:br/>
              <w:t>&gt; Frequency of use of sleeping pills in the previous 30 days was greater among woman reporting depressing symptoms and pain (</w:t>
            </w:r>
            <w:proofErr w:type="gramStart"/>
            <w:r w:rsidRPr="0066602A">
              <w:rPr>
                <w:sz w:val="20"/>
                <w:szCs w:val="20"/>
                <w:lang w:val="en-US"/>
              </w:rPr>
              <w:t>F[</w:t>
            </w:r>
            <w:proofErr w:type="gramEnd"/>
            <w:r w:rsidRPr="0066602A">
              <w:rPr>
                <w:sz w:val="20"/>
                <w:szCs w:val="20"/>
                <w:lang w:val="en-US"/>
              </w:rPr>
              <w:t>3,93 = 9.76, p&lt;0.001, overall adjusted R2 =0.18).</w:t>
            </w:r>
          </w:p>
        </w:tc>
      </w:tr>
      <w:tr w:rsidR="00685696" w:rsidRPr="0066602A" w14:paraId="7231BD9F"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184C973D" w14:textId="77777777" w:rsidR="00685696" w:rsidRPr="0066602A" w:rsidRDefault="00685696" w:rsidP="00685696">
            <w:pPr>
              <w:pStyle w:val="Table-Normal"/>
              <w:rPr>
                <w:bCs/>
                <w:sz w:val="20"/>
                <w:szCs w:val="20"/>
                <w:lang w:val="en-US"/>
              </w:rPr>
            </w:pPr>
            <w:r w:rsidRPr="0066602A">
              <w:rPr>
                <w:sz w:val="20"/>
                <w:szCs w:val="20"/>
                <w:lang w:val="en-US"/>
              </w:rPr>
              <w:t>Nishiura, 2013</w:t>
            </w:r>
          </w:p>
          <w:p w14:paraId="0B2E6C1D" w14:textId="0EF641F2" w:rsidR="00685696" w:rsidRPr="0066602A" w:rsidRDefault="00685696" w:rsidP="00685696">
            <w:pPr>
              <w:pStyle w:val="Table-Normal"/>
              <w:rPr>
                <w:sz w:val="20"/>
                <w:szCs w:val="20"/>
                <w:lang w:val="en-US"/>
              </w:rPr>
            </w:pPr>
            <w:r w:rsidRPr="0066602A">
              <w:rPr>
                <w:sz w:val="20"/>
                <w:szCs w:val="20"/>
                <w:lang w:val="en-US"/>
              </w:rPr>
              <w:t>Japan</w:t>
            </w:r>
          </w:p>
          <w:p w14:paraId="2E62993D" w14:textId="11A1E72D" w:rsidR="00685696" w:rsidRPr="0066602A" w:rsidRDefault="00685696" w:rsidP="00685696">
            <w:pPr>
              <w:pStyle w:val="Table-Normal"/>
              <w:rPr>
                <w:sz w:val="20"/>
                <w:szCs w:val="20"/>
                <w:lang w:val="en-US"/>
              </w:rPr>
            </w:pPr>
            <w:r w:rsidRPr="0066602A">
              <w:rPr>
                <w:sz w:val="20"/>
                <w:szCs w:val="20"/>
                <w:lang w:val="en-US"/>
              </w:rPr>
              <w:t>Questionnaire, NR</w:t>
            </w:r>
          </w:p>
        </w:tc>
        <w:tc>
          <w:tcPr>
            <w:tcW w:w="468" w:type="pct"/>
          </w:tcPr>
          <w:p w14:paraId="548483C9" w14:textId="68F0932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50</w:t>
            </w:r>
          </w:p>
        </w:tc>
        <w:tc>
          <w:tcPr>
            <w:tcW w:w="436" w:type="pct"/>
          </w:tcPr>
          <w:p w14:paraId="08913D45" w14:textId="2A4F35B6"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ascii="Calibri" w:hAnsi="Calibri" w:cs="Calibri"/>
                <w:color w:val="4E5053"/>
                <w:sz w:val="20"/>
                <w:szCs w:val="20"/>
                <w:lang w:val="en-US"/>
              </w:rPr>
              <w:t>Male - 70%</w:t>
            </w:r>
            <w:r w:rsidRPr="0066602A">
              <w:rPr>
                <w:rFonts w:ascii="Calibri" w:hAnsi="Calibri" w:cs="Calibri"/>
                <w:color w:val="4E5053"/>
                <w:sz w:val="20"/>
                <w:szCs w:val="20"/>
                <w:lang w:val="en-US"/>
              </w:rPr>
              <w:br/>
              <w:t>Female - 30%</w:t>
            </w:r>
            <w:r w:rsidRPr="0066602A">
              <w:rPr>
                <w:rFonts w:ascii="Calibri" w:hAnsi="Calibri" w:cs="Calibri"/>
                <w:color w:val="4E5053"/>
                <w:sz w:val="20"/>
                <w:szCs w:val="20"/>
                <w:lang w:val="en-US"/>
              </w:rPr>
              <w:br/>
              <w:t>Mean - 71.8</w:t>
            </w:r>
          </w:p>
        </w:tc>
        <w:tc>
          <w:tcPr>
            <w:tcW w:w="726" w:type="pct"/>
          </w:tcPr>
          <w:p w14:paraId="179D92A1" w14:textId="6111F282"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Lung cancer: 50 (100%)</w:t>
            </w:r>
          </w:p>
        </w:tc>
        <w:tc>
          <w:tcPr>
            <w:tcW w:w="760" w:type="pct"/>
          </w:tcPr>
          <w:p w14:paraId="3BB3E66C"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Receiving chemotherapy</w:t>
            </w:r>
            <w:r w:rsidRPr="0066602A">
              <w:rPr>
                <w:sz w:val="20"/>
                <w:szCs w:val="20"/>
                <w:lang w:val="en-US"/>
              </w:rPr>
              <w:br/>
              <w:t>Yes (inpatient): 21 (42%)</w:t>
            </w:r>
            <w:r w:rsidRPr="0066602A">
              <w:rPr>
                <w:sz w:val="20"/>
                <w:szCs w:val="20"/>
                <w:lang w:val="en-US"/>
              </w:rPr>
              <w:br/>
              <w:t>Yes (outpatient): 10 (20%)</w:t>
            </w:r>
          </w:p>
        </w:tc>
        <w:tc>
          <w:tcPr>
            <w:tcW w:w="551" w:type="pct"/>
          </w:tcPr>
          <w:p w14:paraId="7F9B8995"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Sleeping medications (e.g., triazolam, brotizolam, zolpidem, and etizolam).</w:t>
            </w:r>
          </w:p>
        </w:tc>
        <w:tc>
          <w:tcPr>
            <w:tcW w:w="1562" w:type="pct"/>
          </w:tcPr>
          <w:p w14:paraId="0CFA1CDB"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To demonstrate the association of sleeping pills and sleep disturbance, each item of the AIS was compared for patients taking and not taking sleeping pills.</w:t>
            </w:r>
            <w:r w:rsidRPr="0066602A">
              <w:rPr>
                <w:sz w:val="20"/>
                <w:szCs w:val="20"/>
                <w:lang w:val="en-US"/>
              </w:rPr>
              <w:br/>
              <w:t xml:space="preserve">&gt; In the first five items related to sleep, the </w:t>
            </w:r>
            <w:proofErr w:type="spellStart"/>
            <w:r w:rsidRPr="0066602A">
              <w:rPr>
                <w:sz w:val="20"/>
                <w:szCs w:val="20"/>
                <w:lang w:val="en-US"/>
              </w:rPr>
              <w:t>Athen's</w:t>
            </w:r>
            <w:proofErr w:type="spellEnd"/>
            <w:r w:rsidRPr="0066602A">
              <w:rPr>
                <w:sz w:val="20"/>
                <w:szCs w:val="20"/>
                <w:lang w:val="en-US"/>
              </w:rPr>
              <w:t xml:space="preserve"> insomnia scale (AIS) scores for sleep induction and waking during the night did not significantly differ </w:t>
            </w:r>
            <w:r w:rsidRPr="0066602A">
              <w:rPr>
                <w:sz w:val="20"/>
                <w:szCs w:val="20"/>
                <w:lang w:val="en-US"/>
              </w:rPr>
              <w:lastRenderedPageBreak/>
              <w:t xml:space="preserve">between those patients taking and those not taking sleeping pills. </w:t>
            </w:r>
            <w:r w:rsidRPr="0066602A">
              <w:rPr>
                <w:sz w:val="20"/>
                <w:szCs w:val="20"/>
                <w:lang w:val="en-US"/>
              </w:rPr>
              <w:br/>
              <w:t>&gt; The AIS scores for sleep induction and waking during the night in patients with sleeping pills were not statistically different from those without, meaning that sleeping pills improved sleep induction but not to a sufficient level.</w:t>
            </w:r>
          </w:p>
        </w:tc>
      </w:tr>
      <w:tr w:rsidR="00685696" w:rsidRPr="0066602A" w14:paraId="6E1467F0"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3138425F" w14:textId="77777777" w:rsidR="00685696" w:rsidRPr="0066602A" w:rsidRDefault="00685696" w:rsidP="00685696">
            <w:pPr>
              <w:pStyle w:val="Table-Normal"/>
              <w:rPr>
                <w:bCs/>
                <w:sz w:val="20"/>
                <w:szCs w:val="20"/>
                <w:lang w:val="en-US"/>
              </w:rPr>
            </w:pPr>
            <w:r w:rsidRPr="0066602A">
              <w:rPr>
                <w:sz w:val="20"/>
                <w:szCs w:val="20"/>
                <w:lang w:val="en-US"/>
              </w:rPr>
              <w:lastRenderedPageBreak/>
              <w:t>Reynolds Cowie, 2021</w:t>
            </w:r>
          </w:p>
          <w:p w14:paraId="2D741FAA" w14:textId="5AEF8117" w:rsidR="00685696" w:rsidRPr="0066602A" w:rsidRDefault="00685696" w:rsidP="00685696">
            <w:pPr>
              <w:pStyle w:val="Table-Normal"/>
              <w:rPr>
                <w:sz w:val="20"/>
                <w:szCs w:val="20"/>
                <w:lang w:val="en-US"/>
              </w:rPr>
            </w:pPr>
            <w:r w:rsidRPr="0066602A">
              <w:rPr>
                <w:sz w:val="20"/>
                <w:szCs w:val="20"/>
                <w:lang w:val="en-US"/>
              </w:rPr>
              <w:t>NR</w:t>
            </w:r>
          </w:p>
          <w:p w14:paraId="63FA1AA8" w14:textId="186673C6" w:rsidR="00685696" w:rsidRPr="0066602A" w:rsidRDefault="00685696" w:rsidP="00685696">
            <w:pPr>
              <w:pStyle w:val="Table-Normal"/>
              <w:rPr>
                <w:sz w:val="20"/>
                <w:szCs w:val="20"/>
                <w:lang w:val="en-US"/>
              </w:rPr>
            </w:pPr>
            <w:r w:rsidRPr="0066602A">
              <w:rPr>
                <w:sz w:val="20"/>
                <w:szCs w:val="20"/>
                <w:lang w:val="en-US"/>
              </w:rPr>
              <w:t>Qualitative analysis, NR</w:t>
            </w:r>
          </w:p>
        </w:tc>
        <w:tc>
          <w:tcPr>
            <w:tcW w:w="468" w:type="pct"/>
          </w:tcPr>
          <w:p w14:paraId="48F135DE" w14:textId="704A2AD6"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27</w:t>
            </w:r>
          </w:p>
        </w:tc>
        <w:tc>
          <w:tcPr>
            <w:tcW w:w="436" w:type="pct"/>
          </w:tcPr>
          <w:p w14:paraId="5783B0D8" w14:textId="43C88C33"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Male - 41%</w:t>
            </w:r>
            <w:r w:rsidRPr="0066602A">
              <w:rPr>
                <w:rFonts w:cstheme="minorHAnsi"/>
                <w:color w:val="4E5053"/>
                <w:sz w:val="20"/>
                <w:szCs w:val="20"/>
                <w:lang w:val="en-US"/>
              </w:rPr>
              <w:br/>
              <w:t>Female - 59%</w:t>
            </w:r>
            <w:r w:rsidRPr="0066602A">
              <w:rPr>
                <w:rFonts w:cstheme="minorHAnsi"/>
                <w:color w:val="4E5053"/>
                <w:sz w:val="20"/>
                <w:szCs w:val="20"/>
                <w:lang w:val="en-US"/>
              </w:rPr>
              <w:br/>
              <w:t>Mean - 62</w:t>
            </w:r>
          </w:p>
        </w:tc>
        <w:tc>
          <w:tcPr>
            <w:tcW w:w="726" w:type="pct"/>
          </w:tcPr>
          <w:p w14:paraId="0CDD7FB1" w14:textId="46E843F4"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12 (44.4%)</w:t>
            </w:r>
            <w:r w:rsidRPr="0066602A">
              <w:rPr>
                <w:sz w:val="20"/>
                <w:szCs w:val="20"/>
                <w:lang w:val="en-US"/>
              </w:rPr>
              <w:br/>
              <w:t>Prostate: 7 (25.95%)</w:t>
            </w:r>
            <w:r w:rsidRPr="0066602A">
              <w:rPr>
                <w:sz w:val="20"/>
                <w:szCs w:val="20"/>
                <w:lang w:val="en-US"/>
              </w:rPr>
              <w:br/>
              <w:t>Colorectal: 7 (25.95%)</w:t>
            </w:r>
            <w:r w:rsidRPr="0066602A">
              <w:rPr>
                <w:sz w:val="20"/>
                <w:szCs w:val="20"/>
                <w:lang w:val="en-US"/>
              </w:rPr>
              <w:br/>
              <w:t>Gynecological: 1 (3.7%)</w:t>
            </w:r>
          </w:p>
        </w:tc>
        <w:tc>
          <w:tcPr>
            <w:tcW w:w="760" w:type="pct"/>
          </w:tcPr>
          <w:p w14:paraId="2E5DBB04"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NR</w:t>
            </w:r>
          </w:p>
        </w:tc>
        <w:tc>
          <w:tcPr>
            <w:tcW w:w="551" w:type="pct"/>
          </w:tcPr>
          <w:p w14:paraId="5CDC5268" w14:textId="002CC85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Sleeping medication: (n=13)</w:t>
            </w:r>
          </w:p>
        </w:tc>
        <w:tc>
          <w:tcPr>
            <w:tcW w:w="1562" w:type="pct"/>
          </w:tcPr>
          <w:p w14:paraId="0B524457" w14:textId="393F8086"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Descriptive results for insomnia in cancer survivors relating to themes experienced: </w:t>
            </w:r>
            <w:r w:rsidRPr="0066602A">
              <w:rPr>
                <w:sz w:val="20"/>
                <w:szCs w:val="20"/>
                <w:lang w:val="en-US"/>
              </w:rPr>
              <w:br/>
              <w:t xml:space="preserve">I tried to get help- A significant proportion of participants raised the issue of poor sleep with their GP and were offered a short-term prescription for sleeping medication (n=13), which left many feeling that this was ‘all that could be offered to you’. </w:t>
            </w:r>
          </w:p>
        </w:tc>
      </w:tr>
      <w:tr w:rsidR="00685696" w:rsidRPr="0066602A" w14:paraId="416BFBD2"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1F6E78F1" w14:textId="77777777" w:rsidR="00685696" w:rsidRPr="0066602A" w:rsidRDefault="00685696" w:rsidP="00685696">
            <w:pPr>
              <w:pStyle w:val="Table-Normal"/>
              <w:rPr>
                <w:bCs/>
                <w:sz w:val="20"/>
                <w:szCs w:val="20"/>
                <w:lang w:val="en-US"/>
              </w:rPr>
            </w:pPr>
            <w:r w:rsidRPr="0066602A">
              <w:rPr>
                <w:sz w:val="20"/>
                <w:szCs w:val="20"/>
                <w:lang w:val="en-US"/>
              </w:rPr>
              <w:t>Shahrokhi, 2021</w:t>
            </w:r>
          </w:p>
          <w:p w14:paraId="65FDE206" w14:textId="57D4F2AB" w:rsidR="00685696" w:rsidRPr="0066602A" w:rsidRDefault="00685696" w:rsidP="00685696">
            <w:pPr>
              <w:pStyle w:val="Table-Normal"/>
              <w:rPr>
                <w:sz w:val="20"/>
                <w:szCs w:val="20"/>
                <w:lang w:val="en-US"/>
              </w:rPr>
            </w:pPr>
            <w:r w:rsidRPr="0066602A">
              <w:rPr>
                <w:sz w:val="20"/>
                <w:szCs w:val="20"/>
                <w:lang w:val="en-US"/>
              </w:rPr>
              <w:t>Iran</w:t>
            </w:r>
          </w:p>
          <w:p w14:paraId="12DCA047" w14:textId="64CEA0DB" w:rsidR="00685696" w:rsidRPr="0066602A" w:rsidRDefault="00685696" w:rsidP="00685696">
            <w:pPr>
              <w:pStyle w:val="Table-Normal"/>
              <w:rPr>
                <w:sz w:val="20"/>
                <w:szCs w:val="20"/>
                <w:lang w:val="en-US"/>
              </w:rPr>
            </w:pPr>
            <w:r w:rsidRPr="0066602A">
              <w:rPr>
                <w:sz w:val="20"/>
                <w:szCs w:val="20"/>
                <w:lang w:val="en-US"/>
              </w:rPr>
              <w:t>Single-blind randomized clinical trial, January 2018 - March 2018</w:t>
            </w:r>
          </w:p>
        </w:tc>
        <w:tc>
          <w:tcPr>
            <w:tcW w:w="468" w:type="pct"/>
          </w:tcPr>
          <w:p w14:paraId="3A2DF52F" w14:textId="51593144"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N=101 (90 included for analysis)</w:t>
            </w:r>
          </w:p>
        </w:tc>
        <w:tc>
          <w:tcPr>
            <w:tcW w:w="436" w:type="pct"/>
          </w:tcPr>
          <w:p w14:paraId="72D471B8" w14:textId="1730CF24"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NR</w:t>
            </w:r>
          </w:p>
        </w:tc>
        <w:tc>
          <w:tcPr>
            <w:tcW w:w="726" w:type="pct"/>
          </w:tcPr>
          <w:p w14:paraId="34FD70D3" w14:textId="72243A10"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Colorectal cancer: 100%</w:t>
            </w:r>
          </w:p>
        </w:tc>
        <w:tc>
          <w:tcPr>
            <w:tcW w:w="760" w:type="pct"/>
          </w:tcPr>
          <w:p w14:paraId="5BB89074"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Chemotherapy</w:t>
            </w:r>
            <w:r w:rsidRPr="0066602A">
              <w:rPr>
                <w:sz w:val="20"/>
                <w:szCs w:val="20"/>
                <w:lang w:val="en-US"/>
              </w:rPr>
              <w:br/>
              <w:t xml:space="preserve">&gt; </w:t>
            </w:r>
            <w:proofErr w:type="spellStart"/>
            <w:r w:rsidRPr="0066602A">
              <w:rPr>
                <w:sz w:val="20"/>
                <w:szCs w:val="20"/>
                <w:lang w:val="en-US"/>
              </w:rPr>
              <w:t>Folinic</w:t>
            </w:r>
            <w:proofErr w:type="spellEnd"/>
            <w:r w:rsidRPr="0066602A">
              <w:rPr>
                <w:sz w:val="20"/>
                <w:szCs w:val="20"/>
                <w:lang w:val="en-US"/>
              </w:rPr>
              <w:t xml:space="preserve"> acid (leucovorin)</w:t>
            </w:r>
            <w:r w:rsidRPr="0066602A">
              <w:rPr>
                <w:sz w:val="20"/>
                <w:szCs w:val="20"/>
                <w:lang w:val="en-US"/>
              </w:rPr>
              <w:br/>
              <w:t>&gt; Fluorouracil</w:t>
            </w:r>
            <w:r w:rsidRPr="0066602A">
              <w:rPr>
                <w:sz w:val="20"/>
                <w:szCs w:val="20"/>
                <w:lang w:val="en-US"/>
              </w:rPr>
              <w:br/>
              <w:t>&gt; Oxaliplatin</w:t>
            </w:r>
            <w:r w:rsidRPr="0066602A">
              <w:rPr>
                <w:sz w:val="20"/>
                <w:szCs w:val="20"/>
                <w:lang w:val="en-US"/>
              </w:rPr>
              <w:br/>
              <w:t>&gt; Capecitabine</w:t>
            </w:r>
          </w:p>
        </w:tc>
        <w:tc>
          <w:tcPr>
            <w:tcW w:w="551" w:type="pct"/>
          </w:tcPr>
          <w:p w14:paraId="528A8696"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w:t>
            </w:r>
            <w:proofErr w:type="spellStart"/>
            <w:r w:rsidRPr="0066602A">
              <w:rPr>
                <w:sz w:val="20"/>
                <w:szCs w:val="20"/>
                <w:lang w:val="en-US"/>
              </w:rPr>
              <w:t>Zolipidem</w:t>
            </w:r>
            <w:proofErr w:type="spellEnd"/>
            <w:r w:rsidRPr="0066602A">
              <w:rPr>
                <w:sz w:val="20"/>
                <w:szCs w:val="20"/>
                <w:lang w:val="en-US"/>
              </w:rPr>
              <w:t xml:space="preserve"> 2x5 mg before sleep</w:t>
            </w:r>
            <w:r w:rsidRPr="0066602A">
              <w:rPr>
                <w:sz w:val="20"/>
                <w:szCs w:val="20"/>
                <w:lang w:val="en-US"/>
              </w:rPr>
              <w:br/>
              <w:t>&gt; Melatonin 2x3 mg for 30 nights</w:t>
            </w:r>
          </w:p>
        </w:tc>
        <w:tc>
          <w:tcPr>
            <w:tcW w:w="1562" w:type="pct"/>
          </w:tcPr>
          <w:p w14:paraId="2759F72B"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The outcomes of this PSQI and GSQS questionnaires showed no significant difference between the MT and zolpidem treated groups</w:t>
            </w:r>
            <w:r w:rsidRPr="0066602A">
              <w:rPr>
                <w:sz w:val="20"/>
                <w:szCs w:val="20"/>
                <w:lang w:val="en-US"/>
              </w:rPr>
              <w:br/>
              <w:t>&gt; The outcome of HARS and HRSD questionnaires from weeks 0, 2, 4, and 8 revealed insignificant contrast between the zolpidem treated and MT treated groups.</w:t>
            </w:r>
          </w:p>
        </w:tc>
      </w:tr>
      <w:tr w:rsidR="00685696" w:rsidRPr="0066602A" w14:paraId="3C6B431E" w14:textId="77777777" w:rsidTr="00A049D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AED6FF" w:themeFill="accent6" w:themeFillTint="33"/>
          </w:tcPr>
          <w:p w14:paraId="4B48A192" w14:textId="58C88C4B" w:rsidR="00685696" w:rsidRPr="0066602A" w:rsidRDefault="00685696" w:rsidP="00685696">
            <w:pPr>
              <w:pStyle w:val="Table-Normal"/>
              <w:rPr>
                <w:sz w:val="20"/>
                <w:szCs w:val="20"/>
                <w:lang w:val="en-US"/>
              </w:rPr>
            </w:pPr>
            <w:r w:rsidRPr="0066602A">
              <w:rPr>
                <w:rFonts w:ascii="Calibri" w:hAnsi="Calibri" w:cs="Calibri"/>
                <w:b/>
                <w:bCs/>
                <w:color w:val="4E5053"/>
                <w:sz w:val="20"/>
                <w:szCs w:val="20"/>
                <w:lang w:val="en-US"/>
              </w:rPr>
              <w:t>Non-pharmacological treatments (12</w:t>
            </w:r>
            <w:r w:rsidR="00D31DE7" w:rsidRPr="0066602A">
              <w:rPr>
                <w:rFonts w:ascii="Calibri" w:hAnsi="Calibri" w:cs="Calibri"/>
                <w:b/>
                <w:bCs/>
                <w:color w:val="4E5053"/>
                <w:sz w:val="20"/>
                <w:szCs w:val="20"/>
                <w:lang w:val="en-US"/>
              </w:rPr>
              <w:t xml:space="preserve"> studies</w:t>
            </w:r>
            <w:r w:rsidRPr="0066602A">
              <w:rPr>
                <w:rFonts w:ascii="Calibri" w:hAnsi="Calibri" w:cs="Calibri"/>
                <w:b/>
                <w:bCs/>
                <w:color w:val="4E5053"/>
                <w:sz w:val="20"/>
                <w:szCs w:val="20"/>
                <w:lang w:val="en-US"/>
              </w:rPr>
              <w:t>)</w:t>
            </w:r>
          </w:p>
        </w:tc>
      </w:tr>
      <w:tr w:rsidR="00685696" w:rsidRPr="0066602A" w14:paraId="33A36A8C"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2067CE77" w14:textId="77777777" w:rsidR="00685696" w:rsidRPr="0066602A" w:rsidRDefault="00685696" w:rsidP="00685696">
            <w:pPr>
              <w:pStyle w:val="Table-Normal"/>
              <w:rPr>
                <w:bCs/>
                <w:sz w:val="20"/>
                <w:szCs w:val="20"/>
                <w:lang w:val="en-US"/>
              </w:rPr>
            </w:pPr>
            <w:r w:rsidRPr="0066602A">
              <w:rPr>
                <w:sz w:val="20"/>
                <w:szCs w:val="20"/>
                <w:lang w:val="en-US"/>
              </w:rPr>
              <w:t>Clevenger, 2013</w:t>
            </w:r>
          </w:p>
          <w:p w14:paraId="0B119F2C" w14:textId="3E140099" w:rsidR="00685696" w:rsidRPr="0066602A" w:rsidRDefault="00685696" w:rsidP="00685696">
            <w:pPr>
              <w:pStyle w:val="Table-Normal"/>
              <w:rPr>
                <w:sz w:val="20"/>
                <w:szCs w:val="20"/>
                <w:lang w:val="en-US"/>
              </w:rPr>
            </w:pPr>
            <w:r w:rsidRPr="0066602A">
              <w:rPr>
                <w:sz w:val="20"/>
                <w:szCs w:val="20"/>
                <w:lang w:val="en-US"/>
              </w:rPr>
              <w:t>NR</w:t>
            </w:r>
          </w:p>
          <w:p w14:paraId="09430F1E" w14:textId="0D4AD673" w:rsidR="00685696" w:rsidRPr="0066602A" w:rsidRDefault="00685696" w:rsidP="00685696">
            <w:pPr>
              <w:pStyle w:val="Table-Normal"/>
              <w:rPr>
                <w:sz w:val="20"/>
                <w:szCs w:val="20"/>
                <w:lang w:val="en-US"/>
              </w:rPr>
            </w:pPr>
            <w:r w:rsidRPr="0066602A">
              <w:rPr>
                <w:sz w:val="20"/>
                <w:szCs w:val="20"/>
                <w:lang w:val="en-US"/>
              </w:rPr>
              <w:t>Prospective, Longitudinal study, 1 year</w:t>
            </w:r>
          </w:p>
        </w:tc>
        <w:tc>
          <w:tcPr>
            <w:tcW w:w="468" w:type="pct"/>
          </w:tcPr>
          <w:p w14:paraId="79483F31" w14:textId="0B283D64"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Before surgery: 173</w:t>
            </w:r>
          </w:p>
          <w:p w14:paraId="4A2CEB37" w14:textId="6BFB89B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6-month follow-up: 119</w:t>
            </w:r>
            <w:r w:rsidRPr="0066602A">
              <w:rPr>
                <w:sz w:val="20"/>
                <w:szCs w:val="20"/>
                <w:lang w:val="en-US"/>
              </w:rPr>
              <w:br/>
              <w:t>1-year follow-up: 108</w:t>
            </w:r>
          </w:p>
        </w:tc>
        <w:tc>
          <w:tcPr>
            <w:tcW w:w="436" w:type="pct"/>
          </w:tcPr>
          <w:p w14:paraId="4B25DD25" w14:textId="7AA260C8"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- 59.39</w:t>
            </w:r>
          </w:p>
        </w:tc>
        <w:tc>
          <w:tcPr>
            <w:tcW w:w="726" w:type="pct"/>
          </w:tcPr>
          <w:p w14:paraId="6CA798A2" w14:textId="5B1B8E10"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Ovarian: 173 (100%)</w:t>
            </w:r>
          </w:p>
        </w:tc>
        <w:tc>
          <w:tcPr>
            <w:tcW w:w="760" w:type="pct"/>
          </w:tcPr>
          <w:p w14:paraId="726AF3D5" w14:textId="383D73CB"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lang w:val="en-US"/>
              </w:rPr>
              <w:t>Medication use before surgery</w:t>
            </w:r>
            <w:r w:rsidRPr="0066602A">
              <w:rPr>
                <w:sz w:val="20"/>
                <w:szCs w:val="20"/>
                <w:lang w:val="en-US"/>
              </w:rPr>
              <w:br/>
              <w:t>Hypnotics: 11.8%</w:t>
            </w:r>
            <w:r w:rsidRPr="0066602A">
              <w:rPr>
                <w:sz w:val="20"/>
                <w:szCs w:val="20"/>
                <w:lang w:val="en-US"/>
              </w:rPr>
              <w:br/>
              <w:t>Antidepressants: 22.6%</w:t>
            </w:r>
            <w:r w:rsidRPr="0066602A">
              <w:rPr>
                <w:sz w:val="20"/>
                <w:szCs w:val="20"/>
                <w:lang w:val="en-US"/>
              </w:rPr>
              <w:br/>
              <w:t>Anxiolytics: 12.4%</w:t>
            </w:r>
            <w:r w:rsidRPr="0066602A">
              <w:rPr>
                <w:sz w:val="20"/>
                <w:szCs w:val="20"/>
                <w:lang w:val="en-US"/>
              </w:rPr>
              <w:br/>
              <w:t>Pain medications: 23.1%</w:t>
            </w:r>
            <w:r w:rsidRPr="0066602A">
              <w:rPr>
                <w:sz w:val="20"/>
                <w:szCs w:val="20"/>
                <w:lang w:val="en-US"/>
              </w:rPr>
              <w:br/>
            </w:r>
            <w:r w:rsidRPr="0066602A">
              <w:rPr>
                <w:b/>
                <w:bCs w:val="0"/>
                <w:sz w:val="20"/>
                <w:szCs w:val="20"/>
                <w:lang w:val="en-US"/>
              </w:rPr>
              <w:t>Medication use at 6 months</w:t>
            </w:r>
            <w:r w:rsidRPr="0066602A">
              <w:rPr>
                <w:sz w:val="20"/>
                <w:szCs w:val="20"/>
                <w:lang w:val="en-US"/>
              </w:rPr>
              <w:br/>
              <w:t>Hypnotics: 11.3%</w:t>
            </w:r>
            <w:r w:rsidRPr="0066602A">
              <w:rPr>
                <w:sz w:val="20"/>
                <w:szCs w:val="20"/>
                <w:lang w:val="en-US"/>
              </w:rPr>
              <w:br/>
            </w:r>
            <w:r w:rsidRPr="0066602A">
              <w:rPr>
                <w:sz w:val="20"/>
                <w:szCs w:val="20"/>
                <w:lang w:val="en-US"/>
              </w:rPr>
              <w:lastRenderedPageBreak/>
              <w:t>Antidepressants: 12.9%</w:t>
            </w:r>
            <w:r w:rsidRPr="0066602A">
              <w:rPr>
                <w:sz w:val="20"/>
                <w:szCs w:val="20"/>
                <w:lang w:val="en-US"/>
              </w:rPr>
              <w:br/>
              <w:t>Anxiolytics: 8.6%</w:t>
            </w:r>
            <w:r w:rsidRPr="0066602A">
              <w:rPr>
                <w:sz w:val="20"/>
                <w:szCs w:val="20"/>
                <w:lang w:val="en-US"/>
              </w:rPr>
              <w:br/>
              <w:t>Pain medications: 17.7%</w:t>
            </w:r>
            <w:r w:rsidRPr="0066602A">
              <w:rPr>
                <w:sz w:val="20"/>
                <w:szCs w:val="20"/>
                <w:lang w:val="en-US"/>
              </w:rPr>
              <w:br/>
            </w:r>
            <w:r w:rsidRPr="0066602A">
              <w:rPr>
                <w:b/>
                <w:bCs w:val="0"/>
                <w:sz w:val="20"/>
                <w:szCs w:val="20"/>
                <w:lang w:val="en-US"/>
              </w:rPr>
              <w:t>Medication use at 1 year</w:t>
            </w:r>
            <w:r w:rsidRPr="0066602A">
              <w:rPr>
                <w:sz w:val="20"/>
                <w:szCs w:val="20"/>
                <w:lang w:val="en-US"/>
              </w:rPr>
              <w:br/>
              <w:t>Hypnotics: 9.3%</w:t>
            </w:r>
            <w:r w:rsidRPr="0066602A">
              <w:rPr>
                <w:sz w:val="20"/>
                <w:szCs w:val="20"/>
                <w:lang w:val="en-US"/>
              </w:rPr>
              <w:br/>
              <w:t>Antidepressants: 25.8%</w:t>
            </w:r>
            <w:r w:rsidRPr="0066602A">
              <w:rPr>
                <w:sz w:val="20"/>
                <w:szCs w:val="20"/>
                <w:lang w:val="en-US"/>
              </w:rPr>
              <w:br/>
              <w:t>Anxiolytics: 13.4%</w:t>
            </w:r>
            <w:r w:rsidRPr="0066602A">
              <w:rPr>
                <w:sz w:val="20"/>
                <w:szCs w:val="20"/>
                <w:lang w:val="en-US"/>
              </w:rPr>
              <w:br/>
              <w:t>Pain medications: 28.9%</w:t>
            </w:r>
          </w:p>
        </w:tc>
        <w:tc>
          <w:tcPr>
            <w:tcW w:w="551" w:type="pct"/>
          </w:tcPr>
          <w:p w14:paraId="0C193415"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lastRenderedPageBreak/>
              <w:t>Prescribed sleep or analgesic medications.</w:t>
            </w:r>
          </w:p>
        </w:tc>
        <w:tc>
          <w:tcPr>
            <w:tcW w:w="1562" w:type="pct"/>
          </w:tcPr>
          <w:p w14:paraId="3DEFCD4A"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Medication use was largely similar before surgery and at 6 months and 1 year after diagnosis. </w:t>
            </w:r>
            <w:r w:rsidRPr="0066602A">
              <w:rPr>
                <w:sz w:val="20"/>
                <w:szCs w:val="20"/>
                <w:lang w:val="en-US"/>
              </w:rPr>
              <w:br/>
              <w:t xml:space="preserve">&gt; At all time points, patients using prescribed sleep or analgesic medications reported significantly worse sleep quality than those not using these medications (all P values &gt; 0.025). </w:t>
            </w:r>
            <w:r w:rsidRPr="0066602A">
              <w:rPr>
                <w:sz w:val="20"/>
                <w:szCs w:val="20"/>
                <w:lang w:val="en-US"/>
              </w:rPr>
              <w:br/>
              <w:t xml:space="preserve">&gt; There were generally no differences in global sleep quality for users and non-users of anti-depressant and anxiolytic medications (all P values &gt;0.10), although at 6 months, patients taking </w:t>
            </w:r>
            <w:r w:rsidRPr="0066602A">
              <w:rPr>
                <w:sz w:val="20"/>
                <w:szCs w:val="20"/>
                <w:lang w:val="en-US"/>
              </w:rPr>
              <w:lastRenderedPageBreak/>
              <w:t>antidepressants had significantly worse sleep quality than non-users (P=0.03).</w:t>
            </w:r>
          </w:p>
        </w:tc>
      </w:tr>
      <w:tr w:rsidR="00685696" w:rsidRPr="0066602A" w14:paraId="0CA704E4"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3A3AB058" w14:textId="77777777" w:rsidR="00685696" w:rsidRPr="0066602A" w:rsidRDefault="00685696" w:rsidP="00685696">
            <w:pPr>
              <w:pStyle w:val="Table-Normal"/>
              <w:rPr>
                <w:rFonts w:eastAsia="Times New Roman"/>
                <w:sz w:val="20"/>
                <w:szCs w:val="20"/>
                <w:lang w:val="en-US" w:eastAsia="en-GB"/>
              </w:rPr>
            </w:pPr>
            <w:r w:rsidRPr="0066602A">
              <w:rPr>
                <w:sz w:val="20"/>
                <w:szCs w:val="20"/>
                <w:lang w:val="en-US"/>
              </w:rPr>
              <w:lastRenderedPageBreak/>
              <w:t>Huong, 2021</w:t>
            </w:r>
          </w:p>
          <w:p w14:paraId="04B7D051" w14:textId="1ABF5C0A" w:rsidR="00685696" w:rsidRPr="0066602A" w:rsidRDefault="00685696" w:rsidP="00685696">
            <w:pPr>
              <w:pStyle w:val="Table-Normal"/>
              <w:rPr>
                <w:rFonts w:eastAsia="Times New Roman"/>
                <w:sz w:val="20"/>
                <w:szCs w:val="20"/>
                <w:lang w:val="en-US" w:eastAsia="ja-JP"/>
              </w:rPr>
            </w:pPr>
            <w:r w:rsidRPr="0066602A">
              <w:rPr>
                <w:sz w:val="20"/>
                <w:szCs w:val="20"/>
                <w:lang w:val="en-US"/>
              </w:rPr>
              <w:t>Vietnam</w:t>
            </w:r>
          </w:p>
          <w:p w14:paraId="1E6B9166" w14:textId="20D77532" w:rsidR="00685696" w:rsidRPr="0066602A" w:rsidRDefault="00685696" w:rsidP="00685696">
            <w:pPr>
              <w:pStyle w:val="Table-Normal"/>
              <w:rPr>
                <w:sz w:val="20"/>
                <w:szCs w:val="20"/>
                <w:lang w:val="en-US"/>
              </w:rPr>
            </w:pPr>
            <w:r w:rsidRPr="0066602A">
              <w:rPr>
                <w:sz w:val="20"/>
                <w:szCs w:val="20"/>
                <w:lang w:val="en-US"/>
              </w:rPr>
              <w:t>Three-arm randomized sham-controlled trial design, December 2018-June 2019</w:t>
            </w:r>
          </w:p>
        </w:tc>
        <w:tc>
          <w:tcPr>
            <w:tcW w:w="468" w:type="pct"/>
          </w:tcPr>
          <w:p w14:paraId="521C8444" w14:textId="3F4ABAF0"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114</w:t>
            </w:r>
          </w:p>
        </w:tc>
        <w:tc>
          <w:tcPr>
            <w:tcW w:w="436" w:type="pct"/>
          </w:tcPr>
          <w:p w14:paraId="035FF511" w14:textId="58992869"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Male - 28%</w:t>
            </w:r>
            <w:r w:rsidRPr="0066602A">
              <w:rPr>
                <w:rFonts w:cstheme="minorHAnsi"/>
                <w:color w:val="4E5053"/>
                <w:sz w:val="20"/>
                <w:szCs w:val="20"/>
                <w:lang w:val="en-US"/>
              </w:rPr>
              <w:br/>
              <w:t>Female - 72%</w:t>
            </w:r>
            <w:r w:rsidRPr="0066602A">
              <w:rPr>
                <w:rFonts w:cstheme="minorHAnsi"/>
                <w:color w:val="4E5053"/>
                <w:sz w:val="20"/>
                <w:szCs w:val="20"/>
                <w:lang w:val="en-US"/>
              </w:rPr>
              <w:br/>
              <w:t>Mean - 55.0</w:t>
            </w:r>
          </w:p>
        </w:tc>
        <w:tc>
          <w:tcPr>
            <w:tcW w:w="726" w:type="pct"/>
          </w:tcPr>
          <w:p w14:paraId="1FB5ACC1" w14:textId="06A1AC69"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Breast cancer: 51 (45%) </w:t>
            </w:r>
            <w:r w:rsidRPr="0066602A">
              <w:rPr>
                <w:sz w:val="20"/>
                <w:szCs w:val="20"/>
                <w:lang w:val="en-US"/>
              </w:rPr>
              <w:br/>
              <w:t>Lung cancer: 14 (12%)</w:t>
            </w:r>
            <w:r w:rsidRPr="0066602A">
              <w:rPr>
                <w:sz w:val="20"/>
                <w:szCs w:val="20"/>
                <w:lang w:val="en-US"/>
              </w:rPr>
              <w:br/>
              <w:t>Cancer of digestive system: 11 (10%)</w:t>
            </w:r>
            <w:r w:rsidRPr="0066602A">
              <w:rPr>
                <w:sz w:val="20"/>
                <w:szCs w:val="20"/>
                <w:lang w:val="en-US"/>
              </w:rPr>
              <w:br/>
              <w:t>Cervical cancer: 9 (8%)</w:t>
            </w:r>
            <w:r w:rsidRPr="0066602A">
              <w:rPr>
                <w:sz w:val="20"/>
                <w:szCs w:val="20"/>
                <w:lang w:val="en-US"/>
              </w:rPr>
              <w:br/>
            </w:r>
            <w:proofErr w:type="gramStart"/>
            <w:r w:rsidRPr="0066602A">
              <w:rPr>
                <w:sz w:val="20"/>
                <w:szCs w:val="20"/>
                <w:lang w:val="en-US"/>
              </w:rPr>
              <w:t>Non-Hodgkin’s</w:t>
            </w:r>
            <w:proofErr w:type="gramEnd"/>
            <w:r w:rsidRPr="0066602A">
              <w:rPr>
                <w:sz w:val="20"/>
                <w:szCs w:val="20"/>
                <w:lang w:val="en-US"/>
              </w:rPr>
              <w:t xml:space="preserve"> lymphoma: 9 (8%)</w:t>
            </w:r>
            <w:r w:rsidRPr="0066602A">
              <w:rPr>
                <w:sz w:val="20"/>
                <w:szCs w:val="20"/>
                <w:lang w:val="en-US"/>
              </w:rPr>
              <w:br/>
              <w:t>Hodgkin’s lymphoma: 9 (8%)</w:t>
            </w:r>
            <w:r w:rsidRPr="0066602A">
              <w:rPr>
                <w:sz w:val="20"/>
                <w:szCs w:val="20"/>
                <w:lang w:val="en-US"/>
              </w:rPr>
              <w:br/>
              <w:t>Other cancers: 11 (10%)</w:t>
            </w:r>
          </w:p>
        </w:tc>
        <w:tc>
          <w:tcPr>
            <w:tcW w:w="760" w:type="pct"/>
          </w:tcPr>
          <w:p w14:paraId="03EBD9F5"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Chemotherapy: 114 (100%)</w:t>
            </w:r>
            <w:r w:rsidRPr="0066602A">
              <w:rPr>
                <w:sz w:val="20"/>
                <w:szCs w:val="20"/>
                <w:lang w:val="en-US"/>
              </w:rPr>
              <w:br/>
              <w:t>Surgical</w:t>
            </w:r>
          </w:p>
        </w:tc>
        <w:tc>
          <w:tcPr>
            <w:tcW w:w="551" w:type="pct"/>
          </w:tcPr>
          <w:p w14:paraId="0A1543FB"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True acupressure group (TAP)</w:t>
            </w:r>
            <w:r w:rsidRPr="0066602A">
              <w:rPr>
                <w:sz w:val="20"/>
                <w:szCs w:val="20"/>
                <w:lang w:val="en-US"/>
              </w:rPr>
              <w:br/>
              <w:t>Sham acupressure group (SAP)</w:t>
            </w:r>
          </w:p>
        </w:tc>
        <w:tc>
          <w:tcPr>
            <w:tcW w:w="1562" w:type="pct"/>
          </w:tcPr>
          <w:p w14:paraId="6CDD9B98" w14:textId="43630064"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&gt; The pairwise comparisons reported a significant reduction of insomnia and anxiety at T2 and T3 in TAP and at T2 in SAP, while no significance was found at any time point in the ESC. </w:t>
            </w:r>
            <w:r w:rsidRPr="0066602A">
              <w:rPr>
                <w:sz w:val="20"/>
                <w:szCs w:val="20"/>
                <w:lang w:val="en-US"/>
              </w:rPr>
              <w:br/>
              <w:t>&gt; Regarding depression severity, the time main effect and group by time interaction were found to be non-significant (p &gt; 0.05). However, at T3, participants in SAP had a significantly lower HADS-D compared with ESC (p&lt;0.05).</w:t>
            </w:r>
            <w:r w:rsidRPr="0066602A">
              <w:rPr>
                <w:sz w:val="20"/>
                <w:szCs w:val="20"/>
                <w:lang w:val="en-US"/>
              </w:rPr>
              <w:br/>
              <w:t>&gt; The sleep diary showed that the true acupressure group had significantly improved time of wakefulness after sleep onset, total sleep time and sleep efficiency between T1 and T2, and the first two between T1 and T3.</w:t>
            </w:r>
          </w:p>
        </w:tc>
      </w:tr>
      <w:tr w:rsidR="00685696" w:rsidRPr="0066602A" w14:paraId="361C65F7"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63C12D70" w14:textId="77777777" w:rsidR="00685696" w:rsidRPr="0066602A" w:rsidRDefault="00685696" w:rsidP="00685696">
            <w:pPr>
              <w:pStyle w:val="Table-Normal"/>
              <w:rPr>
                <w:rFonts w:eastAsia="Times New Roman"/>
                <w:sz w:val="20"/>
                <w:szCs w:val="20"/>
                <w:lang w:val="en-US" w:eastAsia="en-GB"/>
              </w:rPr>
            </w:pPr>
            <w:proofErr w:type="spellStart"/>
            <w:r w:rsidRPr="0066602A">
              <w:rPr>
                <w:sz w:val="20"/>
                <w:szCs w:val="20"/>
                <w:lang w:val="en-US"/>
              </w:rPr>
              <w:t>Kozik</w:t>
            </w:r>
            <w:proofErr w:type="spellEnd"/>
            <w:r w:rsidRPr="0066602A">
              <w:rPr>
                <w:sz w:val="20"/>
                <w:szCs w:val="20"/>
                <w:lang w:val="en-US"/>
              </w:rPr>
              <w:t>, 2018</w:t>
            </w:r>
          </w:p>
          <w:p w14:paraId="0E5045B6" w14:textId="388F1263" w:rsidR="00685696" w:rsidRPr="0066602A" w:rsidRDefault="00685696" w:rsidP="00685696">
            <w:pPr>
              <w:pStyle w:val="Table-Normal"/>
              <w:rPr>
                <w:rFonts w:eastAsia="Times New Roman"/>
                <w:sz w:val="20"/>
                <w:szCs w:val="20"/>
                <w:lang w:val="en-US" w:eastAsia="ja-JP"/>
              </w:rPr>
            </w:pPr>
            <w:r w:rsidRPr="0066602A">
              <w:rPr>
                <w:sz w:val="20"/>
                <w:szCs w:val="20"/>
                <w:lang w:val="en-US"/>
              </w:rPr>
              <w:t>USA</w:t>
            </w:r>
          </w:p>
          <w:p w14:paraId="147E2628" w14:textId="0DA8584D" w:rsidR="00685696" w:rsidRPr="0066602A" w:rsidRDefault="00685696" w:rsidP="00685696">
            <w:pPr>
              <w:pStyle w:val="Table-Normal"/>
              <w:rPr>
                <w:sz w:val="20"/>
                <w:szCs w:val="20"/>
                <w:lang w:val="en-US"/>
              </w:rPr>
            </w:pPr>
            <w:r w:rsidRPr="0066602A">
              <w:rPr>
                <w:sz w:val="20"/>
                <w:szCs w:val="20"/>
                <w:lang w:val="en-US"/>
              </w:rPr>
              <w:t>Observational study, 10 weeks</w:t>
            </w:r>
          </w:p>
        </w:tc>
        <w:tc>
          <w:tcPr>
            <w:tcW w:w="468" w:type="pct"/>
          </w:tcPr>
          <w:p w14:paraId="61C815AA" w14:textId="3D164CA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75 enrolled</w:t>
            </w:r>
            <w:r w:rsidRPr="0066602A">
              <w:rPr>
                <w:rFonts w:cstheme="minorHAnsi"/>
                <w:color w:val="4E5053"/>
                <w:sz w:val="20"/>
                <w:szCs w:val="20"/>
                <w:lang w:val="en-US"/>
              </w:rPr>
              <w:br/>
              <w:t>40 (53.3%) completed the full 10-week program</w:t>
            </w:r>
          </w:p>
        </w:tc>
        <w:tc>
          <w:tcPr>
            <w:tcW w:w="436" w:type="pct"/>
          </w:tcPr>
          <w:p w14:paraId="7A620DEF" w14:textId="0FA70D51"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Male - 17%</w:t>
            </w:r>
            <w:r w:rsidRPr="0066602A">
              <w:rPr>
                <w:rFonts w:cstheme="minorHAnsi"/>
                <w:color w:val="4E5053"/>
                <w:sz w:val="20"/>
                <w:szCs w:val="20"/>
                <w:lang w:val="en-US"/>
              </w:rPr>
              <w:br/>
              <w:t>Female - 83%</w:t>
            </w:r>
            <w:r w:rsidRPr="0066602A">
              <w:rPr>
                <w:rFonts w:cstheme="minorHAnsi"/>
                <w:color w:val="4E5053"/>
                <w:sz w:val="20"/>
                <w:szCs w:val="20"/>
                <w:lang w:val="en-US"/>
              </w:rPr>
              <w:br/>
              <w:t>Mean - 59</w:t>
            </w:r>
          </w:p>
        </w:tc>
        <w:tc>
          <w:tcPr>
            <w:tcW w:w="726" w:type="pct"/>
          </w:tcPr>
          <w:p w14:paraId="468A84BA" w14:textId="1791EB92"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Breast cancer (n=43; 57.3%) </w:t>
            </w:r>
            <w:r w:rsidRPr="0066602A">
              <w:rPr>
                <w:sz w:val="20"/>
                <w:szCs w:val="20"/>
                <w:lang w:val="en-US"/>
              </w:rPr>
              <w:br/>
              <w:t>Lung cancer (n=12; 16.0%)</w:t>
            </w:r>
          </w:p>
        </w:tc>
        <w:tc>
          <w:tcPr>
            <w:tcW w:w="760" w:type="pct"/>
          </w:tcPr>
          <w:p w14:paraId="27E6978F"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Chemotherapy or radiation</w:t>
            </w:r>
          </w:p>
        </w:tc>
        <w:tc>
          <w:tcPr>
            <w:tcW w:w="551" w:type="pct"/>
          </w:tcPr>
          <w:p w14:paraId="5451086A"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Exercise</w:t>
            </w:r>
          </w:p>
        </w:tc>
        <w:tc>
          <w:tcPr>
            <w:tcW w:w="1562" w:type="pct"/>
          </w:tcPr>
          <w:p w14:paraId="43BC9E94"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Patients were undergoing an exercise program to improve depression and sleep disorders. Subjects included in the study were currently receiving treatment (chemotherapy and/or radiation) for any type of cancer or were within six months from completion.</w:t>
            </w:r>
            <w:r w:rsidRPr="0066602A">
              <w:rPr>
                <w:sz w:val="20"/>
                <w:szCs w:val="20"/>
                <w:lang w:val="en-US"/>
              </w:rPr>
              <w:br/>
              <w:t xml:space="preserve">&gt; A significant improvement was seen in insomnia symptoms from baseline scores (mean 9.5; SD 3.7) </w:t>
            </w:r>
            <w:r w:rsidRPr="0066602A">
              <w:rPr>
                <w:sz w:val="20"/>
                <w:szCs w:val="20"/>
                <w:lang w:val="en-US"/>
              </w:rPr>
              <w:lastRenderedPageBreak/>
              <w:t>compared to their final scores (mean 6.3; SD 3.5; t = 4.468; p-value= &lt; 0.01).</w:t>
            </w:r>
          </w:p>
        </w:tc>
      </w:tr>
      <w:tr w:rsidR="00685696" w:rsidRPr="0066602A" w14:paraId="198108E5"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785A3C3A" w14:textId="77777777" w:rsidR="00685696" w:rsidRPr="0066602A" w:rsidRDefault="00685696" w:rsidP="00685696">
            <w:pPr>
              <w:pStyle w:val="Table-Normal"/>
              <w:keepNext/>
              <w:keepLines/>
              <w:rPr>
                <w:rFonts w:eastAsia="Times New Roman"/>
                <w:sz w:val="20"/>
                <w:szCs w:val="20"/>
                <w:lang w:val="en-US" w:eastAsia="en-GB"/>
              </w:rPr>
            </w:pPr>
            <w:r w:rsidRPr="0066602A">
              <w:rPr>
                <w:sz w:val="20"/>
                <w:szCs w:val="20"/>
                <w:lang w:val="en-US"/>
              </w:rPr>
              <w:lastRenderedPageBreak/>
              <w:t>Lee, 2018</w:t>
            </w:r>
          </w:p>
          <w:p w14:paraId="444F33F4" w14:textId="2D88E8DD" w:rsidR="00685696" w:rsidRPr="0066602A" w:rsidRDefault="00685696" w:rsidP="00685696">
            <w:pPr>
              <w:pStyle w:val="Table-Normal"/>
              <w:keepNext/>
              <w:keepLines/>
              <w:rPr>
                <w:rFonts w:eastAsia="Times New Roman"/>
                <w:sz w:val="20"/>
                <w:szCs w:val="20"/>
                <w:lang w:val="en-US" w:eastAsia="ja-JP"/>
              </w:rPr>
            </w:pPr>
            <w:r w:rsidRPr="0066602A">
              <w:rPr>
                <w:sz w:val="20"/>
                <w:szCs w:val="20"/>
                <w:lang w:val="en-US"/>
              </w:rPr>
              <w:t>Korea</w:t>
            </w:r>
          </w:p>
          <w:p w14:paraId="64B58305" w14:textId="0BCCA128" w:rsidR="00685696" w:rsidRPr="0066602A" w:rsidRDefault="00685696" w:rsidP="00685696">
            <w:pPr>
              <w:pStyle w:val="Table-Normal"/>
              <w:keepNext/>
              <w:keepLines/>
              <w:rPr>
                <w:sz w:val="20"/>
                <w:szCs w:val="20"/>
                <w:lang w:val="en-US"/>
              </w:rPr>
            </w:pPr>
            <w:r w:rsidRPr="0066602A">
              <w:rPr>
                <w:sz w:val="20"/>
                <w:szCs w:val="20"/>
                <w:lang w:val="en-US"/>
              </w:rPr>
              <w:t>Prospective, randomized, wait-list-controlled, open-label pilot clinical trial, 8 months</w:t>
            </w:r>
          </w:p>
        </w:tc>
        <w:tc>
          <w:tcPr>
            <w:tcW w:w="468" w:type="pct"/>
          </w:tcPr>
          <w:p w14:paraId="52B04F98" w14:textId="0CC68755"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30</w:t>
            </w:r>
          </w:p>
        </w:tc>
        <w:tc>
          <w:tcPr>
            <w:tcW w:w="436" w:type="pct"/>
          </w:tcPr>
          <w:p w14:paraId="67FAA526" w14:textId="672D21EE"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- 53%</w:t>
            </w:r>
            <w:r w:rsidRPr="0066602A">
              <w:rPr>
                <w:rFonts w:cstheme="minorHAnsi"/>
                <w:color w:val="4E5053"/>
                <w:sz w:val="20"/>
                <w:szCs w:val="20"/>
                <w:lang w:val="en-US"/>
              </w:rPr>
              <w:br/>
              <w:t>Male - 47%</w:t>
            </w:r>
            <w:r w:rsidRPr="0066602A">
              <w:rPr>
                <w:rFonts w:cstheme="minorHAnsi"/>
                <w:color w:val="4E5053"/>
                <w:sz w:val="20"/>
                <w:szCs w:val="20"/>
                <w:lang w:val="en-US"/>
              </w:rPr>
              <w:br/>
              <w:t>Mean - 54.2</w:t>
            </w:r>
          </w:p>
        </w:tc>
        <w:tc>
          <w:tcPr>
            <w:tcW w:w="726" w:type="pct"/>
          </w:tcPr>
          <w:p w14:paraId="2270377A" w14:textId="1EBD8742"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GI: 13 (43.3%)</w:t>
            </w:r>
            <w:r w:rsidRPr="0066602A">
              <w:rPr>
                <w:sz w:val="20"/>
                <w:szCs w:val="20"/>
                <w:lang w:val="en-US"/>
              </w:rPr>
              <w:br/>
              <w:t>Breast: 8 (26.7%)</w:t>
            </w:r>
            <w:r w:rsidRPr="0066602A">
              <w:rPr>
                <w:sz w:val="20"/>
                <w:szCs w:val="20"/>
                <w:lang w:val="en-US"/>
              </w:rPr>
              <w:br/>
              <w:t>Lung: 3 (10%)</w:t>
            </w:r>
            <w:r w:rsidRPr="0066602A">
              <w:rPr>
                <w:sz w:val="20"/>
                <w:szCs w:val="20"/>
                <w:lang w:val="en-US"/>
              </w:rPr>
              <w:br/>
              <w:t>Other: 6 (20%)</w:t>
            </w:r>
          </w:p>
        </w:tc>
        <w:tc>
          <w:tcPr>
            <w:tcW w:w="760" w:type="pct"/>
          </w:tcPr>
          <w:p w14:paraId="7C366CD4" w14:textId="34D3D6E3"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Chemotherapy: 8 (26.7%) </w:t>
            </w:r>
            <w:r w:rsidRPr="0066602A">
              <w:rPr>
                <w:sz w:val="20"/>
                <w:szCs w:val="20"/>
                <w:lang w:val="en-US"/>
              </w:rPr>
              <w:br/>
            </w:r>
            <w:r w:rsidR="00480763" w:rsidRPr="0066602A">
              <w:rPr>
                <w:sz w:val="20"/>
                <w:szCs w:val="20"/>
                <w:lang w:val="en-US"/>
              </w:rPr>
              <w:t xml:space="preserve">Radiation </w:t>
            </w:r>
            <w:r w:rsidRPr="0066602A">
              <w:rPr>
                <w:sz w:val="20"/>
                <w:szCs w:val="20"/>
                <w:lang w:val="en-US"/>
              </w:rPr>
              <w:t>therapy: 3 (10%)</w:t>
            </w:r>
            <w:r w:rsidRPr="0066602A">
              <w:rPr>
                <w:sz w:val="20"/>
                <w:szCs w:val="20"/>
                <w:lang w:val="en-US"/>
              </w:rPr>
              <w:br/>
              <w:t>Hormonal therapy: 6 (20%)</w:t>
            </w:r>
            <w:r w:rsidRPr="0066602A">
              <w:rPr>
                <w:sz w:val="20"/>
                <w:szCs w:val="20"/>
                <w:lang w:val="en-US"/>
              </w:rPr>
              <w:br/>
            </w:r>
            <w:r w:rsidRPr="0066602A">
              <w:rPr>
                <w:sz w:val="20"/>
                <w:szCs w:val="20"/>
                <w:lang w:val="en-US"/>
              </w:rPr>
              <w:br/>
              <w:t>[Hypnotics: 6 (20%)]</w:t>
            </w:r>
          </w:p>
        </w:tc>
        <w:tc>
          <w:tcPr>
            <w:tcW w:w="551" w:type="pct"/>
          </w:tcPr>
          <w:p w14:paraId="4EF9F155" w14:textId="77777777"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GGBT: Traditional herbal medicine </w:t>
            </w:r>
            <w:proofErr w:type="spellStart"/>
            <w:r w:rsidRPr="0066602A">
              <w:rPr>
                <w:sz w:val="20"/>
                <w:szCs w:val="20"/>
                <w:lang w:val="en-US"/>
              </w:rPr>
              <w:t>Gamiguibi</w:t>
            </w:r>
            <w:proofErr w:type="spellEnd"/>
            <w:r w:rsidRPr="0066602A">
              <w:rPr>
                <w:sz w:val="20"/>
                <w:szCs w:val="20"/>
                <w:lang w:val="en-US"/>
              </w:rPr>
              <w:t xml:space="preserve">-tang </w:t>
            </w:r>
          </w:p>
        </w:tc>
        <w:tc>
          <w:tcPr>
            <w:tcW w:w="1562" w:type="pct"/>
          </w:tcPr>
          <w:p w14:paraId="65AC2E81" w14:textId="77777777" w:rsidR="00685696" w:rsidRPr="0066602A" w:rsidRDefault="00685696" w:rsidP="00685696">
            <w:pPr>
              <w:pStyle w:val="Table-Normal"/>
              <w:keepNext/>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GGBT: Traditional herbal medicine </w:t>
            </w:r>
            <w:proofErr w:type="spellStart"/>
            <w:r w:rsidRPr="0066602A">
              <w:rPr>
                <w:sz w:val="20"/>
                <w:szCs w:val="20"/>
                <w:lang w:val="en-US"/>
              </w:rPr>
              <w:t>Gamiguibi</w:t>
            </w:r>
            <w:proofErr w:type="spellEnd"/>
            <w:r w:rsidRPr="0066602A">
              <w:rPr>
                <w:sz w:val="20"/>
                <w:szCs w:val="20"/>
                <w:lang w:val="en-US"/>
              </w:rPr>
              <w:t xml:space="preserve">-tang </w:t>
            </w:r>
            <w:r w:rsidRPr="0066602A">
              <w:rPr>
                <w:sz w:val="20"/>
                <w:szCs w:val="20"/>
                <w:lang w:val="en-US"/>
              </w:rPr>
              <w:br/>
              <w:t xml:space="preserve">&gt; After 2 weeks of treatment, the ISI scores decreased significantly in the GGBT group, but not in the wait-list group (P&lt;.001), which indicated that GGBT administration improved the sleep disturbance in these patients. </w:t>
            </w:r>
          </w:p>
        </w:tc>
      </w:tr>
      <w:tr w:rsidR="00685696" w:rsidRPr="0066602A" w14:paraId="1858E2B5"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7352EB5E" w14:textId="77777777" w:rsidR="00685696" w:rsidRPr="0066602A" w:rsidRDefault="00685696" w:rsidP="00685696">
            <w:pPr>
              <w:pStyle w:val="Table-Normal"/>
              <w:rPr>
                <w:rFonts w:eastAsia="Times New Roman"/>
                <w:sz w:val="20"/>
                <w:szCs w:val="20"/>
                <w:lang w:val="en-US" w:eastAsia="en-GB"/>
              </w:rPr>
            </w:pPr>
            <w:r w:rsidRPr="0066602A">
              <w:rPr>
                <w:sz w:val="20"/>
                <w:szCs w:val="20"/>
                <w:lang w:val="en-US"/>
              </w:rPr>
              <w:t>McQuade, 2017</w:t>
            </w:r>
          </w:p>
          <w:p w14:paraId="1E67F214" w14:textId="14BEB5D8" w:rsidR="00685696" w:rsidRPr="0066602A" w:rsidRDefault="00685696" w:rsidP="00685696">
            <w:pPr>
              <w:pStyle w:val="Table-Normal"/>
              <w:rPr>
                <w:rFonts w:eastAsia="Times New Roman"/>
                <w:sz w:val="20"/>
                <w:szCs w:val="20"/>
                <w:lang w:val="en-US" w:eastAsia="ja-JP"/>
              </w:rPr>
            </w:pPr>
            <w:r w:rsidRPr="0066602A">
              <w:rPr>
                <w:sz w:val="20"/>
                <w:szCs w:val="20"/>
                <w:lang w:val="en-US"/>
              </w:rPr>
              <w:t>USA</w:t>
            </w:r>
          </w:p>
          <w:p w14:paraId="31B5A50E" w14:textId="1793DBE7" w:rsidR="00685696" w:rsidRPr="0066602A" w:rsidRDefault="00685696" w:rsidP="00685696">
            <w:pPr>
              <w:pStyle w:val="Table-Normal"/>
              <w:rPr>
                <w:sz w:val="20"/>
                <w:szCs w:val="20"/>
                <w:lang w:val="en-US"/>
              </w:rPr>
            </w:pPr>
            <w:r w:rsidRPr="0066602A">
              <w:rPr>
                <w:sz w:val="20"/>
                <w:szCs w:val="20"/>
                <w:lang w:val="en-US"/>
              </w:rPr>
              <w:t>RCT, February 2009 - January 2012</w:t>
            </w:r>
          </w:p>
        </w:tc>
        <w:tc>
          <w:tcPr>
            <w:tcW w:w="468" w:type="pct"/>
          </w:tcPr>
          <w:p w14:paraId="4C732969" w14:textId="374291F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66</w:t>
            </w:r>
          </w:p>
        </w:tc>
        <w:tc>
          <w:tcPr>
            <w:tcW w:w="436" w:type="pct"/>
          </w:tcPr>
          <w:p w14:paraId="7E00A203" w14:textId="5620EBC8"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Male – 100%</w:t>
            </w:r>
            <w:r w:rsidRPr="0066602A">
              <w:rPr>
                <w:rFonts w:cstheme="minorHAnsi"/>
                <w:color w:val="4E5053"/>
                <w:sz w:val="20"/>
                <w:szCs w:val="20"/>
                <w:lang w:val="en-US"/>
              </w:rPr>
              <w:br/>
              <w:t>Mean – 64.5</w:t>
            </w:r>
          </w:p>
        </w:tc>
        <w:tc>
          <w:tcPr>
            <w:tcW w:w="726" w:type="pct"/>
          </w:tcPr>
          <w:p w14:paraId="2089C8E1" w14:textId="159E8929"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Prostate: 66 (100%)</w:t>
            </w:r>
          </w:p>
        </w:tc>
        <w:tc>
          <w:tcPr>
            <w:tcW w:w="760" w:type="pct"/>
          </w:tcPr>
          <w:p w14:paraId="5CE6286D" w14:textId="7647F1D4" w:rsidR="00685696" w:rsidRPr="0066602A" w:rsidRDefault="00480763"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Radiation </w:t>
            </w:r>
            <w:r w:rsidR="00685696" w:rsidRPr="0066602A">
              <w:rPr>
                <w:sz w:val="20"/>
                <w:szCs w:val="20"/>
                <w:lang w:val="en-US"/>
              </w:rPr>
              <w:t>therapy: 66 (100%)</w:t>
            </w:r>
          </w:p>
        </w:tc>
        <w:tc>
          <w:tcPr>
            <w:tcW w:w="551" w:type="pct"/>
          </w:tcPr>
          <w:p w14:paraId="04A9BE09"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Exercise: Qigong/Tai chi (QGTC), light exercise</w:t>
            </w:r>
          </w:p>
        </w:tc>
        <w:tc>
          <w:tcPr>
            <w:tcW w:w="1562" w:type="pct"/>
          </w:tcPr>
          <w:p w14:paraId="7EEC09FA"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Effects of Qigong/tai chi and light exercise; There was a statistically significant effect of time on sleep duration (p=0.03), with an increase in sleep duration over time.</w:t>
            </w:r>
            <w:r w:rsidRPr="0066602A">
              <w:rPr>
                <w:sz w:val="20"/>
                <w:szCs w:val="20"/>
                <w:lang w:val="en-US"/>
              </w:rPr>
              <w:br/>
              <w:t>QGTC: Qigong/tai chi treatment group</w:t>
            </w:r>
            <w:r w:rsidRPr="0066602A">
              <w:rPr>
                <w:sz w:val="20"/>
                <w:szCs w:val="20"/>
                <w:lang w:val="en-US"/>
              </w:rPr>
              <w:br/>
              <w:t>LE: Light exercise</w:t>
            </w:r>
            <w:r w:rsidRPr="0066602A">
              <w:rPr>
                <w:sz w:val="20"/>
                <w:szCs w:val="20"/>
                <w:lang w:val="en-US"/>
              </w:rPr>
              <w:br/>
              <w:t>WLC: Wait-list control</w:t>
            </w:r>
          </w:p>
          <w:p w14:paraId="4047AA31" w14:textId="77EE8C21"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Post-hoc analyses from the MIXED-model revealed that at T2 (mid-way through </w:t>
            </w:r>
            <w:r w:rsidR="00480763" w:rsidRPr="0066602A">
              <w:rPr>
                <w:sz w:val="20"/>
                <w:szCs w:val="20"/>
                <w:lang w:val="en-US"/>
              </w:rPr>
              <w:t xml:space="preserve">radiation </w:t>
            </w:r>
            <w:r w:rsidRPr="0066602A">
              <w:rPr>
                <w:sz w:val="20"/>
                <w:szCs w:val="20"/>
                <w:lang w:val="en-US"/>
              </w:rPr>
              <w:t xml:space="preserve">therapy) the QGTC group slept significantly longer than those in the LE group (QGTC – 7.00 hours; LE – 6.45 hours, p=0.047; d = 0.56) and marginally significantly longer than WLC group. This difference did not persist to the end of </w:t>
            </w:r>
            <w:r w:rsidR="00480763" w:rsidRPr="0066602A">
              <w:rPr>
                <w:sz w:val="20"/>
                <w:szCs w:val="20"/>
                <w:lang w:val="en-US"/>
              </w:rPr>
              <w:t xml:space="preserve">radiation </w:t>
            </w:r>
            <w:r w:rsidRPr="0066602A">
              <w:rPr>
                <w:sz w:val="20"/>
                <w:szCs w:val="20"/>
                <w:lang w:val="en-US"/>
              </w:rPr>
              <w:t>therapy and there were no group differences in sleep duration at the follow-up time points.</w:t>
            </w:r>
          </w:p>
        </w:tc>
      </w:tr>
      <w:tr w:rsidR="00685696" w:rsidRPr="0066602A" w14:paraId="713DE80D"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018F2096" w14:textId="77777777" w:rsidR="00685696" w:rsidRPr="0066602A" w:rsidRDefault="00685696" w:rsidP="00685696">
            <w:pPr>
              <w:pStyle w:val="Table-Normal"/>
              <w:rPr>
                <w:rFonts w:eastAsia="Times New Roman"/>
                <w:sz w:val="20"/>
                <w:szCs w:val="20"/>
                <w:lang w:val="en-US" w:eastAsia="en-GB"/>
              </w:rPr>
            </w:pPr>
            <w:r w:rsidRPr="0066602A">
              <w:rPr>
                <w:sz w:val="20"/>
                <w:szCs w:val="20"/>
                <w:lang w:val="en-US"/>
              </w:rPr>
              <w:t>Rastogi, 2020</w:t>
            </w:r>
          </w:p>
          <w:p w14:paraId="6674F43B" w14:textId="2FCA5E44" w:rsidR="00685696" w:rsidRPr="0066602A" w:rsidRDefault="00685696" w:rsidP="00685696">
            <w:pPr>
              <w:pStyle w:val="Table-Normal"/>
              <w:rPr>
                <w:rFonts w:eastAsia="Times New Roman"/>
                <w:sz w:val="20"/>
                <w:szCs w:val="20"/>
                <w:lang w:val="en-US" w:eastAsia="ja-JP"/>
              </w:rPr>
            </w:pPr>
            <w:r w:rsidRPr="0066602A">
              <w:rPr>
                <w:sz w:val="20"/>
                <w:szCs w:val="20"/>
                <w:lang w:val="en-US"/>
              </w:rPr>
              <w:t>NR</w:t>
            </w:r>
          </w:p>
          <w:p w14:paraId="650F4FFA" w14:textId="78A82A8A" w:rsidR="00685696" w:rsidRPr="0066602A" w:rsidRDefault="00685696" w:rsidP="00685696">
            <w:pPr>
              <w:pStyle w:val="Table-Normal"/>
              <w:rPr>
                <w:sz w:val="20"/>
                <w:szCs w:val="20"/>
                <w:lang w:val="en-US"/>
              </w:rPr>
            </w:pPr>
            <w:r w:rsidRPr="0066602A">
              <w:rPr>
                <w:sz w:val="20"/>
                <w:szCs w:val="20"/>
                <w:lang w:val="en-US"/>
              </w:rPr>
              <w:t xml:space="preserve">Two arm parallel randomized controlled </w:t>
            </w:r>
            <w:r w:rsidRPr="0066602A">
              <w:rPr>
                <w:sz w:val="20"/>
                <w:szCs w:val="20"/>
                <w:lang w:val="en-US"/>
              </w:rPr>
              <w:lastRenderedPageBreak/>
              <w:t>design, August 2016- January 2018</w:t>
            </w:r>
          </w:p>
        </w:tc>
        <w:tc>
          <w:tcPr>
            <w:tcW w:w="468" w:type="pct"/>
          </w:tcPr>
          <w:p w14:paraId="538B7C6D" w14:textId="0FE73CA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lastRenderedPageBreak/>
              <w:t>Breast and colorectal cancer survivors: 50*</w:t>
            </w:r>
            <w:r w:rsidRPr="0066602A">
              <w:rPr>
                <w:sz w:val="20"/>
                <w:szCs w:val="20"/>
                <w:lang w:val="en-US"/>
              </w:rPr>
              <w:br/>
              <w:t xml:space="preserve">Support </w:t>
            </w:r>
            <w:r w:rsidRPr="0066602A">
              <w:rPr>
                <w:sz w:val="20"/>
                <w:szCs w:val="20"/>
                <w:lang w:val="en-US"/>
              </w:rPr>
              <w:lastRenderedPageBreak/>
              <w:t>partner dyads: 50</w:t>
            </w:r>
            <w:r w:rsidRPr="0066602A">
              <w:rPr>
                <w:sz w:val="20"/>
                <w:szCs w:val="20"/>
                <w:lang w:val="en-US"/>
              </w:rPr>
              <w:br/>
            </w:r>
            <w:r w:rsidRPr="0066602A">
              <w:rPr>
                <w:sz w:val="20"/>
                <w:szCs w:val="20"/>
                <w:lang w:val="en-US"/>
              </w:rPr>
              <w:br/>
              <w:t xml:space="preserve">*Cancer patients were split into intervention and comparison. </w:t>
            </w:r>
            <w:r w:rsidRPr="0066602A">
              <w:rPr>
                <w:sz w:val="20"/>
                <w:szCs w:val="20"/>
                <w:lang w:val="en-US"/>
              </w:rPr>
              <w:br/>
              <w:t>Intervention: (n=26)</w:t>
            </w:r>
            <w:r w:rsidRPr="0066602A">
              <w:rPr>
                <w:sz w:val="20"/>
                <w:szCs w:val="20"/>
                <w:lang w:val="en-US"/>
              </w:rPr>
              <w:br/>
              <w:t>Comparison: (n=24)</w:t>
            </w:r>
          </w:p>
        </w:tc>
        <w:tc>
          <w:tcPr>
            <w:tcW w:w="436" w:type="pct"/>
          </w:tcPr>
          <w:p w14:paraId="326DE4B0" w14:textId="29937AD0"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lastRenderedPageBreak/>
              <w:t>Female - 86%</w:t>
            </w:r>
            <w:r w:rsidRPr="0066602A">
              <w:rPr>
                <w:rFonts w:cstheme="minorHAnsi"/>
                <w:color w:val="4E5053"/>
                <w:sz w:val="20"/>
                <w:szCs w:val="20"/>
                <w:lang w:val="en-US"/>
              </w:rPr>
              <w:br/>
              <w:t>Male - 4%</w:t>
            </w:r>
            <w:r w:rsidRPr="0066602A">
              <w:rPr>
                <w:rFonts w:cstheme="minorHAnsi"/>
                <w:color w:val="4E5053"/>
                <w:sz w:val="20"/>
                <w:szCs w:val="20"/>
                <w:lang w:val="en-US"/>
              </w:rPr>
              <w:br/>
              <w:t>Mean – 54.4</w:t>
            </w:r>
          </w:p>
        </w:tc>
        <w:tc>
          <w:tcPr>
            <w:tcW w:w="726" w:type="pct"/>
          </w:tcPr>
          <w:p w14:paraId="177C1233" w14:textId="79544F2A"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45 (90.0%)</w:t>
            </w:r>
            <w:r w:rsidRPr="0066602A">
              <w:rPr>
                <w:sz w:val="20"/>
                <w:szCs w:val="20"/>
                <w:lang w:val="en-US"/>
              </w:rPr>
              <w:br/>
              <w:t>Colorectal cancer: 5 (10%)</w:t>
            </w:r>
          </w:p>
        </w:tc>
        <w:tc>
          <w:tcPr>
            <w:tcW w:w="760" w:type="pct"/>
          </w:tcPr>
          <w:p w14:paraId="6E5A705A"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Previous therapy </w:t>
            </w:r>
            <w:r w:rsidRPr="0066602A">
              <w:rPr>
                <w:sz w:val="20"/>
                <w:szCs w:val="20"/>
                <w:lang w:val="en-US"/>
              </w:rPr>
              <w:br/>
              <w:t>Surgery: 100%</w:t>
            </w:r>
            <w:r w:rsidRPr="0066602A">
              <w:rPr>
                <w:sz w:val="20"/>
                <w:szCs w:val="20"/>
                <w:lang w:val="en-US"/>
              </w:rPr>
              <w:br/>
              <w:t>Chemotherapy: 64%</w:t>
            </w:r>
            <w:r w:rsidRPr="0066602A">
              <w:rPr>
                <w:sz w:val="20"/>
                <w:szCs w:val="20"/>
                <w:lang w:val="en-US"/>
              </w:rPr>
              <w:br/>
              <w:t xml:space="preserve">Radiation: 72.0% </w:t>
            </w:r>
          </w:p>
        </w:tc>
        <w:tc>
          <w:tcPr>
            <w:tcW w:w="551" w:type="pct"/>
          </w:tcPr>
          <w:p w14:paraId="1E951D3D"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Technology-supported physical activity</w:t>
            </w:r>
          </w:p>
        </w:tc>
        <w:tc>
          <w:tcPr>
            <w:tcW w:w="1562" w:type="pct"/>
          </w:tcPr>
          <w:p w14:paraId="598F8067" w14:textId="58DC1A6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&gt; Effect of a technology-supported physical activity intervention.</w:t>
            </w:r>
            <w:r w:rsidRPr="0066602A">
              <w:rPr>
                <w:sz w:val="20"/>
                <w:szCs w:val="20"/>
                <w:lang w:val="en-US"/>
              </w:rPr>
              <w:br/>
              <w:t xml:space="preserve">&gt; Results from FACT-C were not presented due to the small number of colorectal cancer survivors enrolled. </w:t>
            </w:r>
            <w:r w:rsidRPr="0066602A">
              <w:rPr>
                <w:sz w:val="20"/>
                <w:szCs w:val="20"/>
                <w:lang w:val="en-US"/>
              </w:rPr>
              <w:br/>
              <w:t xml:space="preserve">&gt; There was a greater reduction in both sleep </w:t>
            </w:r>
            <w:r w:rsidRPr="0066602A">
              <w:rPr>
                <w:sz w:val="20"/>
                <w:szCs w:val="20"/>
                <w:lang w:val="en-US"/>
              </w:rPr>
              <w:lastRenderedPageBreak/>
              <w:t xml:space="preserve">disturbance and impairment among the cancer survivors in the intervention group from baseline to 12-weeks relative to the comparison group. </w:t>
            </w:r>
            <w:r w:rsidRPr="0066602A">
              <w:rPr>
                <w:sz w:val="20"/>
                <w:szCs w:val="20"/>
                <w:lang w:val="en-US"/>
              </w:rPr>
              <w:br/>
              <w:t>&gt; Both scales were associated with medium effect sizes, with impairment (d=−0.62) improving more than disturbance (d=−0.46)</w:t>
            </w:r>
            <w:r w:rsidRPr="0066602A">
              <w:rPr>
                <w:sz w:val="20"/>
                <w:szCs w:val="20"/>
                <w:lang w:val="en-US"/>
              </w:rPr>
              <w:br/>
            </w:r>
            <w:r w:rsidRPr="0066602A">
              <w:rPr>
                <w:b/>
                <w:bCs w:val="0"/>
                <w:sz w:val="20"/>
                <w:szCs w:val="20"/>
                <w:lang w:val="en-US"/>
              </w:rPr>
              <w:t>Sleep disturbance (Intervention)</w:t>
            </w:r>
            <w:r w:rsidRPr="0066602A">
              <w:rPr>
                <w:sz w:val="20"/>
                <w:szCs w:val="20"/>
                <w:lang w:val="en-US"/>
              </w:rPr>
              <w:br/>
              <w:t xml:space="preserve">Baseline: 46.8±10.3 </w:t>
            </w:r>
            <w:r w:rsidRPr="0066602A">
              <w:rPr>
                <w:sz w:val="20"/>
                <w:szCs w:val="20"/>
                <w:lang w:val="en-US"/>
              </w:rPr>
              <w:br/>
              <w:t xml:space="preserve">12 weeks: 47.0±8.6 </w:t>
            </w:r>
            <w:r w:rsidRPr="0066602A">
              <w:rPr>
                <w:sz w:val="20"/>
                <w:szCs w:val="20"/>
                <w:lang w:val="en-US"/>
              </w:rPr>
              <w:br/>
              <w:t xml:space="preserve">Change: −2.9±6.8 </w:t>
            </w:r>
            <w:r w:rsidRPr="0066602A">
              <w:rPr>
                <w:sz w:val="20"/>
                <w:szCs w:val="20"/>
                <w:lang w:val="en-US"/>
              </w:rPr>
              <w:br/>
            </w:r>
            <w:r w:rsidRPr="0066602A">
              <w:rPr>
                <w:b/>
                <w:bCs w:val="0"/>
                <w:sz w:val="20"/>
                <w:szCs w:val="20"/>
                <w:lang w:val="en-US"/>
              </w:rPr>
              <w:t>Sleep disturbance (Comparison)</w:t>
            </w:r>
            <w:r w:rsidRPr="0066602A">
              <w:rPr>
                <w:sz w:val="20"/>
                <w:szCs w:val="20"/>
                <w:lang w:val="en-US"/>
              </w:rPr>
              <w:br/>
              <w:t xml:space="preserve">Baseline: 49.5±7.6 </w:t>
            </w:r>
            <w:r w:rsidRPr="0066602A">
              <w:rPr>
                <w:sz w:val="20"/>
                <w:szCs w:val="20"/>
                <w:lang w:val="en-US"/>
              </w:rPr>
              <w:br/>
              <w:t xml:space="preserve">12 weeks: 49.5±9.3 </w:t>
            </w:r>
            <w:r w:rsidRPr="0066602A">
              <w:rPr>
                <w:sz w:val="20"/>
                <w:szCs w:val="20"/>
                <w:lang w:val="en-US"/>
              </w:rPr>
              <w:br/>
              <w:t xml:space="preserve">Change: 0.4±7.4 </w:t>
            </w:r>
            <w:r w:rsidRPr="0066602A">
              <w:rPr>
                <w:sz w:val="20"/>
                <w:szCs w:val="20"/>
                <w:lang w:val="en-US"/>
              </w:rPr>
              <w:br/>
            </w:r>
            <w:r w:rsidRPr="0066602A">
              <w:rPr>
                <w:b/>
                <w:bCs w:val="0"/>
                <w:sz w:val="20"/>
                <w:szCs w:val="20"/>
                <w:lang w:val="en-US"/>
              </w:rPr>
              <w:t>Sleep impairment (Intervention)</w:t>
            </w:r>
            <w:r w:rsidRPr="0066602A">
              <w:rPr>
                <w:sz w:val="20"/>
                <w:szCs w:val="20"/>
                <w:lang w:val="en-US"/>
              </w:rPr>
              <w:br/>
              <w:t xml:space="preserve">Baseline: 47.6±8.9 </w:t>
            </w:r>
            <w:r w:rsidRPr="0066602A">
              <w:rPr>
                <w:sz w:val="20"/>
                <w:szCs w:val="20"/>
                <w:lang w:val="en-US"/>
              </w:rPr>
              <w:br/>
              <w:t xml:space="preserve">12 weeks: 44.7±9.3 </w:t>
            </w:r>
            <w:r w:rsidRPr="0066602A">
              <w:rPr>
                <w:sz w:val="20"/>
                <w:szCs w:val="20"/>
                <w:lang w:val="en-US"/>
              </w:rPr>
              <w:br/>
              <w:t xml:space="preserve">Change: −3.6±9.8 </w:t>
            </w:r>
            <w:r w:rsidRPr="0066602A">
              <w:rPr>
                <w:sz w:val="20"/>
                <w:szCs w:val="20"/>
                <w:lang w:val="en-US"/>
              </w:rPr>
              <w:br/>
            </w:r>
            <w:r w:rsidRPr="0066602A">
              <w:rPr>
                <w:b/>
                <w:bCs w:val="0"/>
                <w:sz w:val="20"/>
                <w:szCs w:val="20"/>
                <w:lang w:val="en-US"/>
              </w:rPr>
              <w:t>Sleep impairment (Comparison)</w:t>
            </w:r>
            <w:r w:rsidRPr="0066602A">
              <w:rPr>
                <w:sz w:val="20"/>
                <w:szCs w:val="20"/>
                <w:lang w:val="en-US"/>
              </w:rPr>
              <w:br/>
              <w:t xml:space="preserve">Baseline: −49.5±9.3 </w:t>
            </w:r>
            <w:r w:rsidRPr="0066602A">
              <w:rPr>
                <w:sz w:val="20"/>
                <w:szCs w:val="20"/>
                <w:lang w:val="en-US"/>
              </w:rPr>
              <w:br/>
              <w:t xml:space="preserve">12 weeks: 52.0±10.5 </w:t>
            </w:r>
            <w:r w:rsidRPr="0066602A">
              <w:rPr>
                <w:sz w:val="20"/>
                <w:szCs w:val="20"/>
                <w:lang w:val="en-US"/>
              </w:rPr>
              <w:br/>
              <w:t xml:space="preserve">Change: 2.1±8.5 </w:t>
            </w:r>
            <w:r w:rsidRPr="0066602A">
              <w:rPr>
                <w:sz w:val="20"/>
                <w:szCs w:val="20"/>
                <w:lang w:val="en-US"/>
              </w:rPr>
              <w:br/>
              <w:t>&gt; Physical activity is an effective non-pharmacologic treatment for insomnia and other sleep disturbances.</w:t>
            </w:r>
          </w:p>
        </w:tc>
      </w:tr>
      <w:tr w:rsidR="00685696" w:rsidRPr="0066602A" w14:paraId="4D70CE93"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3E3A77DE" w14:textId="77777777" w:rsidR="00685696" w:rsidRPr="0066602A" w:rsidRDefault="00685696" w:rsidP="00685696">
            <w:pPr>
              <w:pStyle w:val="Table-Normal"/>
              <w:rPr>
                <w:rFonts w:eastAsia="Times New Roman"/>
                <w:sz w:val="20"/>
                <w:szCs w:val="20"/>
                <w:lang w:val="en-US" w:eastAsia="en-GB"/>
              </w:rPr>
            </w:pPr>
            <w:proofErr w:type="spellStart"/>
            <w:r w:rsidRPr="0066602A">
              <w:rPr>
                <w:sz w:val="20"/>
                <w:szCs w:val="20"/>
                <w:lang w:val="en-US"/>
              </w:rPr>
              <w:lastRenderedPageBreak/>
              <w:t>Steindorfet</w:t>
            </w:r>
            <w:proofErr w:type="spellEnd"/>
            <w:r w:rsidRPr="0066602A">
              <w:rPr>
                <w:sz w:val="20"/>
                <w:szCs w:val="20"/>
                <w:lang w:val="en-US"/>
              </w:rPr>
              <w:t>, 2017</w:t>
            </w:r>
          </w:p>
          <w:p w14:paraId="28617E0A" w14:textId="3F2D0C37" w:rsidR="00685696" w:rsidRPr="0066602A" w:rsidRDefault="00685696" w:rsidP="00685696">
            <w:pPr>
              <w:pStyle w:val="Table-Normal"/>
              <w:rPr>
                <w:rFonts w:eastAsia="Times New Roman"/>
                <w:sz w:val="20"/>
                <w:szCs w:val="20"/>
                <w:lang w:val="en-US" w:eastAsia="ja-JP"/>
              </w:rPr>
            </w:pPr>
            <w:r w:rsidRPr="0066602A">
              <w:rPr>
                <w:sz w:val="20"/>
                <w:szCs w:val="20"/>
                <w:lang w:val="en-US"/>
              </w:rPr>
              <w:t>Germany</w:t>
            </w:r>
          </w:p>
          <w:p w14:paraId="168B5D2D" w14:textId="5954E1A6" w:rsidR="00685696" w:rsidRPr="0066602A" w:rsidRDefault="00685696" w:rsidP="00685696">
            <w:pPr>
              <w:pStyle w:val="Table-Normal"/>
              <w:rPr>
                <w:sz w:val="20"/>
                <w:szCs w:val="20"/>
                <w:lang w:val="en-US"/>
              </w:rPr>
            </w:pPr>
            <w:r w:rsidRPr="0066602A">
              <w:rPr>
                <w:sz w:val="20"/>
                <w:szCs w:val="20"/>
                <w:lang w:val="en-US"/>
              </w:rPr>
              <w:t xml:space="preserve">Prospective randomized controlled intervention </w:t>
            </w:r>
            <w:r w:rsidRPr="0066602A">
              <w:rPr>
                <w:sz w:val="20"/>
                <w:szCs w:val="20"/>
                <w:lang w:val="en-US"/>
              </w:rPr>
              <w:lastRenderedPageBreak/>
              <w:t>trial, 2011 and 2013</w:t>
            </w:r>
          </w:p>
        </w:tc>
        <w:tc>
          <w:tcPr>
            <w:tcW w:w="468" w:type="pct"/>
          </w:tcPr>
          <w:p w14:paraId="6442E102" w14:textId="350F814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lastRenderedPageBreak/>
              <w:t>160</w:t>
            </w:r>
          </w:p>
        </w:tc>
        <w:tc>
          <w:tcPr>
            <w:tcW w:w="436" w:type="pct"/>
          </w:tcPr>
          <w:p w14:paraId="1C7D0B02" w14:textId="4D080645"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55.6</w:t>
            </w:r>
          </w:p>
        </w:tc>
        <w:tc>
          <w:tcPr>
            <w:tcW w:w="726" w:type="pct"/>
          </w:tcPr>
          <w:p w14:paraId="7B8239FF" w14:textId="3CEAF31A"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Breast cancer: 160 (100%)</w:t>
            </w:r>
          </w:p>
        </w:tc>
        <w:tc>
          <w:tcPr>
            <w:tcW w:w="760" w:type="pct"/>
          </w:tcPr>
          <w:p w14:paraId="39E8F6D2" w14:textId="5435F61B"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Adjuvant </w:t>
            </w:r>
            <w:r w:rsidR="00480763" w:rsidRPr="0066602A">
              <w:rPr>
                <w:sz w:val="20"/>
                <w:szCs w:val="20"/>
                <w:lang w:val="en-US"/>
              </w:rPr>
              <w:t xml:space="preserve">radiation </w:t>
            </w:r>
            <w:r w:rsidRPr="0066602A">
              <w:rPr>
                <w:sz w:val="20"/>
                <w:szCs w:val="20"/>
                <w:lang w:val="en-US"/>
              </w:rPr>
              <w:t>therapy part of inclusion criteria</w:t>
            </w:r>
            <w:r w:rsidRPr="0066602A">
              <w:rPr>
                <w:sz w:val="20"/>
                <w:szCs w:val="20"/>
                <w:lang w:val="en-US"/>
              </w:rPr>
              <w:br/>
              <w:t>Surgery: Mastectomy: 21 (13.1%); Breast conserving: 139 (86.9%)</w:t>
            </w:r>
            <w:r w:rsidRPr="0066602A">
              <w:rPr>
                <w:sz w:val="20"/>
                <w:szCs w:val="20"/>
                <w:lang w:val="en-US"/>
              </w:rPr>
              <w:br/>
              <w:t xml:space="preserve">Mean days since surgery (SD): 67.8 </w:t>
            </w:r>
            <w:r w:rsidRPr="0066602A">
              <w:rPr>
                <w:sz w:val="20"/>
                <w:szCs w:val="20"/>
                <w:lang w:val="en-US"/>
              </w:rPr>
              <w:lastRenderedPageBreak/>
              <w:t>(56.2)</w:t>
            </w:r>
            <w:r w:rsidRPr="0066602A">
              <w:rPr>
                <w:sz w:val="20"/>
                <w:szCs w:val="20"/>
                <w:lang w:val="en-US"/>
              </w:rPr>
              <w:br/>
              <w:t>Other therapies: Hormone therapy: 78 (48.8%) Radiation boost: 119 (74.4%)</w:t>
            </w:r>
            <w:r w:rsidRPr="0066602A">
              <w:rPr>
                <w:sz w:val="20"/>
                <w:szCs w:val="20"/>
                <w:lang w:val="en-US"/>
              </w:rPr>
              <w:br/>
              <w:t>Psychopharmaceuticals: 19 (11.9%)</w:t>
            </w:r>
          </w:p>
        </w:tc>
        <w:tc>
          <w:tcPr>
            <w:tcW w:w="551" w:type="pct"/>
          </w:tcPr>
          <w:p w14:paraId="3951A75D"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lastRenderedPageBreak/>
              <w:t>12-week resistance exercise training versus relaxation training (2 x 1hr/week)</w:t>
            </w:r>
          </w:p>
        </w:tc>
        <w:tc>
          <w:tcPr>
            <w:tcW w:w="1562" w:type="pct"/>
          </w:tcPr>
          <w:p w14:paraId="0C8E62CB" w14:textId="1C912730"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Impact of time and exercise intervention</w:t>
            </w:r>
            <w:r w:rsidRPr="0066602A">
              <w:rPr>
                <w:sz w:val="20"/>
                <w:szCs w:val="20"/>
                <w:lang w:val="en-US"/>
              </w:rPr>
              <w:br/>
              <w:t>&gt; Among relaxation controls, mean levels of sleep problems slightly increased from pre- to post-</w:t>
            </w:r>
            <w:r w:rsidR="00480763" w:rsidRPr="0066602A">
              <w:rPr>
                <w:sz w:val="20"/>
                <w:szCs w:val="20"/>
                <w:lang w:val="en-US"/>
              </w:rPr>
              <w:t xml:space="preserve">radiation </w:t>
            </w:r>
            <w:r w:rsidRPr="0066602A">
              <w:rPr>
                <w:sz w:val="20"/>
                <w:szCs w:val="20"/>
                <w:lang w:val="en-US"/>
              </w:rPr>
              <w:t>therapy, remained at an increased level for about 3 months and fell back to baseline levels about 6 months post-</w:t>
            </w:r>
            <w:r w:rsidR="00480763" w:rsidRPr="0066602A">
              <w:rPr>
                <w:sz w:val="20"/>
                <w:szCs w:val="20"/>
                <w:lang w:val="en-US"/>
              </w:rPr>
              <w:t xml:space="preserve">radiation </w:t>
            </w:r>
            <w:r w:rsidRPr="0066602A">
              <w:rPr>
                <w:sz w:val="20"/>
                <w:szCs w:val="20"/>
                <w:lang w:val="en-US"/>
              </w:rPr>
              <w:t>therapy.</w:t>
            </w:r>
            <w:r w:rsidRPr="0066602A">
              <w:rPr>
                <w:sz w:val="20"/>
                <w:szCs w:val="20"/>
                <w:lang w:val="en-US"/>
              </w:rPr>
              <w:br/>
              <w:t xml:space="preserve">&gt; Among exercisers, the mean levels of sleep problems slightly decreased during the exercise </w:t>
            </w:r>
            <w:r w:rsidRPr="0066602A">
              <w:rPr>
                <w:sz w:val="20"/>
                <w:szCs w:val="20"/>
                <w:lang w:val="en-US"/>
              </w:rPr>
              <w:lastRenderedPageBreak/>
              <w:t>intervention period and returned back to the baseline level two months post-intervention.</w:t>
            </w:r>
            <w:r w:rsidRPr="0066602A">
              <w:rPr>
                <w:sz w:val="20"/>
                <w:szCs w:val="20"/>
                <w:lang w:val="en-US"/>
              </w:rPr>
              <w:br/>
              <w:t>&gt; In parallel to the relaxation control group, sleep problems decreased about half a year post-</w:t>
            </w:r>
            <w:r w:rsidR="00480763" w:rsidRPr="0066602A">
              <w:rPr>
                <w:sz w:val="20"/>
                <w:szCs w:val="20"/>
                <w:lang w:val="en-US"/>
              </w:rPr>
              <w:t xml:space="preserve">radiation </w:t>
            </w:r>
            <w:r w:rsidRPr="0066602A">
              <w:rPr>
                <w:sz w:val="20"/>
                <w:szCs w:val="20"/>
                <w:lang w:val="en-US"/>
              </w:rPr>
              <w:t>therapy. The course of sleep problems in exercising women during the training phase was similar in BC patients and in healthy exercisers, yet, patients experienced significantly higher levels of sleep problems at all times.</w:t>
            </w:r>
            <w:r w:rsidRPr="0066602A">
              <w:rPr>
                <w:sz w:val="20"/>
                <w:szCs w:val="20"/>
                <w:lang w:val="en-US"/>
              </w:rPr>
              <w:br/>
              <w:t xml:space="preserve">&gt; Multiple regression analyses revealed significant exercise intervention effects regarding the changes in sleep problems from baseline to the end of </w:t>
            </w:r>
            <w:r w:rsidR="00480763" w:rsidRPr="0066602A">
              <w:rPr>
                <w:sz w:val="20"/>
                <w:szCs w:val="20"/>
                <w:lang w:val="en-US"/>
              </w:rPr>
              <w:t xml:space="preserve">radiation </w:t>
            </w:r>
            <w:r w:rsidRPr="0066602A">
              <w:rPr>
                <w:sz w:val="20"/>
                <w:szCs w:val="20"/>
                <w:lang w:val="en-US"/>
              </w:rPr>
              <w:t>therapy (p=0.03) and to the end of intervention (p=0.005) with increased levels in the relaxation control group but no significant change among the exercise group.</w:t>
            </w:r>
          </w:p>
        </w:tc>
      </w:tr>
      <w:tr w:rsidR="00685696" w:rsidRPr="0066602A" w14:paraId="2E3BBB75"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38214494" w14:textId="77777777" w:rsidR="00685696" w:rsidRPr="0066602A" w:rsidRDefault="00685696" w:rsidP="00685696">
            <w:pPr>
              <w:pStyle w:val="Table-Normal"/>
              <w:rPr>
                <w:rFonts w:eastAsia="Times New Roman"/>
                <w:sz w:val="20"/>
                <w:szCs w:val="20"/>
                <w:lang w:val="en-US" w:eastAsia="en-GB"/>
              </w:rPr>
            </w:pPr>
            <w:r w:rsidRPr="0066602A">
              <w:rPr>
                <w:sz w:val="20"/>
                <w:szCs w:val="20"/>
                <w:lang w:val="en-US"/>
              </w:rPr>
              <w:lastRenderedPageBreak/>
              <w:t>Tang, 2010</w:t>
            </w:r>
          </w:p>
          <w:p w14:paraId="381D8018" w14:textId="5EC7F57A" w:rsidR="00685696" w:rsidRPr="0066602A" w:rsidRDefault="00685696" w:rsidP="00685696">
            <w:pPr>
              <w:pStyle w:val="Table-Normal"/>
              <w:rPr>
                <w:rFonts w:eastAsia="Times New Roman"/>
                <w:sz w:val="20"/>
                <w:szCs w:val="20"/>
                <w:lang w:val="en-US" w:eastAsia="ja-JP"/>
              </w:rPr>
            </w:pPr>
            <w:r w:rsidRPr="0066602A">
              <w:rPr>
                <w:sz w:val="20"/>
                <w:szCs w:val="20"/>
                <w:lang w:val="en-US"/>
              </w:rPr>
              <w:t>Taiwan</w:t>
            </w:r>
          </w:p>
          <w:p w14:paraId="6C05ABA6" w14:textId="36D5835E" w:rsidR="00685696" w:rsidRPr="0066602A" w:rsidRDefault="00685696" w:rsidP="00685696">
            <w:pPr>
              <w:pStyle w:val="Table-Normal"/>
              <w:rPr>
                <w:sz w:val="20"/>
                <w:szCs w:val="20"/>
                <w:lang w:val="en-US"/>
              </w:rPr>
            </w:pPr>
            <w:r w:rsidRPr="0066602A">
              <w:rPr>
                <w:sz w:val="20"/>
                <w:szCs w:val="20"/>
                <w:lang w:val="en-US"/>
              </w:rPr>
              <w:t>Prospective, longitudinal, two-armed, RCT, 8 weeks</w:t>
            </w:r>
          </w:p>
        </w:tc>
        <w:tc>
          <w:tcPr>
            <w:tcW w:w="468" w:type="pct"/>
          </w:tcPr>
          <w:p w14:paraId="5CE4A40D" w14:textId="2EE0599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72 (Participants were allocated either to usual care (n=35) or the walking exercise intervention group (n=37))</w:t>
            </w:r>
          </w:p>
        </w:tc>
        <w:tc>
          <w:tcPr>
            <w:tcW w:w="436" w:type="pct"/>
          </w:tcPr>
          <w:p w14:paraId="26614CA6" w14:textId="58C36501"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Male: 24%</w:t>
            </w:r>
          </w:p>
          <w:p w14:paraId="4277072C"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Female: 76%</w:t>
            </w:r>
          </w:p>
          <w:p w14:paraId="6B67703D"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Mean – 51.8</w:t>
            </w:r>
          </w:p>
          <w:p w14:paraId="426D704D" w14:textId="3FCB0ABB"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726" w:type="pct"/>
          </w:tcPr>
          <w:p w14:paraId="3096F937" w14:textId="041C080C"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(n=39, 54.9%), GI (n=11, 15.5%), nasopharyngeal</w:t>
            </w:r>
            <w:r w:rsidRPr="0066602A">
              <w:rPr>
                <w:sz w:val="20"/>
                <w:szCs w:val="20"/>
                <w:lang w:val="en-US"/>
              </w:rPr>
              <w:br/>
              <w:t>(n=7, 9.9%), lung (n=4, 5.6%), and various other types (n=10, 14.1%)</w:t>
            </w:r>
          </w:p>
        </w:tc>
        <w:tc>
          <w:tcPr>
            <w:tcW w:w="760" w:type="pct"/>
          </w:tcPr>
          <w:p w14:paraId="73EC44FF" w14:textId="19AA8BA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Chemotherapy: 10 (14.2%)</w:t>
            </w:r>
            <w:r w:rsidRPr="0066602A">
              <w:rPr>
                <w:sz w:val="20"/>
                <w:szCs w:val="20"/>
                <w:lang w:val="en-US"/>
              </w:rPr>
              <w:br/>
            </w:r>
            <w:r w:rsidR="00480763" w:rsidRPr="0066602A">
              <w:rPr>
                <w:sz w:val="20"/>
                <w:szCs w:val="20"/>
                <w:lang w:val="en-US"/>
              </w:rPr>
              <w:t xml:space="preserve">Radiation </w:t>
            </w:r>
            <w:r w:rsidRPr="0066602A">
              <w:rPr>
                <w:sz w:val="20"/>
                <w:szCs w:val="20"/>
                <w:lang w:val="en-US"/>
              </w:rPr>
              <w:t>therapy: 7 (9.9%)</w:t>
            </w:r>
            <w:r w:rsidRPr="0066602A">
              <w:rPr>
                <w:sz w:val="20"/>
                <w:szCs w:val="20"/>
                <w:lang w:val="en-US"/>
              </w:rPr>
              <w:br/>
              <w:t>Hormonal: 4 (5.6%)</w:t>
            </w:r>
          </w:p>
        </w:tc>
        <w:tc>
          <w:tcPr>
            <w:tcW w:w="551" w:type="pct"/>
          </w:tcPr>
          <w:p w14:paraId="4A1FE1FF"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Exercise (walk for 30 min 3 days a week </w:t>
            </w:r>
            <w:proofErr w:type="gramStart"/>
            <w:r w:rsidRPr="0066602A">
              <w:rPr>
                <w:sz w:val="20"/>
                <w:szCs w:val="20"/>
                <w:lang w:val="en-US"/>
              </w:rPr>
              <w:t>during</w:t>
            </w:r>
            <w:proofErr w:type="gramEnd"/>
            <w:r w:rsidRPr="0066602A">
              <w:rPr>
                <w:sz w:val="20"/>
                <w:szCs w:val="20"/>
                <w:lang w:val="en-US"/>
              </w:rPr>
              <w:t xml:space="preserve"> 8 weeks) in the treatment group</w:t>
            </w:r>
          </w:p>
        </w:tc>
        <w:tc>
          <w:tcPr>
            <w:tcW w:w="1562" w:type="pct"/>
          </w:tcPr>
          <w:p w14:paraId="442DDB1D"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&gt; The control groups' mean PSQI global scores at 1 and 2 months were not significantly different from baseline, indicating that their sleep quality was stable during the study period. </w:t>
            </w:r>
            <w:r w:rsidRPr="0066602A">
              <w:rPr>
                <w:sz w:val="20"/>
                <w:szCs w:val="20"/>
                <w:lang w:val="en-US"/>
              </w:rPr>
              <w:br/>
              <w:t>&gt; The reduction slope of the PSQI global score for the exercise group was significantly larger than that for the control group at 1 and 2 months (both p values&lt;0.001), after adjusting for other confounding variables. Therefore, the walking exercise program significantly improved patient sleep quality.</w:t>
            </w:r>
            <w:r w:rsidRPr="0066602A">
              <w:rPr>
                <w:sz w:val="20"/>
                <w:szCs w:val="20"/>
                <w:lang w:val="en-US"/>
              </w:rPr>
              <w:br/>
              <w:t>&gt; In the univariate analysis, improvement in the PSQI global score over time showed a reduction in bodily pain and improvement in the role emotional, mental health, and mental component summary scores over time.</w:t>
            </w:r>
          </w:p>
        </w:tc>
      </w:tr>
      <w:tr w:rsidR="00685696" w:rsidRPr="0066602A" w14:paraId="6268A6FE"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21A4B66E" w14:textId="77777777" w:rsidR="00685696" w:rsidRPr="0066602A" w:rsidRDefault="00685696" w:rsidP="00685696">
            <w:pPr>
              <w:pStyle w:val="Table-Normal"/>
              <w:rPr>
                <w:rFonts w:eastAsia="Times New Roman"/>
                <w:sz w:val="20"/>
                <w:szCs w:val="20"/>
                <w:lang w:val="en-US" w:eastAsia="en-GB"/>
              </w:rPr>
            </w:pPr>
            <w:proofErr w:type="spellStart"/>
            <w:r w:rsidRPr="0066602A">
              <w:rPr>
                <w:sz w:val="20"/>
                <w:szCs w:val="20"/>
                <w:lang w:val="en-US"/>
              </w:rPr>
              <w:lastRenderedPageBreak/>
              <w:t>Tarrasch</w:t>
            </w:r>
            <w:proofErr w:type="spellEnd"/>
            <w:r w:rsidRPr="0066602A">
              <w:rPr>
                <w:sz w:val="20"/>
                <w:szCs w:val="20"/>
                <w:lang w:val="en-US"/>
              </w:rPr>
              <w:t>, 2018</w:t>
            </w:r>
          </w:p>
          <w:p w14:paraId="75669C14" w14:textId="7C7EA59F" w:rsidR="00685696" w:rsidRPr="0066602A" w:rsidRDefault="00685696" w:rsidP="00685696">
            <w:pPr>
              <w:pStyle w:val="Table-Normal"/>
              <w:rPr>
                <w:rFonts w:eastAsia="Times New Roman"/>
                <w:sz w:val="20"/>
                <w:szCs w:val="20"/>
                <w:lang w:val="en-US" w:eastAsia="ja-JP"/>
              </w:rPr>
            </w:pPr>
            <w:r w:rsidRPr="0066602A">
              <w:rPr>
                <w:sz w:val="20"/>
                <w:szCs w:val="20"/>
                <w:lang w:val="en-US"/>
              </w:rPr>
              <w:t>Israel</w:t>
            </w:r>
          </w:p>
          <w:p w14:paraId="49FE4275" w14:textId="09289847" w:rsidR="00685696" w:rsidRPr="0066602A" w:rsidRDefault="00685696" w:rsidP="00685696">
            <w:pPr>
              <w:pStyle w:val="Table-Normal"/>
              <w:rPr>
                <w:sz w:val="20"/>
                <w:szCs w:val="20"/>
                <w:lang w:val="en-US"/>
              </w:rPr>
            </w:pPr>
            <w:r w:rsidRPr="0066602A">
              <w:rPr>
                <w:sz w:val="20"/>
                <w:szCs w:val="20"/>
                <w:lang w:val="en-US"/>
              </w:rPr>
              <w:t>Experimental study, 16 weeks</w:t>
            </w:r>
          </w:p>
        </w:tc>
        <w:tc>
          <w:tcPr>
            <w:tcW w:w="468" w:type="pct"/>
          </w:tcPr>
          <w:p w14:paraId="3A57C681" w14:textId="6FDAB26D"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72 (54 for final analysis)</w:t>
            </w:r>
          </w:p>
        </w:tc>
        <w:tc>
          <w:tcPr>
            <w:tcW w:w="436" w:type="pct"/>
          </w:tcPr>
          <w:p w14:paraId="1722CF8C" w14:textId="2BD9C2C9"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53</w:t>
            </w:r>
          </w:p>
        </w:tc>
        <w:tc>
          <w:tcPr>
            <w:tcW w:w="726" w:type="pct"/>
          </w:tcPr>
          <w:p w14:paraId="3A4857EC" w14:textId="7B7A1FC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Breast cancer: 100%</w:t>
            </w:r>
          </w:p>
        </w:tc>
        <w:tc>
          <w:tcPr>
            <w:tcW w:w="760" w:type="pct"/>
          </w:tcPr>
          <w:p w14:paraId="383F9E6B" w14:textId="56592D12" w:rsidR="00685696" w:rsidRPr="0066602A" w:rsidRDefault="00480763"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Radiation </w:t>
            </w:r>
            <w:r w:rsidR="00685696" w:rsidRPr="0066602A">
              <w:rPr>
                <w:sz w:val="20"/>
                <w:szCs w:val="20"/>
                <w:lang w:val="en-US"/>
              </w:rPr>
              <w:t>therapy</w:t>
            </w:r>
          </w:p>
        </w:tc>
        <w:tc>
          <w:tcPr>
            <w:tcW w:w="551" w:type="pct"/>
          </w:tcPr>
          <w:p w14:paraId="7BAD4D5A"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Reflexology in treatment group</w:t>
            </w:r>
          </w:p>
        </w:tc>
        <w:tc>
          <w:tcPr>
            <w:tcW w:w="1562" w:type="pct"/>
          </w:tcPr>
          <w:p w14:paraId="427D77C5" w14:textId="4D846B5F"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Premeasure quality of sleep in the treatment arm was 2.53 (SD: 0.96) compared with 2.35 (SD: 0.84) in the control arm </w:t>
            </w:r>
            <w:r w:rsidRPr="0066602A">
              <w:rPr>
                <w:sz w:val="20"/>
                <w:szCs w:val="20"/>
                <w:lang w:val="en-US"/>
              </w:rPr>
              <w:br/>
              <w:t>&gt; By the end of radiation treatment (measurement 2), significant differences in sleep were detected between the reflexology and control groups.</w:t>
            </w:r>
            <w:r w:rsidRPr="0066602A">
              <w:rPr>
                <w:sz w:val="20"/>
                <w:szCs w:val="20"/>
                <w:lang w:val="en-US"/>
              </w:rPr>
              <w:br/>
              <w:t>&gt; A significant interaction between group and time was obtained for the sleep quality measure [</w:t>
            </w:r>
            <w:proofErr w:type="gramStart"/>
            <w:r w:rsidRPr="0066602A">
              <w:rPr>
                <w:sz w:val="20"/>
                <w:szCs w:val="20"/>
                <w:lang w:val="en-US"/>
              </w:rPr>
              <w:t>F(</w:t>
            </w:r>
            <w:proofErr w:type="gramEnd"/>
            <w:r w:rsidRPr="0066602A">
              <w:rPr>
                <w:sz w:val="20"/>
                <w:szCs w:val="20"/>
                <w:lang w:val="en-US"/>
              </w:rPr>
              <w:t>2, 112) = 3.44, p=0.04]. The source of the interaction stems from an improved sleep quality in the experimental group, as demonstrated by comparison between</w:t>
            </w:r>
            <w:r w:rsidRPr="0066602A">
              <w:rPr>
                <w:sz w:val="20"/>
                <w:szCs w:val="20"/>
                <w:lang w:val="en-US"/>
              </w:rPr>
              <w:br/>
              <w:t xml:space="preserve">the first and the third measures </w:t>
            </w:r>
            <w:proofErr w:type="gramStart"/>
            <w:r w:rsidRPr="0066602A">
              <w:rPr>
                <w:sz w:val="20"/>
                <w:szCs w:val="20"/>
                <w:lang w:val="en-US"/>
              </w:rPr>
              <w:t>( p</w:t>
            </w:r>
            <w:proofErr w:type="gramEnd"/>
            <w:r w:rsidRPr="0066602A">
              <w:rPr>
                <w:sz w:val="20"/>
                <w:szCs w:val="20"/>
                <w:lang w:val="en-US"/>
              </w:rPr>
              <w:t>=0.02). No significant effects of time or group were obtained.</w:t>
            </w:r>
          </w:p>
        </w:tc>
      </w:tr>
      <w:tr w:rsidR="00685696" w:rsidRPr="0066602A" w14:paraId="7795A953"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546393FC" w14:textId="77777777" w:rsidR="00685696" w:rsidRPr="0066602A" w:rsidRDefault="00685696" w:rsidP="00685696">
            <w:pPr>
              <w:pStyle w:val="Table-Normal"/>
              <w:rPr>
                <w:rFonts w:eastAsia="Times New Roman"/>
                <w:sz w:val="20"/>
                <w:szCs w:val="20"/>
                <w:lang w:val="en-US" w:eastAsia="en-GB"/>
              </w:rPr>
            </w:pPr>
            <w:r w:rsidRPr="0066602A">
              <w:rPr>
                <w:sz w:val="20"/>
                <w:szCs w:val="20"/>
                <w:lang w:val="en-US"/>
              </w:rPr>
              <w:t>Yeh, 2016</w:t>
            </w:r>
          </w:p>
          <w:p w14:paraId="7FF2994E" w14:textId="18F043BE" w:rsidR="00685696" w:rsidRPr="0066602A" w:rsidRDefault="00685696" w:rsidP="00685696">
            <w:pPr>
              <w:pStyle w:val="Table-Normal"/>
              <w:rPr>
                <w:rFonts w:eastAsia="Times New Roman"/>
                <w:sz w:val="20"/>
                <w:szCs w:val="20"/>
                <w:lang w:val="en-US" w:eastAsia="ja-JP"/>
              </w:rPr>
            </w:pPr>
            <w:r w:rsidRPr="0066602A">
              <w:rPr>
                <w:sz w:val="20"/>
                <w:szCs w:val="20"/>
                <w:lang w:val="en-US"/>
              </w:rPr>
              <w:t>USA</w:t>
            </w:r>
          </w:p>
          <w:p w14:paraId="48A621B2" w14:textId="438FD531" w:rsidR="00685696" w:rsidRPr="0066602A" w:rsidRDefault="00685696" w:rsidP="00685696">
            <w:pPr>
              <w:pStyle w:val="Table-Normal"/>
              <w:rPr>
                <w:sz w:val="20"/>
                <w:szCs w:val="20"/>
                <w:lang w:val="en-US"/>
              </w:rPr>
            </w:pPr>
            <w:r w:rsidRPr="0066602A">
              <w:rPr>
                <w:sz w:val="20"/>
                <w:szCs w:val="20"/>
                <w:lang w:val="en-US"/>
              </w:rPr>
              <w:t>Prospective RCT pilot study, 2 months</w:t>
            </w:r>
          </w:p>
        </w:tc>
        <w:tc>
          <w:tcPr>
            <w:tcW w:w="468" w:type="pct"/>
          </w:tcPr>
          <w:p w14:paraId="0F6C5D9B" w14:textId="33FBE9FF"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31</w:t>
            </w:r>
          </w:p>
        </w:tc>
        <w:tc>
          <w:tcPr>
            <w:tcW w:w="436" w:type="pct"/>
          </w:tcPr>
          <w:p w14:paraId="4331FED9" w14:textId="0114C64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- 58.3</w:t>
            </w:r>
          </w:p>
        </w:tc>
        <w:tc>
          <w:tcPr>
            <w:tcW w:w="726" w:type="pct"/>
          </w:tcPr>
          <w:p w14:paraId="28678B99" w14:textId="2D80D9D8"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100%</w:t>
            </w:r>
          </w:p>
        </w:tc>
        <w:tc>
          <w:tcPr>
            <w:tcW w:w="760" w:type="pct"/>
          </w:tcPr>
          <w:p w14:paraId="2324B65A"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Receiving adjuvant cancer treatment (including chemotherapy) but had completed the first cycle of cancer treatment (n=9) or off treatment (n=22)</w:t>
            </w:r>
          </w:p>
        </w:tc>
        <w:tc>
          <w:tcPr>
            <w:tcW w:w="551" w:type="pct"/>
          </w:tcPr>
          <w:p w14:paraId="52746B05"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Auricular point acupressure (4 APA treatments once a week for 4 weeks)</w:t>
            </w:r>
          </w:p>
        </w:tc>
        <w:tc>
          <w:tcPr>
            <w:tcW w:w="1562" w:type="pct"/>
          </w:tcPr>
          <w:p w14:paraId="573A6DDD" w14:textId="6C18096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Assessment of APA treatment</w:t>
            </w:r>
            <w:r w:rsidRPr="0066602A">
              <w:rPr>
                <w:sz w:val="20"/>
                <w:szCs w:val="20"/>
                <w:lang w:val="en-US"/>
              </w:rPr>
              <w:br/>
              <w:t>&gt; At baseline assessment, pain, fatigue, disturbed sleep, distress, remembering, drowsiness, dry mouth, and numbness were reflected by mean scores higher than 3.</w:t>
            </w:r>
            <w:r w:rsidRPr="0066602A">
              <w:rPr>
                <w:sz w:val="20"/>
                <w:szCs w:val="20"/>
                <w:lang w:val="en-US"/>
              </w:rPr>
              <w:br/>
              <w:t>&gt; After the 4-week APA treatment, the mean scores for pain, fatigue, sleep, lack of appetite, distress, dry mouth, sadness, and numbness displayed decreases that were clinically significant.</w:t>
            </w:r>
            <w:r w:rsidRPr="0066602A">
              <w:rPr>
                <w:sz w:val="20"/>
                <w:szCs w:val="20"/>
                <w:lang w:val="en-US"/>
              </w:rPr>
              <w:br/>
              <w:t>&gt; Participants in the active APA group had higher improvement of interferences and better quality of life than did those in the control however, the difference of the improvement was not statistically significant.</w:t>
            </w:r>
            <w:r w:rsidRPr="0066602A">
              <w:rPr>
                <w:sz w:val="20"/>
                <w:szCs w:val="20"/>
                <w:lang w:val="en-US"/>
              </w:rPr>
              <w:br/>
            </w:r>
            <w:r w:rsidRPr="0066602A">
              <w:rPr>
                <w:b/>
                <w:bCs w:val="0"/>
                <w:sz w:val="20"/>
                <w:szCs w:val="20"/>
                <w:lang w:val="en-US"/>
              </w:rPr>
              <w:t>Factors associated with sleep:</w:t>
            </w:r>
            <w:r w:rsidRPr="0066602A">
              <w:rPr>
                <w:sz w:val="20"/>
                <w:szCs w:val="20"/>
                <w:lang w:val="en-US"/>
              </w:rPr>
              <w:br/>
              <w:t xml:space="preserve">Pain was highly correlated with fatigue and sleep (i.e., correlation coefficient, Q0.35) at baseline and EOI. Other symptoms, including distress, remembering, drowsiness, and numbness, reached </w:t>
            </w:r>
            <w:r w:rsidRPr="0066602A">
              <w:rPr>
                <w:sz w:val="20"/>
                <w:szCs w:val="20"/>
                <w:lang w:val="en-US"/>
              </w:rPr>
              <w:lastRenderedPageBreak/>
              <w:t>a moderate level of correlation with pain, fatigue, and sleep.</w:t>
            </w:r>
          </w:p>
        </w:tc>
      </w:tr>
      <w:tr w:rsidR="00685696" w:rsidRPr="0066602A" w14:paraId="301FB9C2" w14:textId="77777777" w:rsidTr="00A049D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AED6FF" w:themeFill="accent6" w:themeFillTint="33"/>
          </w:tcPr>
          <w:p w14:paraId="4C240EB1" w14:textId="338E39A8" w:rsidR="00685696" w:rsidRPr="0066602A" w:rsidRDefault="00685696" w:rsidP="00685696">
            <w:pPr>
              <w:pStyle w:val="Table-Normal"/>
              <w:rPr>
                <w:rFonts w:ascii="Calibri" w:hAnsi="Calibri" w:cs="Calibri"/>
                <w:b/>
                <w:color w:val="4E5053"/>
                <w:sz w:val="20"/>
                <w:szCs w:val="20"/>
                <w:lang w:val="en-US"/>
              </w:rPr>
            </w:pPr>
            <w:r w:rsidRPr="0066602A">
              <w:rPr>
                <w:rFonts w:ascii="Calibri" w:hAnsi="Calibri" w:cs="Calibri"/>
                <w:b/>
                <w:bCs/>
                <w:color w:val="4E5053"/>
                <w:sz w:val="20"/>
                <w:szCs w:val="20"/>
                <w:lang w:val="en-US"/>
              </w:rPr>
              <w:lastRenderedPageBreak/>
              <w:t>Cognitive behavioral therapy (9</w:t>
            </w:r>
            <w:r w:rsidR="00D31DE7" w:rsidRPr="0066602A">
              <w:rPr>
                <w:rFonts w:ascii="Calibri" w:hAnsi="Calibri" w:cs="Calibri"/>
                <w:b/>
                <w:bCs/>
                <w:color w:val="4E5053"/>
                <w:sz w:val="20"/>
                <w:szCs w:val="20"/>
                <w:lang w:val="en-US"/>
              </w:rPr>
              <w:t xml:space="preserve"> studies</w:t>
            </w:r>
            <w:r w:rsidRPr="0066602A">
              <w:rPr>
                <w:rFonts w:ascii="Calibri" w:hAnsi="Calibri" w:cs="Calibri"/>
                <w:b/>
                <w:bCs/>
                <w:color w:val="4E5053"/>
                <w:sz w:val="20"/>
                <w:szCs w:val="20"/>
                <w:lang w:val="en-US"/>
              </w:rPr>
              <w:t>)</w:t>
            </w:r>
          </w:p>
        </w:tc>
      </w:tr>
      <w:tr w:rsidR="00685696" w:rsidRPr="0066602A" w14:paraId="7F8942A1"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107CAD8B" w14:textId="21C7DFB3" w:rsidR="00685696" w:rsidRPr="0066602A" w:rsidRDefault="00685696" w:rsidP="00685696">
            <w:pPr>
              <w:pStyle w:val="Table-Normal"/>
              <w:rPr>
                <w:bCs/>
                <w:sz w:val="20"/>
                <w:szCs w:val="20"/>
                <w:lang w:val="en-US"/>
              </w:rPr>
            </w:pPr>
            <w:proofErr w:type="spellStart"/>
            <w:r w:rsidRPr="0066602A">
              <w:rPr>
                <w:sz w:val="20"/>
                <w:szCs w:val="20"/>
                <w:lang w:val="en-US"/>
              </w:rPr>
              <w:t>Kwekkeboom</w:t>
            </w:r>
            <w:proofErr w:type="spellEnd"/>
            <w:r w:rsidRPr="0066602A">
              <w:rPr>
                <w:sz w:val="20"/>
                <w:szCs w:val="20"/>
                <w:lang w:val="en-US"/>
              </w:rPr>
              <w:t>, 2018</w:t>
            </w:r>
          </w:p>
          <w:p w14:paraId="5BBAE1AC" w14:textId="2B705BC0" w:rsidR="00685696" w:rsidRPr="0066602A" w:rsidRDefault="00685696" w:rsidP="00685696">
            <w:pPr>
              <w:pStyle w:val="Table-Normal"/>
              <w:rPr>
                <w:sz w:val="20"/>
                <w:szCs w:val="20"/>
                <w:lang w:val="en-US"/>
              </w:rPr>
            </w:pPr>
            <w:r w:rsidRPr="0066602A">
              <w:rPr>
                <w:sz w:val="20"/>
                <w:szCs w:val="20"/>
                <w:lang w:val="en-US"/>
              </w:rPr>
              <w:t>USA</w:t>
            </w:r>
          </w:p>
          <w:p w14:paraId="09798A9E" w14:textId="2AF03200" w:rsidR="00685696" w:rsidRPr="0066602A" w:rsidRDefault="00685696" w:rsidP="00685696">
            <w:pPr>
              <w:pStyle w:val="Table-Normal"/>
              <w:rPr>
                <w:sz w:val="20"/>
                <w:szCs w:val="20"/>
                <w:lang w:val="en-US"/>
              </w:rPr>
            </w:pPr>
            <w:r w:rsidRPr="0066602A">
              <w:rPr>
                <w:sz w:val="20"/>
                <w:szCs w:val="20"/>
                <w:lang w:val="en-US"/>
              </w:rPr>
              <w:t>RCT, September 1993-April 1996</w:t>
            </w:r>
          </w:p>
        </w:tc>
        <w:tc>
          <w:tcPr>
            <w:tcW w:w="468" w:type="pct"/>
          </w:tcPr>
          <w:p w14:paraId="2933D587" w14:textId="71A32745"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164 (85 on treatment; 79 controls)</w:t>
            </w:r>
          </w:p>
        </w:tc>
        <w:tc>
          <w:tcPr>
            <w:tcW w:w="436" w:type="pct"/>
          </w:tcPr>
          <w:p w14:paraId="68D2C57C"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b/>
                <w:bCs w:val="0"/>
                <w:sz w:val="20"/>
                <w:szCs w:val="20"/>
                <w:lang w:val="en-US"/>
              </w:rPr>
            </w:pPr>
            <w:r w:rsidRPr="0066602A">
              <w:rPr>
                <w:b/>
                <w:bCs w:val="0"/>
                <w:sz w:val="20"/>
                <w:szCs w:val="20"/>
                <w:lang w:val="en-US"/>
              </w:rPr>
              <w:t>Treatment</w:t>
            </w:r>
          </w:p>
          <w:p w14:paraId="78EF0534"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Male: 24 (28%)</w:t>
            </w:r>
          </w:p>
          <w:p w14:paraId="04A78FF5"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Female: 61 (72%)</w:t>
            </w:r>
          </w:p>
          <w:p w14:paraId="2B4A6B6B"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Mean – 58.4</w:t>
            </w:r>
          </w:p>
          <w:p w14:paraId="6107B14D"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b/>
                <w:bCs w:val="0"/>
                <w:sz w:val="20"/>
                <w:szCs w:val="20"/>
                <w:lang w:val="en-US"/>
              </w:rPr>
            </w:pPr>
            <w:r w:rsidRPr="0066602A">
              <w:rPr>
                <w:b/>
                <w:bCs w:val="0"/>
                <w:sz w:val="20"/>
                <w:szCs w:val="20"/>
                <w:lang w:val="en-US"/>
              </w:rPr>
              <w:t>Control</w:t>
            </w:r>
          </w:p>
          <w:p w14:paraId="7F29B11C"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Male: 20 (25%)</w:t>
            </w:r>
          </w:p>
          <w:p w14:paraId="7D7C6CB7"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Female: 59 (75%)</w:t>
            </w:r>
          </w:p>
          <w:p w14:paraId="59A996FA" w14:textId="296397E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Mean – 58.6</w:t>
            </w:r>
          </w:p>
        </w:tc>
        <w:tc>
          <w:tcPr>
            <w:tcW w:w="726" w:type="pct"/>
          </w:tcPr>
          <w:p w14:paraId="16C77DC8" w14:textId="6CC7304A"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b/>
                <w:bCs w:val="0"/>
                <w:sz w:val="20"/>
                <w:szCs w:val="20"/>
                <w:lang w:val="en-US"/>
              </w:rPr>
              <w:t>Treatment arm</w:t>
            </w:r>
            <w:r w:rsidRPr="0066602A">
              <w:rPr>
                <w:sz w:val="20"/>
                <w:szCs w:val="20"/>
                <w:lang w:val="en-US"/>
              </w:rPr>
              <w:br/>
              <w:t>Breast: 20 (24%)</w:t>
            </w:r>
            <w:r w:rsidRPr="0066602A">
              <w:rPr>
                <w:sz w:val="20"/>
                <w:szCs w:val="20"/>
                <w:lang w:val="en-US"/>
              </w:rPr>
              <w:br/>
              <w:t>Lung: 17 (20%)</w:t>
            </w:r>
            <w:r w:rsidRPr="0066602A">
              <w:rPr>
                <w:sz w:val="20"/>
                <w:szCs w:val="20"/>
                <w:lang w:val="en-US"/>
              </w:rPr>
              <w:br/>
              <w:t>GI: 18 (21%)</w:t>
            </w:r>
            <w:r w:rsidRPr="0066602A">
              <w:rPr>
                <w:sz w:val="20"/>
                <w:szCs w:val="20"/>
                <w:lang w:val="en-US"/>
              </w:rPr>
              <w:br/>
              <w:t>GYN: 14 (16%)</w:t>
            </w:r>
            <w:r w:rsidRPr="0066602A">
              <w:rPr>
                <w:sz w:val="20"/>
                <w:szCs w:val="20"/>
                <w:lang w:val="en-US"/>
              </w:rPr>
              <w:br/>
              <w:t>Prostate: 6 (7%)</w:t>
            </w:r>
            <w:r w:rsidRPr="0066602A">
              <w:rPr>
                <w:sz w:val="20"/>
                <w:szCs w:val="20"/>
                <w:lang w:val="en-US"/>
              </w:rPr>
              <w:br/>
              <w:t>Other: 10 (12%)</w:t>
            </w:r>
            <w:r w:rsidRPr="0066602A">
              <w:rPr>
                <w:sz w:val="20"/>
                <w:szCs w:val="20"/>
                <w:lang w:val="en-US"/>
              </w:rPr>
              <w:br/>
            </w:r>
            <w:r w:rsidRPr="0066602A">
              <w:rPr>
                <w:b/>
                <w:bCs w:val="0"/>
                <w:sz w:val="20"/>
                <w:szCs w:val="20"/>
                <w:lang w:val="en-US"/>
              </w:rPr>
              <w:t>Control arm</w:t>
            </w:r>
            <w:r w:rsidRPr="0066602A">
              <w:rPr>
                <w:sz w:val="20"/>
                <w:szCs w:val="20"/>
                <w:lang w:val="en-US"/>
              </w:rPr>
              <w:br/>
              <w:t>Breast: 17 (21%)</w:t>
            </w:r>
            <w:r w:rsidRPr="0066602A">
              <w:rPr>
                <w:sz w:val="20"/>
                <w:szCs w:val="20"/>
                <w:lang w:val="en-US"/>
              </w:rPr>
              <w:br/>
              <w:t>Lung: 14 (18%)</w:t>
            </w:r>
            <w:r w:rsidRPr="0066602A">
              <w:rPr>
                <w:sz w:val="20"/>
                <w:szCs w:val="20"/>
                <w:lang w:val="en-US"/>
              </w:rPr>
              <w:br/>
              <w:t>GI: 18 (23%)</w:t>
            </w:r>
            <w:r w:rsidRPr="0066602A">
              <w:rPr>
                <w:sz w:val="20"/>
                <w:szCs w:val="20"/>
                <w:lang w:val="en-US"/>
              </w:rPr>
              <w:br/>
              <w:t>GYN: 15 (19%)</w:t>
            </w:r>
            <w:r w:rsidRPr="0066602A">
              <w:rPr>
                <w:sz w:val="20"/>
                <w:szCs w:val="20"/>
                <w:lang w:val="en-US"/>
              </w:rPr>
              <w:br/>
              <w:t>Prostate: 4 (5%)</w:t>
            </w:r>
            <w:r w:rsidRPr="0066602A">
              <w:rPr>
                <w:sz w:val="20"/>
                <w:szCs w:val="20"/>
                <w:lang w:val="en-US"/>
              </w:rPr>
              <w:br/>
              <w:t>Other: 11 (14%)</w:t>
            </w:r>
          </w:p>
        </w:tc>
        <w:tc>
          <w:tcPr>
            <w:tcW w:w="760" w:type="pct"/>
          </w:tcPr>
          <w:p w14:paraId="3E858E2F" w14:textId="5F4A2E0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b/>
                <w:bCs w:val="0"/>
                <w:sz w:val="20"/>
                <w:szCs w:val="20"/>
                <w:lang w:val="en-US"/>
              </w:rPr>
              <w:t>Treatment arm</w:t>
            </w:r>
            <w:r w:rsidRPr="0066602A">
              <w:rPr>
                <w:sz w:val="20"/>
                <w:szCs w:val="20"/>
                <w:lang w:val="en-US"/>
              </w:rPr>
              <w:br/>
              <w:t>Cytotoxic: 45 (53%)</w:t>
            </w:r>
            <w:r w:rsidRPr="0066602A">
              <w:rPr>
                <w:sz w:val="20"/>
                <w:szCs w:val="20"/>
                <w:lang w:val="en-US"/>
              </w:rPr>
              <w:br/>
              <w:t>Targeted: 12 (14%)</w:t>
            </w:r>
            <w:r w:rsidRPr="0066602A">
              <w:rPr>
                <w:sz w:val="20"/>
                <w:szCs w:val="20"/>
                <w:lang w:val="en-US"/>
              </w:rPr>
              <w:br/>
              <w:t>Hormonal: 2 (2%)</w:t>
            </w:r>
            <w:r w:rsidRPr="0066602A">
              <w:rPr>
                <w:sz w:val="20"/>
                <w:szCs w:val="20"/>
                <w:lang w:val="en-US"/>
              </w:rPr>
              <w:br/>
              <w:t>Combination: 26 (31%)</w:t>
            </w:r>
            <w:r w:rsidRPr="0066602A">
              <w:rPr>
                <w:sz w:val="20"/>
                <w:szCs w:val="20"/>
                <w:lang w:val="en-US"/>
              </w:rPr>
              <w:br/>
            </w:r>
            <w:r w:rsidRPr="0066602A">
              <w:rPr>
                <w:b/>
                <w:bCs w:val="0"/>
                <w:sz w:val="20"/>
                <w:szCs w:val="20"/>
                <w:lang w:val="en-US"/>
              </w:rPr>
              <w:t>Control arm</w:t>
            </w:r>
            <w:r w:rsidRPr="0066602A">
              <w:rPr>
                <w:sz w:val="20"/>
                <w:szCs w:val="20"/>
                <w:lang w:val="en-US"/>
              </w:rPr>
              <w:br/>
              <w:t>Cytotoxic: 45 (57%)</w:t>
            </w:r>
            <w:r w:rsidRPr="0066602A">
              <w:rPr>
                <w:sz w:val="20"/>
                <w:szCs w:val="20"/>
                <w:lang w:val="en-US"/>
              </w:rPr>
              <w:br/>
              <w:t>Targeted: 15 (19%)</w:t>
            </w:r>
            <w:r w:rsidRPr="0066602A">
              <w:rPr>
                <w:sz w:val="20"/>
                <w:szCs w:val="20"/>
                <w:lang w:val="en-US"/>
              </w:rPr>
              <w:br/>
              <w:t>Hormonal: 0 (0%)</w:t>
            </w:r>
            <w:r w:rsidRPr="0066602A">
              <w:rPr>
                <w:sz w:val="20"/>
                <w:szCs w:val="20"/>
                <w:lang w:val="en-US"/>
              </w:rPr>
              <w:br/>
              <w:t>Combination: 19 (24%)</w:t>
            </w:r>
          </w:p>
        </w:tc>
        <w:tc>
          <w:tcPr>
            <w:tcW w:w="551" w:type="pct"/>
          </w:tcPr>
          <w:p w14:paraId="24AC7C44"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CBT-I</w:t>
            </w:r>
          </w:p>
        </w:tc>
        <w:tc>
          <w:tcPr>
            <w:tcW w:w="1562" w:type="pct"/>
          </w:tcPr>
          <w:p w14:paraId="0827F25B"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&gt; Symptom cluster was pain, fatigue, and sleep disturbance</w:t>
            </w:r>
            <w:r w:rsidRPr="0066602A">
              <w:rPr>
                <w:sz w:val="20"/>
                <w:szCs w:val="20"/>
                <w:lang w:val="en-US"/>
              </w:rPr>
              <w:br/>
              <w:t xml:space="preserve">&gt; Symptom cluster severity scores did not differ by group at weeks 3, 6, or 9. </w:t>
            </w:r>
            <w:r w:rsidRPr="0066602A">
              <w:rPr>
                <w:sz w:val="20"/>
                <w:szCs w:val="20"/>
                <w:lang w:val="en-US"/>
              </w:rPr>
              <w:br/>
              <w:t>&gt; Symptom cluster distress scores did not differ by group at weeks 3 or 9, however at week 6, the CBS intervention group reported lower symptom cluster distress scores (</w:t>
            </w:r>
            <w:proofErr w:type="spellStart"/>
            <w:r w:rsidRPr="0066602A">
              <w:rPr>
                <w:sz w:val="20"/>
                <w:szCs w:val="20"/>
                <w:lang w:val="en-US"/>
              </w:rPr>
              <w:t>MAdj</w:t>
            </w:r>
            <w:proofErr w:type="spellEnd"/>
            <w:r w:rsidRPr="0066602A">
              <w:rPr>
                <w:sz w:val="20"/>
                <w:szCs w:val="20"/>
                <w:lang w:val="en-US"/>
              </w:rPr>
              <w:t>=1.82) compared to the control group (</w:t>
            </w:r>
            <w:proofErr w:type="spellStart"/>
            <w:r w:rsidRPr="0066602A">
              <w:rPr>
                <w:sz w:val="20"/>
                <w:szCs w:val="20"/>
                <w:lang w:val="en-US"/>
              </w:rPr>
              <w:t>MAdj</w:t>
            </w:r>
            <w:proofErr w:type="spellEnd"/>
            <w:r w:rsidRPr="0066602A">
              <w:rPr>
                <w:sz w:val="20"/>
                <w:szCs w:val="20"/>
                <w:lang w:val="en-US"/>
              </w:rPr>
              <w:t xml:space="preserve">=2.15) </w:t>
            </w:r>
            <w:proofErr w:type="gramStart"/>
            <w:r w:rsidRPr="0066602A">
              <w:rPr>
                <w:sz w:val="20"/>
                <w:szCs w:val="20"/>
                <w:lang w:val="en-US"/>
              </w:rPr>
              <w:t>F(</w:t>
            </w:r>
            <w:proofErr w:type="gramEnd"/>
            <w:r w:rsidRPr="0066602A">
              <w:rPr>
                <w:sz w:val="20"/>
                <w:szCs w:val="20"/>
                <w:lang w:val="en-US"/>
              </w:rPr>
              <w:t xml:space="preserve">1,130)=3.04, p=.04. </w:t>
            </w:r>
            <w:r w:rsidRPr="0066602A">
              <w:rPr>
                <w:sz w:val="20"/>
                <w:szCs w:val="20"/>
                <w:lang w:val="en-US"/>
              </w:rPr>
              <w:br/>
              <w:t>&gt; Symptom cluster interference did not differ by group at any follow-up point.</w:t>
            </w:r>
            <w:r w:rsidRPr="0066602A">
              <w:rPr>
                <w:sz w:val="20"/>
                <w:szCs w:val="20"/>
                <w:lang w:val="en-US"/>
              </w:rPr>
              <w:br/>
            </w:r>
          </w:p>
        </w:tc>
      </w:tr>
      <w:tr w:rsidR="00685696" w:rsidRPr="0066602A" w14:paraId="2240E6BB"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1AB29679" w14:textId="03A98559" w:rsidR="00685696" w:rsidRPr="0066602A" w:rsidRDefault="00685696" w:rsidP="00685696">
            <w:pPr>
              <w:pStyle w:val="Table-Normal"/>
              <w:rPr>
                <w:bCs/>
                <w:sz w:val="20"/>
                <w:szCs w:val="20"/>
                <w:lang w:val="en-US"/>
              </w:rPr>
            </w:pPr>
            <w:r w:rsidRPr="0066602A">
              <w:rPr>
                <w:sz w:val="20"/>
                <w:szCs w:val="20"/>
                <w:lang w:val="en-US"/>
              </w:rPr>
              <w:t xml:space="preserve">Matthews, </w:t>
            </w:r>
            <w:r w:rsidR="00FC15D3" w:rsidRPr="0066602A">
              <w:rPr>
                <w:sz w:val="20"/>
                <w:szCs w:val="20"/>
                <w:lang w:val="en-US"/>
              </w:rPr>
              <w:t>2014</w:t>
            </w:r>
          </w:p>
          <w:p w14:paraId="669DBB20" w14:textId="4C20A04D" w:rsidR="00685696" w:rsidRPr="0066602A" w:rsidRDefault="00685696" w:rsidP="00685696">
            <w:pPr>
              <w:pStyle w:val="Table-Normal"/>
              <w:rPr>
                <w:sz w:val="20"/>
                <w:szCs w:val="20"/>
                <w:lang w:val="en-US"/>
              </w:rPr>
            </w:pPr>
            <w:r w:rsidRPr="0066602A">
              <w:rPr>
                <w:sz w:val="20"/>
                <w:szCs w:val="20"/>
                <w:lang w:val="en-US"/>
              </w:rPr>
              <w:t>USA</w:t>
            </w:r>
          </w:p>
          <w:p w14:paraId="07900BB3" w14:textId="3D0AE91C" w:rsidR="00685696" w:rsidRPr="0066602A" w:rsidRDefault="00685696" w:rsidP="00685696">
            <w:pPr>
              <w:pStyle w:val="Table-Normal"/>
              <w:rPr>
                <w:sz w:val="20"/>
                <w:szCs w:val="20"/>
                <w:lang w:val="en-US"/>
              </w:rPr>
            </w:pPr>
            <w:r w:rsidRPr="0066602A">
              <w:rPr>
                <w:sz w:val="20"/>
                <w:szCs w:val="20"/>
                <w:lang w:val="en-US"/>
              </w:rPr>
              <w:t>Prospective, longitudinal, randomized, controlled trial, NR</w:t>
            </w:r>
          </w:p>
        </w:tc>
        <w:tc>
          <w:tcPr>
            <w:tcW w:w="468" w:type="pct"/>
          </w:tcPr>
          <w:p w14:paraId="6601C916" w14:textId="7E29B78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56</w:t>
            </w:r>
          </w:p>
        </w:tc>
        <w:tc>
          <w:tcPr>
            <w:tcW w:w="436" w:type="pct"/>
          </w:tcPr>
          <w:p w14:paraId="79F266E3" w14:textId="1BEB5B3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- 52</w:t>
            </w:r>
          </w:p>
        </w:tc>
        <w:tc>
          <w:tcPr>
            <w:tcW w:w="726" w:type="pct"/>
          </w:tcPr>
          <w:p w14:paraId="3C1D7FA9" w14:textId="5A11DA59"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Breast: 56 (100%)</w:t>
            </w:r>
          </w:p>
        </w:tc>
        <w:tc>
          <w:tcPr>
            <w:tcW w:w="760" w:type="pct"/>
          </w:tcPr>
          <w:p w14:paraId="5B5D58B0"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All patients had completed their primary treatment</w:t>
            </w:r>
            <w:r w:rsidRPr="0066602A">
              <w:rPr>
                <w:sz w:val="20"/>
                <w:szCs w:val="20"/>
                <w:lang w:val="en-US"/>
              </w:rPr>
              <w:br/>
              <w:t>Chemotherapy: 39 (69.6%)</w:t>
            </w:r>
          </w:p>
        </w:tc>
        <w:tc>
          <w:tcPr>
            <w:tcW w:w="551" w:type="pct"/>
          </w:tcPr>
          <w:p w14:paraId="27202F4E"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CBT and BPT</w:t>
            </w:r>
          </w:p>
        </w:tc>
        <w:tc>
          <w:tcPr>
            <w:tcW w:w="1562" w:type="pct"/>
          </w:tcPr>
          <w:p w14:paraId="18C3953C" w14:textId="64D1468C"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The baseline means for sleep efficiency (SE) of less than 80%, sleep latency (SL) of 25–37 minutes, and wake after sleep onset (WASO) of greater than 38 minutes suggested substantial onset and maintenance insomnia in both groups. </w:t>
            </w:r>
            <w:r w:rsidRPr="0066602A">
              <w:rPr>
                <w:sz w:val="20"/>
                <w:szCs w:val="20"/>
                <w:lang w:val="en-US"/>
              </w:rPr>
              <w:br/>
              <w:t xml:space="preserve">&gt; The CBT-I group reduced the minutes to fall asleep by 20.73 minutes from baseline to week 6, whereas those in the BPT group reduced their sleep onset latency by 7.97 minutes (p=0.007, d = 0.48), and this improvement was maintained during the follow-up period (p=0.0005, d = 0.49). </w:t>
            </w:r>
            <w:r w:rsidRPr="0066602A">
              <w:rPr>
                <w:sz w:val="20"/>
                <w:szCs w:val="20"/>
                <w:lang w:val="en-US"/>
              </w:rPr>
              <w:br/>
              <w:t xml:space="preserve">&gt; Evidence also was found for greater increases in TST during the treatment weeks in the BPT group compared to CBT-I (p=0.012, d = 0.67), although this difference was not maintained at the follow-up period (p=0.84, d = 0.03). </w:t>
            </w:r>
            <w:r w:rsidRPr="0066602A">
              <w:rPr>
                <w:sz w:val="20"/>
                <w:szCs w:val="20"/>
                <w:lang w:val="en-US"/>
              </w:rPr>
              <w:br/>
            </w:r>
            <w:r w:rsidRPr="0066602A">
              <w:rPr>
                <w:sz w:val="20"/>
                <w:szCs w:val="20"/>
                <w:lang w:val="en-US"/>
              </w:rPr>
              <w:lastRenderedPageBreak/>
              <w:t>&gt; No significant differences were found between the CBT-I and BPT groups in terms of change in sleep aid use from week 1 to week 6 (Wilcoxon rank sum test, p=0.7). At baseline, nine women in the BPT group denied use of prescription sleep aids (sedatives/hypnotics) and non-prescription sleep aids (over-the-counter aids marketed for analgesia, cold/flu, sleep, herbal supplements) compared to 11 in the CBT-I group.</w:t>
            </w:r>
          </w:p>
        </w:tc>
      </w:tr>
      <w:tr w:rsidR="00685696" w:rsidRPr="0066602A" w14:paraId="3DEBE18D"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0D32BC49" w14:textId="77777777" w:rsidR="00685696" w:rsidRPr="0066602A" w:rsidRDefault="00685696" w:rsidP="00685696">
            <w:pPr>
              <w:pStyle w:val="Table-Normal"/>
              <w:rPr>
                <w:bCs/>
                <w:sz w:val="20"/>
                <w:szCs w:val="20"/>
                <w:lang w:val="en-US"/>
              </w:rPr>
            </w:pPr>
            <w:r w:rsidRPr="0066602A">
              <w:rPr>
                <w:sz w:val="20"/>
                <w:szCs w:val="20"/>
                <w:lang w:val="en-US"/>
              </w:rPr>
              <w:lastRenderedPageBreak/>
              <w:t>McCarthy, 2018</w:t>
            </w:r>
          </w:p>
          <w:p w14:paraId="4499CE05" w14:textId="5B815F52" w:rsidR="00685696" w:rsidRPr="0066602A" w:rsidRDefault="00685696" w:rsidP="00685696">
            <w:pPr>
              <w:pStyle w:val="Table-Normal"/>
              <w:rPr>
                <w:sz w:val="20"/>
                <w:szCs w:val="20"/>
                <w:lang w:val="en-US"/>
              </w:rPr>
            </w:pPr>
            <w:r w:rsidRPr="0066602A">
              <w:rPr>
                <w:sz w:val="20"/>
                <w:szCs w:val="20"/>
                <w:lang w:val="en-US"/>
              </w:rPr>
              <w:t>USA</w:t>
            </w:r>
          </w:p>
          <w:p w14:paraId="41CB8E53" w14:textId="0043D046" w:rsidR="00685696" w:rsidRPr="0066602A" w:rsidRDefault="00685696" w:rsidP="00685696">
            <w:pPr>
              <w:pStyle w:val="Table-Normal"/>
              <w:rPr>
                <w:sz w:val="20"/>
                <w:szCs w:val="20"/>
                <w:lang w:val="en-US"/>
              </w:rPr>
            </w:pPr>
            <w:r w:rsidRPr="0066602A">
              <w:rPr>
                <w:sz w:val="20"/>
                <w:szCs w:val="20"/>
                <w:lang w:val="en-US"/>
              </w:rPr>
              <w:t>Prospective, pre-/post-test, quasi experimental feasibility pilot trial, NR</w:t>
            </w:r>
          </w:p>
        </w:tc>
        <w:tc>
          <w:tcPr>
            <w:tcW w:w="468" w:type="pct"/>
          </w:tcPr>
          <w:p w14:paraId="366232E5" w14:textId="2173B4E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18</w:t>
            </w:r>
          </w:p>
        </w:tc>
        <w:tc>
          <w:tcPr>
            <w:tcW w:w="436" w:type="pct"/>
          </w:tcPr>
          <w:p w14:paraId="45C62C9B" w14:textId="67EDF7E8"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- 57.72</w:t>
            </w:r>
          </w:p>
        </w:tc>
        <w:tc>
          <w:tcPr>
            <w:tcW w:w="726" w:type="pct"/>
          </w:tcPr>
          <w:p w14:paraId="391FCFA8" w14:textId="63621B8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18 (100%)</w:t>
            </w:r>
          </w:p>
        </w:tc>
        <w:tc>
          <w:tcPr>
            <w:tcW w:w="760" w:type="pct"/>
          </w:tcPr>
          <w:p w14:paraId="64C5C523"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NA</w:t>
            </w:r>
          </w:p>
        </w:tc>
        <w:tc>
          <w:tcPr>
            <w:tcW w:w="551" w:type="pct"/>
          </w:tcPr>
          <w:p w14:paraId="1228BF5C"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CBT</w:t>
            </w:r>
          </w:p>
        </w:tc>
        <w:tc>
          <w:tcPr>
            <w:tcW w:w="1562" w:type="pct"/>
          </w:tcPr>
          <w:p w14:paraId="4041F8A0" w14:textId="123A5710"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There was significant improvement in sleep outcomes immediately after CBT-I intervention.</w:t>
            </w:r>
            <w:r w:rsidRPr="0066602A">
              <w:rPr>
                <w:sz w:val="20"/>
                <w:szCs w:val="20"/>
                <w:lang w:val="en-US"/>
              </w:rPr>
              <w:br/>
            </w:r>
            <w:r w:rsidRPr="0066602A">
              <w:rPr>
                <w:b/>
                <w:bCs w:val="0"/>
                <w:sz w:val="20"/>
                <w:szCs w:val="20"/>
                <w:lang w:val="en-US"/>
              </w:rPr>
              <w:t>ISI total at baseline:</w:t>
            </w:r>
            <w:r w:rsidRPr="0066602A">
              <w:rPr>
                <w:sz w:val="20"/>
                <w:szCs w:val="20"/>
                <w:lang w:val="en-US"/>
              </w:rPr>
              <w:br/>
              <w:t>Mean (SD): 14.78 (4.63)</w:t>
            </w:r>
            <w:r w:rsidRPr="0066602A">
              <w:rPr>
                <w:sz w:val="20"/>
                <w:szCs w:val="20"/>
                <w:lang w:val="en-US"/>
              </w:rPr>
              <w:br/>
            </w:r>
            <w:r w:rsidRPr="0066602A">
              <w:rPr>
                <w:b/>
                <w:bCs w:val="0"/>
                <w:sz w:val="20"/>
                <w:szCs w:val="20"/>
                <w:lang w:val="en-US"/>
              </w:rPr>
              <w:t>ISI post CBT:</w:t>
            </w:r>
            <w:r w:rsidRPr="0066602A">
              <w:rPr>
                <w:sz w:val="20"/>
                <w:szCs w:val="20"/>
                <w:lang w:val="en-US"/>
              </w:rPr>
              <w:br/>
              <w:t>Mean (SD): 7.8 (5.73)</w:t>
            </w:r>
          </w:p>
        </w:tc>
      </w:tr>
      <w:tr w:rsidR="00685696" w:rsidRPr="0066602A" w14:paraId="21F30E12"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6468DA08" w14:textId="77777777" w:rsidR="00685696" w:rsidRPr="0066602A" w:rsidRDefault="00685696" w:rsidP="00685696">
            <w:pPr>
              <w:pStyle w:val="Table-Normal"/>
              <w:rPr>
                <w:bCs/>
                <w:sz w:val="20"/>
                <w:szCs w:val="20"/>
                <w:lang w:val="en-US"/>
              </w:rPr>
            </w:pPr>
            <w:r w:rsidRPr="0066602A">
              <w:rPr>
                <w:sz w:val="20"/>
                <w:szCs w:val="20"/>
                <w:lang w:val="en-US"/>
              </w:rPr>
              <w:t>Peoples, 2017</w:t>
            </w:r>
          </w:p>
          <w:p w14:paraId="73D2AB15" w14:textId="73FA4CFF" w:rsidR="00685696" w:rsidRPr="0066602A" w:rsidRDefault="00685696" w:rsidP="00685696">
            <w:pPr>
              <w:pStyle w:val="Table-Normal"/>
              <w:rPr>
                <w:sz w:val="20"/>
                <w:szCs w:val="20"/>
                <w:lang w:val="en-US"/>
              </w:rPr>
            </w:pPr>
            <w:r w:rsidRPr="0066602A">
              <w:rPr>
                <w:sz w:val="20"/>
                <w:szCs w:val="20"/>
                <w:lang w:val="en-US"/>
              </w:rPr>
              <w:t>USA</w:t>
            </w:r>
          </w:p>
          <w:p w14:paraId="2247433E" w14:textId="020ACFCD" w:rsidR="00685696" w:rsidRPr="0066602A" w:rsidRDefault="00685696" w:rsidP="00685696">
            <w:pPr>
              <w:pStyle w:val="Table-Normal"/>
              <w:rPr>
                <w:sz w:val="20"/>
                <w:szCs w:val="20"/>
                <w:lang w:val="en-US"/>
              </w:rPr>
            </w:pPr>
            <w:r w:rsidRPr="0066602A">
              <w:rPr>
                <w:sz w:val="20"/>
                <w:szCs w:val="20"/>
                <w:lang w:val="en-US"/>
              </w:rPr>
              <w:t xml:space="preserve">RCT, September 2008 - November 2012 </w:t>
            </w:r>
          </w:p>
        </w:tc>
        <w:tc>
          <w:tcPr>
            <w:tcW w:w="468" w:type="pct"/>
          </w:tcPr>
          <w:p w14:paraId="7AF4ECD1" w14:textId="6EF0C921"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95</w:t>
            </w:r>
          </w:p>
        </w:tc>
        <w:tc>
          <w:tcPr>
            <w:tcW w:w="436" w:type="pct"/>
          </w:tcPr>
          <w:p w14:paraId="04945CA3"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rFonts w:cstheme="minorHAnsi"/>
                <w:color w:val="4E5053"/>
                <w:sz w:val="20"/>
                <w:szCs w:val="20"/>
                <w:lang w:val="en-US"/>
              </w:rPr>
            </w:pPr>
            <w:r w:rsidRPr="0066602A">
              <w:rPr>
                <w:rFonts w:cstheme="minorHAnsi"/>
                <w:color w:val="4E5053"/>
                <w:sz w:val="20"/>
                <w:szCs w:val="20"/>
                <w:lang w:val="en-US"/>
              </w:rPr>
              <w:t>Female – 88%</w:t>
            </w:r>
          </w:p>
          <w:p w14:paraId="401192C2" w14:textId="3C05F063"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Male: 12%</w:t>
            </w:r>
            <w:r w:rsidRPr="0066602A">
              <w:rPr>
                <w:rFonts w:cstheme="minorHAnsi"/>
                <w:color w:val="4E5053"/>
                <w:sz w:val="20"/>
                <w:szCs w:val="20"/>
                <w:lang w:val="en-US"/>
              </w:rPr>
              <w:br/>
              <w:t>Mean – 56.2</w:t>
            </w:r>
          </w:p>
        </w:tc>
        <w:tc>
          <w:tcPr>
            <w:tcW w:w="726" w:type="pct"/>
          </w:tcPr>
          <w:p w14:paraId="22EB6410" w14:textId="5EAA231A"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Breast Cancer: 65 (68.4%) </w:t>
            </w:r>
            <w:r w:rsidRPr="0066602A">
              <w:rPr>
                <w:sz w:val="20"/>
                <w:szCs w:val="20"/>
                <w:lang w:val="en-US"/>
              </w:rPr>
              <w:br/>
              <w:t xml:space="preserve">Blood Cancer: 9 (9.5%) </w:t>
            </w:r>
            <w:r w:rsidRPr="0066602A">
              <w:rPr>
                <w:sz w:val="20"/>
                <w:szCs w:val="20"/>
                <w:lang w:val="en-US"/>
              </w:rPr>
              <w:br/>
              <w:t xml:space="preserve">Brain &amp; Peripheral Nervous System Tumor: 2 (2.1%) </w:t>
            </w:r>
            <w:r w:rsidRPr="0066602A">
              <w:rPr>
                <w:sz w:val="20"/>
                <w:szCs w:val="20"/>
                <w:lang w:val="en-US"/>
              </w:rPr>
              <w:br/>
              <w:t xml:space="preserve">Head &amp; Neck Cancer: 6 (6.3%) </w:t>
            </w:r>
            <w:r w:rsidRPr="0066602A">
              <w:rPr>
                <w:sz w:val="20"/>
                <w:szCs w:val="20"/>
                <w:lang w:val="en-US"/>
              </w:rPr>
              <w:br/>
              <w:t xml:space="preserve">Alimentary Track Cancer: 6 (6.3%) </w:t>
            </w:r>
            <w:r w:rsidRPr="0066602A">
              <w:rPr>
                <w:sz w:val="20"/>
                <w:szCs w:val="20"/>
                <w:lang w:val="en-US"/>
              </w:rPr>
              <w:br/>
              <w:t xml:space="preserve">Genitourinary Tract Cancer: 3 (3.2%) </w:t>
            </w:r>
            <w:r w:rsidRPr="0066602A">
              <w:rPr>
                <w:sz w:val="20"/>
                <w:szCs w:val="20"/>
                <w:lang w:val="en-US"/>
              </w:rPr>
              <w:br/>
              <w:t xml:space="preserve">Gynecologic Cancer: 3 (3.2%) </w:t>
            </w:r>
            <w:r w:rsidRPr="0066602A">
              <w:rPr>
                <w:sz w:val="20"/>
                <w:szCs w:val="20"/>
                <w:lang w:val="en-US"/>
              </w:rPr>
              <w:br/>
              <w:t xml:space="preserve">Skin Cancer: 1 (1.1%) </w:t>
            </w:r>
          </w:p>
        </w:tc>
        <w:tc>
          <w:tcPr>
            <w:tcW w:w="760" w:type="pct"/>
          </w:tcPr>
          <w:p w14:paraId="7EA46DE5"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b/>
                <w:bCs w:val="0"/>
                <w:sz w:val="20"/>
                <w:szCs w:val="20"/>
                <w:lang w:val="en-US"/>
              </w:rPr>
              <w:t>Previous therapy</w:t>
            </w:r>
            <w:r w:rsidRPr="0066602A">
              <w:rPr>
                <w:sz w:val="20"/>
                <w:szCs w:val="20"/>
                <w:lang w:val="en-US"/>
              </w:rPr>
              <w:br/>
              <w:t xml:space="preserve">Surgery: 11 (11.6%) </w:t>
            </w:r>
            <w:r w:rsidRPr="0066602A">
              <w:rPr>
                <w:sz w:val="20"/>
                <w:szCs w:val="20"/>
                <w:lang w:val="en-US"/>
              </w:rPr>
              <w:br/>
              <w:t xml:space="preserve">Chemotherapy: 76 (80.0%) </w:t>
            </w:r>
            <w:r w:rsidRPr="0066602A">
              <w:rPr>
                <w:sz w:val="20"/>
                <w:szCs w:val="20"/>
                <w:lang w:val="en-US"/>
              </w:rPr>
              <w:br/>
              <w:t xml:space="preserve">Radiation Therapy: 71 (74.7%) </w:t>
            </w:r>
          </w:p>
        </w:tc>
        <w:tc>
          <w:tcPr>
            <w:tcW w:w="551" w:type="pct"/>
          </w:tcPr>
          <w:p w14:paraId="0518DD5C"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CBT</w:t>
            </w:r>
          </w:p>
        </w:tc>
        <w:tc>
          <w:tcPr>
            <w:tcW w:w="1562" w:type="pct"/>
          </w:tcPr>
          <w:p w14:paraId="25F0CCF1"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&gt; The path analysis showed that the only statistically significant direct effects (path coefficient, </w:t>
            </w:r>
            <w:proofErr w:type="spellStart"/>
            <w:r w:rsidRPr="0066602A">
              <w:rPr>
                <w:sz w:val="20"/>
                <w:szCs w:val="20"/>
                <w:lang w:val="en-US"/>
              </w:rPr>
              <w:t>coef</w:t>
            </w:r>
            <w:proofErr w:type="spellEnd"/>
            <w:r w:rsidRPr="0066602A">
              <w:rPr>
                <w:sz w:val="20"/>
                <w:szCs w:val="20"/>
                <w:lang w:val="en-US"/>
              </w:rPr>
              <w:t>) were from CBT-I on the insomnia severity change score (</w:t>
            </w:r>
            <w:proofErr w:type="spellStart"/>
            <w:r w:rsidRPr="0066602A">
              <w:rPr>
                <w:sz w:val="20"/>
                <w:szCs w:val="20"/>
                <w:lang w:val="en-US"/>
              </w:rPr>
              <w:t>coef</w:t>
            </w:r>
            <w:proofErr w:type="spellEnd"/>
            <w:r w:rsidRPr="0066602A">
              <w:rPr>
                <w:sz w:val="20"/>
                <w:szCs w:val="20"/>
                <w:lang w:val="en-US"/>
              </w:rPr>
              <w:t>=−5.60; p&lt;0.0001) and from the insomnia severity change score on the QoL change score (</w:t>
            </w:r>
            <w:proofErr w:type="spellStart"/>
            <w:r w:rsidRPr="0066602A">
              <w:rPr>
                <w:sz w:val="20"/>
                <w:szCs w:val="20"/>
                <w:lang w:val="en-US"/>
              </w:rPr>
              <w:t>coef</w:t>
            </w:r>
            <w:proofErr w:type="spellEnd"/>
            <w:r w:rsidRPr="0066602A">
              <w:rPr>
                <w:sz w:val="20"/>
                <w:szCs w:val="20"/>
                <w:lang w:val="en-US"/>
              </w:rPr>
              <w:t xml:space="preserve">=−0.85; p&lt;0.0001). </w:t>
            </w:r>
            <w:r w:rsidRPr="0066602A">
              <w:rPr>
                <w:sz w:val="20"/>
                <w:szCs w:val="20"/>
                <w:lang w:val="en-US"/>
              </w:rPr>
              <w:br/>
              <w:t>&gt; CBT-I did not have a significant direct effect on the QoL change score (</w:t>
            </w:r>
            <w:proofErr w:type="spellStart"/>
            <w:r w:rsidRPr="0066602A">
              <w:rPr>
                <w:sz w:val="20"/>
                <w:szCs w:val="20"/>
                <w:lang w:val="en-US"/>
              </w:rPr>
              <w:t>coef</w:t>
            </w:r>
            <w:proofErr w:type="spellEnd"/>
            <w:r w:rsidRPr="0066602A">
              <w:rPr>
                <w:sz w:val="20"/>
                <w:szCs w:val="20"/>
                <w:lang w:val="en-US"/>
              </w:rPr>
              <w:t xml:space="preserve">=4.08; p=0.078). </w:t>
            </w:r>
          </w:p>
        </w:tc>
      </w:tr>
      <w:tr w:rsidR="00685696" w:rsidRPr="0066602A" w14:paraId="47A876C0"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539678BB" w14:textId="77777777" w:rsidR="00685696" w:rsidRPr="0066602A" w:rsidRDefault="00685696" w:rsidP="00685696">
            <w:pPr>
              <w:pStyle w:val="Table-Normal"/>
              <w:rPr>
                <w:bCs/>
                <w:sz w:val="20"/>
                <w:szCs w:val="20"/>
                <w:lang w:val="en-US"/>
              </w:rPr>
            </w:pPr>
            <w:r w:rsidRPr="0066602A">
              <w:rPr>
                <w:sz w:val="20"/>
                <w:szCs w:val="20"/>
                <w:lang w:val="en-US"/>
              </w:rPr>
              <w:lastRenderedPageBreak/>
              <w:t>Savard, 2016</w:t>
            </w:r>
          </w:p>
          <w:p w14:paraId="14B6E7EF" w14:textId="47EC6975" w:rsidR="00685696" w:rsidRPr="0066602A" w:rsidRDefault="00685696" w:rsidP="00685696">
            <w:pPr>
              <w:pStyle w:val="Table-Normal"/>
              <w:rPr>
                <w:sz w:val="20"/>
                <w:szCs w:val="20"/>
                <w:lang w:val="en-US"/>
              </w:rPr>
            </w:pPr>
            <w:r w:rsidRPr="0066602A">
              <w:rPr>
                <w:sz w:val="20"/>
                <w:szCs w:val="20"/>
                <w:lang w:val="en-US"/>
              </w:rPr>
              <w:t>Canada</w:t>
            </w:r>
          </w:p>
          <w:p w14:paraId="28547E29" w14:textId="573483F3" w:rsidR="00685696" w:rsidRPr="0066602A" w:rsidRDefault="00685696" w:rsidP="00685696">
            <w:pPr>
              <w:pStyle w:val="Table-Normal"/>
              <w:rPr>
                <w:sz w:val="20"/>
                <w:szCs w:val="20"/>
                <w:lang w:val="en-US"/>
              </w:rPr>
            </w:pPr>
            <w:r w:rsidRPr="0066602A">
              <w:rPr>
                <w:sz w:val="20"/>
                <w:szCs w:val="20"/>
                <w:lang w:val="en-US"/>
              </w:rPr>
              <w:t xml:space="preserve">Three-arm RCT, </w:t>
            </w:r>
            <w:proofErr w:type="gramStart"/>
            <w:r w:rsidRPr="0066602A">
              <w:rPr>
                <w:sz w:val="20"/>
                <w:szCs w:val="20"/>
                <w:lang w:val="en-US"/>
              </w:rPr>
              <w:t>12 month</w:t>
            </w:r>
            <w:proofErr w:type="gramEnd"/>
            <w:r w:rsidRPr="0066602A">
              <w:rPr>
                <w:sz w:val="20"/>
                <w:szCs w:val="20"/>
                <w:lang w:val="en-US"/>
              </w:rPr>
              <w:t xml:space="preserve"> follow-up</w:t>
            </w:r>
          </w:p>
        </w:tc>
        <w:tc>
          <w:tcPr>
            <w:tcW w:w="468" w:type="pct"/>
          </w:tcPr>
          <w:p w14:paraId="7EEC5937" w14:textId="2660D97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242</w:t>
            </w:r>
          </w:p>
        </w:tc>
        <w:tc>
          <w:tcPr>
            <w:tcW w:w="436" w:type="pct"/>
          </w:tcPr>
          <w:p w14:paraId="65DA7FA4" w14:textId="119EE87F"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54.4</w:t>
            </w:r>
          </w:p>
        </w:tc>
        <w:tc>
          <w:tcPr>
            <w:tcW w:w="726" w:type="pct"/>
          </w:tcPr>
          <w:p w14:paraId="4C78A424" w14:textId="7D37EF0B"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242 (100%)</w:t>
            </w:r>
          </w:p>
        </w:tc>
        <w:tc>
          <w:tcPr>
            <w:tcW w:w="760" w:type="pct"/>
          </w:tcPr>
          <w:p w14:paraId="1C83E20C" w14:textId="729E793A" w:rsidR="00685696" w:rsidRPr="0066602A" w:rsidRDefault="00480763"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 xml:space="preserve">Radiation </w:t>
            </w:r>
            <w:r w:rsidR="00685696" w:rsidRPr="0066602A">
              <w:rPr>
                <w:sz w:val="20"/>
                <w:szCs w:val="20"/>
                <w:lang w:val="en-US"/>
              </w:rPr>
              <w:t>therapy: 9 (4.5%)</w:t>
            </w:r>
            <w:r w:rsidR="00685696" w:rsidRPr="0066602A">
              <w:rPr>
                <w:sz w:val="20"/>
                <w:szCs w:val="20"/>
                <w:lang w:val="en-US"/>
              </w:rPr>
              <w:br/>
              <w:t>Chemotherapy: 134 (55.4%)</w:t>
            </w:r>
            <w:r w:rsidR="00685696" w:rsidRPr="0066602A">
              <w:rPr>
                <w:sz w:val="20"/>
                <w:szCs w:val="20"/>
                <w:lang w:val="en-US"/>
              </w:rPr>
              <w:br/>
              <w:t>Hormone therapy: 178 (73.6%)</w:t>
            </w:r>
          </w:p>
        </w:tc>
        <w:tc>
          <w:tcPr>
            <w:tcW w:w="551" w:type="pct"/>
          </w:tcPr>
          <w:p w14:paraId="0A83AB12" w14:textId="251E660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Professionally administered cognitive behavioral therapy for insomnia (CBT-I)</w:t>
            </w:r>
            <w:r w:rsidRPr="0066602A">
              <w:rPr>
                <w:sz w:val="20"/>
                <w:szCs w:val="20"/>
                <w:lang w:val="en-US"/>
              </w:rPr>
              <w:br/>
              <w:t xml:space="preserve">Video-based </w:t>
            </w:r>
            <w:r w:rsidRPr="0066602A">
              <w:rPr>
                <w:sz w:val="20"/>
                <w:szCs w:val="20"/>
                <w:lang w:val="en-US"/>
              </w:rPr>
              <w:br/>
              <w:t xml:space="preserve">CBT-I </w:t>
            </w:r>
            <w:r w:rsidRPr="0066602A">
              <w:rPr>
                <w:sz w:val="20"/>
                <w:szCs w:val="20"/>
                <w:lang w:val="en-US"/>
              </w:rPr>
              <w:br/>
              <w:t>Both treatment arms were administered every 6 weeks</w:t>
            </w:r>
          </w:p>
        </w:tc>
        <w:tc>
          <w:tcPr>
            <w:tcW w:w="1562" w:type="pct"/>
          </w:tcPr>
          <w:p w14:paraId="344F5859" w14:textId="0BDD9C9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&gt; Treatment gains were well sustained at follow-up in both PCBT-I and VCBT-I. As at post-treatment, the remission rate of insomnia at follow-up was greater in professional CBT-I than in video CBT-I, which was greater than in control. (Although face-to-face therapy remains the optimal format to efficaciously administer CBT for insomnia in cancer patients, a minimal intervention, such as the video-based intervention tested in this study, produces significant and sustainable treatment effects.)</w:t>
            </w:r>
            <w:r w:rsidRPr="0066602A">
              <w:rPr>
                <w:sz w:val="20"/>
                <w:szCs w:val="20"/>
                <w:lang w:val="en-US"/>
              </w:rPr>
              <w:br/>
            </w:r>
            <w:r w:rsidRPr="0066602A">
              <w:rPr>
                <w:b/>
                <w:sz w:val="20"/>
                <w:szCs w:val="20"/>
                <w:u w:val="single"/>
                <w:lang w:val="en-US"/>
              </w:rPr>
              <w:t>Insomnia remission</w:t>
            </w:r>
            <w:r w:rsidRPr="0066602A">
              <w:rPr>
                <w:sz w:val="20"/>
                <w:szCs w:val="20"/>
                <w:lang w:val="en-US"/>
              </w:rPr>
              <w:br/>
              <w:t xml:space="preserve">&gt; At post-treatment, the ISI remission rate was significantly greater in PCBT-I (70%), as compared to both VCBT-I (45%) and CTL (27%), F(2,539) = 12.78, P&lt;0.001. At the 3- and 6-mo follow-ups, remission rates were still significantly greater in PCBT-I (64% and 73%, respectively) when compared to VCBT-I (56% and 52%) and CTL (37% and 39%), but these differences were no longer significant at the 12-mo evaluation (PCBT-I = 67%, VCBT-I = 59%, CTL = 48%; P=0.10). For the IIS-defined remission, again, only a significant group main effect was observed, </w:t>
            </w:r>
            <w:proofErr w:type="gramStart"/>
            <w:r w:rsidRPr="0066602A">
              <w:rPr>
                <w:sz w:val="20"/>
                <w:szCs w:val="20"/>
                <w:lang w:val="en-US"/>
              </w:rPr>
              <w:t>F(</w:t>
            </w:r>
            <w:proofErr w:type="gramEnd"/>
            <w:r w:rsidRPr="0066602A">
              <w:rPr>
                <w:sz w:val="20"/>
                <w:szCs w:val="20"/>
                <w:lang w:val="en-US"/>
              </w:rPr>
              <w:t>2,198) = 6.59, P&lt;0.001.</w:t>
            </w:r>
          </w:p>
          <w:p w14:paraId="78469AAA" w14:textId="5CAEC35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&gt; At post-treatment, and at the 3- and 6-mo follow-ups, PCBT-I exhibited a significantly higher rate (77%, 79%, and 82%, respectively) compared to CTL (49%, 50%, and 56%, respectively), whereas remission rates in VCBT-I (68%, 61%, 69%) were not different from the other two conditions. No significant differences were found at the 12-mo follow-up (PCBT-I = 75%, VCBT-I = 70%, CTL = 64%, P=0.34).</w:t>
            </w:r>
          </w:p>
        </w:tc>
      </w:tr>
      <w:tr w:rsidR="00685696" w:rsidRPr="0066602A" w14:paraId="2E13D9D5"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28C2D7EF" w14:textId="77777777" w:rsidR="00685696" w:rsidRPr="0066602A" w:rsidRDefault="00685696" w:rsidP="00685696">
            <w:pPr>
              <w:pStyle w:val="Table-Normal"/>
              <w:rPr>
                <w:bCs/>
                <w:sz w:val="20"/>
                <w:szCs w:val="20"/>
                <w:lang w:val="en-US"/>
              </w:rPr>
            </w:pPr>
            <w:r w:rsidRPr="0066602A">
              <w:rPr>
                <w:sz w:val="20"/>
                <w:szCs w:val="20"/>
                <w:lang w:val="en-US"/>
              </w:rPr>
              <w:lastRenderedPageBreak/>
              <w:t>Savard, 2005</w:t>
            </w:r>
          </w:p>
          <w:p w14:paraId="536761B8" w14:textId="401CB7C5" w:rsidR="00685696" w:rsidRPr="0066602A" w:rsidRDefault="00685696" w:rsidP="00685696">
            <w:pPr>
              <w:pStyle w:val="Table-Normal"/>
              <w:rPr>
                <w:sz w:val="20"/>
                <w:szCs w:val="20"/>
                <w:lang w:val="en-US"/>
              </w:rPr>
            </w:pPr>
            <w:r w:rsidRPr="0066602A">
              <w:rPr>
                <w:sz w:val="20"/>
                <w:szCs w:val="20"/>
                <w:lang w:val="en-US"/>
              </w:rPr>
              <w:t>Canada</w:t>
            </w:r>
          </w:p>
          <w:p w14:paraId="1DC50E7F" w14:textId="7B06EAB7" w:rsidR="00685696" w:rsidRPr="0066602A" w:rsidRDefault="00685696" w:rsidP="00685696">
            <w:pPr>
              <w:pStyle w:val="Table-Normal"/>
              <w:rPr>
                <w:sz w:val="20"/>
                <w:szCs w:val="20"/>
                <w:lang w:val="en-US"/>
              </w:rPr>
            </w:pPr>
            <w:r w:rsidRPr="0066602A">
              <w:rPr>
                <w:sz w:val="20"/>
                <w:szCs w:val="20"/>
                <w:lang w:val="en-US"/>
              </w:rPr>
              <w:t>RCT with 2 arms: CBT versus control, 14 months</w:t>
            </w:r>
          </w:p>
        </w:tc>
        <w:tc>
          <w:tcPr>
            <w:tcW w:w="468" w:type="pct"/>
          </w:tcPr>
          <w:p w14:paraId="23C7F519" w14:textId="6C82B7F6"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57</w:t>
            </w:r>
          </w:p>
        </w:tc>
        <w:tc>
          <w:tcPr>
            <w:tcW w:w="436" w:type="pct"/>
          </w:tcPr>
          <w:p w14:paraId="118FCF63" w14:textId="6C99F64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54.1</w:t>
            </w:r>
          </w:p>
        </w:tc>
        <w:tc>
          <w:tcPr>
            <w:tcW w:w="726" w:type="pct"/>
          </w:tcPr>
          <w:p w14:paraId="2BC9E1E0" w14:textId="0A5FA028"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Breast cancer: 100%</w:t>
            </w:r>
          </w:p>
        </w:tc>
        <w:tc>
          <w:tcPr>
            <w:tcW w:w="760" w:type="pct"/>
          </w:tcPr>
          <w:p w14:paraId="25DDCC6B"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 xml:space="preserve">NR (linked to Savard </w:t>
            </w:r>
            <w:proofErr w:type="gramStart"/>
            <w:r w:rsidRPr="0066602A">
              <w:rPr>
                <w:sz w:val="20"/>
                <w:szCs w:val="20"/>
                <w:lang w:val="en-US"/>
              </w:rPr>
              <w:t>2005 part</w:t>
            </w:r>
            <w:proofErr w:type="gramEnd"/>
            <w:r w:rsidRPr="0066602A">
              <w:rPr>
                <w:sz w:val="20"/>
                <w:szCs w:val="20"/>
                <w:lang w:val="en-US"/>
              </w:rPr>
              <w:t xml:space="preserve"> A)</w:t>
            </w:r>
          </w:p>
        </w:tc>
        <w:tc>
          <w:tcPr>
            <w:tcW w:w="551" w:type="pct"/>
          </w:tcPr>
          <w:p w14:paraId="48F7F7D1"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CBT for 8 weeks</w:t>
            </w:r>
          </w:p>
        </w:tc>
        <w:tc>
          <w:tcPr>
            <w:tcW w:w="1562" w:type="pct"/>
          </w:tcPr>
          <w:p w14:paraId="6BEAE9AF"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&gt; This study provides some support to the hypothesis of a causal relationship between clinical insomnia and immune functioning.</w:t>
            </w:r>
            <w:r w:rsidRPr="0066602A">
              <w:rPr>
                <w:sz w:val="20"/>
                <w:szCs w:val="20"/>
                <w:lang w:val="en-US"/>
              </w:rPr>
              <w:br/>
              <w:t xml:space="preserve">&gt; Patients treated with CBT had higher secretion of IFN- and lower increase of lymphocytes at post-treatment compared with control patients. Pooled data from both treated groups indicated significantly increased levels of IFN-gamma and IL-1-beta from pre- to post-treatment. </w:t>
            </w:r>
            <w:r w:rsidRPr="0066602A">
              <w:rPr>
                <w:sz w:val="20"/>
                <w:szCs w:val="20"/>
                <w:lang w:val="en-US"/>
              </w:rPr>
              <w:br/>
              <w:t>&gt; In addition, significant changes in WBCs, lymphocytes, and IFN- were found at follow-up compared with post-treatment.</w:t>
            </w:r>
          </w:p>
        </w:tc>
      </w:tr>
      <w:tr w:rsidR="00685696" w:rsidRPr="0066602A" w14:paraId="3C2A2C5C"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61AD17DF" w14:textId="77777777" w:rsidR="00685696" w:rsidRPr="0066602A" w:rsidRDefault="00685696" w:rsidP="00685696">
            <w:pPr>
              <w:pStyle w:val="Table-Normal"/>
              <w:rPr>
                <w:bCs/>
                <w:sz w:val="20"/>
                <w:szCs w:val="20"/>
                <w:lang w:val="en-US"/>
              </w:rPr>
            </w:pPr>
            <w:r w:rsidRPr="0066602A">
              <w:rPr>
                <w:sz w:val="20"/>
                <w:szCs w:val="20"/>
                <w:lang w:val="en-US"/>
              </w:rPr>
              <w:t>Savard, 2005</w:t>
            </w:r>
          </w:p>
          <w:p w14:paraId="60F08132" w14:textId="059935AE" w:rsidR="00685696" w:rsidRPr="0066602A" w:rsidRDefault="00685696" w:rsidP="00685696">
            <w:pPr>
              <w:pStyle w:val="Table-Normal"/>
              <w:rPr>
                <w:sz w:val="20"/>
                <w:szCs w:val="20"/>
                <w:lang w:val="en-US"/>
              </w:rPr>
            </w:pPr>
            <w:r w:rsidRPr="0066602A">
              <w:rPr>
                <w:sz w:val="20"/>
                <w:szCs w:val="20"/>
                <w:lang w:val="en-US"/>
              </w:rPr>
              <w:t>Canada</w:t>
            </w:r>
          </w:p>
          <w:p w14:paraId="493AC9FF" w14:textId="37A8C73F" w:rsidR="00685696" w:rsidRPr="0066602A" w:rsidRDefault="00685696" w:rsidP="00685696">
            <w:pPr>
              <w:pStyle w:val="Table-Normal"/>
              <w:rPr>
                <w:sz w:val="20"/>
                <w:szCs w:val="20"/>
                <w:lang w:val="en-US"/>
              </w:rPr>
            </w:pPr>
            <w:r w:rsidRPr="0066602A">
              <w:rPr>
                <w:sz w:val="20"/>
                <w:szCs w:val="20"/>
                <w:lang w:val="en-US"/>
              </w:rPr>
              <w:t xml:space="preserve">RCT with 2 arms: CBT versus control, 14 months </w:t>
            </w:r>
          </w:p>
        </w:tc>
        <w:tc>
          <w:tcPr>
            <w:tcW w:w="468" w:type="pct"/>
          </w:tcPr>
          <w:p w14:paraId="6793FC54" w14:textId="6DD8587E"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57</w:t>
            </w:r>
          </w:p>
        </w:tc>
        <w:tc>
          <w:tcPr>
            <w:tcW w:w="436" w:type="pct"/>
          </w:tcPr>
          <w:p w14:paraId="73A97045" w14:textId="3436AC91"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rFonts w:cstheme="minorHAnsi"/>
                <w:color w:val="4E5053"/>
                <w:sz w:val="20"/>
                <w:szCs w:val="20"/>
                <w:lang w:val="en-US"/>
              </w:rPr>
              <w:t>Female - 100%</w:t>
            </w:r>
            <w:r w:rsidRPr="0066602A">
              <w:rPr>
                <w:rFonts w:cstheme="minorHAnsi"/>
                <w:color w:val="4E5053"/>
                <w:sz w:val="20"/>
                <w:szCs w:val="20"/>
                <w:lang w:val="en-US"/>
              </w:rPr>
              <w:br/>
              <w:t>Mean – 54.81</w:t>
            </w:r>
          </w:p>
        </w:tc>
        <w:tc>
          <w:tcPr>
            <w:tcW w:w="726" w:type="pct"/>
          </w:tcPr>
          <w:p w14:paraId="6F640A02" w14:textId="5513CCE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Breast cancer: 57 (100%)</w:t>
            </w:r>
          </w:p>
        </w:tc>
        <w:tc>
          <w:tcPr>
            <w:tcW w:w="760" w:type="pct"/>
          </w:tcPr>
          <w:p w14:paraId="2F353278" w14:textId="6F4E39C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Adjuvant Treatments</w:t>
            </w:r>
            <w:r w:rsidRPr="0066602A">
              <w:rPr>
                <w:sz w:val="20"/>
                <w:szCs w:val="20"/>
                <w:lang w:val="en-US"/>
              </w:rPr>
              <w:br/>
            </w:r>
            <w:r w:rsidR="00480763" w:rsidRPr="0066602A">
              <w:rPr>
                <w:sz w:val="20"/>
                <w:szCs w:val="20"/>
                <w:lang w:val="en-US"/>
              </w:rPr>
              <w:t xml:space="preserve">Radiation </w:t>
            </w:r>
            <w:r w:rsidRPr="0066602A">
              <w:rPr>
                <w:sz w:val="20"/>
                <w:szCs w:val="20"/>
                <w:lang w:val="en-US"/>
              </w:rPr>
              <w:t>therapy: 23 (85.2%)</w:t>
            </w:r>
            <w:r w:rsidRPr="0066602A">
              <w:rPr>
                <w:sz w:val="20"/>
                <w:szCs w:val="20"/>
                <w:lang w:val="en-US"/>
              </w:rPr>
              <w:br/>
              <w:t>Chemotherapy: 10 (37.0%)</w:t>
            </w:r>
            <w:r w:rsidRPr="0066602A">
              <w:rPr>
                <w:sz w:val="20"/>
                <w:szCs w:val="20"/>
                <w:lang w:val="en-US"/>
              </w:rPr>
              <w:br/>
              <w:t>Hormone therapy: 10 (37.0%)</w:t>
            </w:r>
          </w:p>
        </w:tc>
        <w:tc>
          <w:tcPr>
            <w:tcW w:w="551" w:type="pct"/>
          </w:tcPr>
          <w:p w14:paraId="26DDE7E8"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CBT for 8 weeks</w:t>
            </w:r>
          </w:p>
        </w:tc>
        <w:tc>
          <w:tcPr>
            <w:tcW w:w="1562" w:type="pct"/>
          </w:tcPr>
          <w:p w14:paraId="2A167F9B"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&gt; Participants who received insomnia treatment had significantly better subjective sleep indices (daily sleep diary, Insomnia Severity Index), a lower frequency of medicated nights with hypnotics, lower levels of depression and anxiety, and greater global quality of life at post-treatment compared with participants of the control group after their waiting period. Results were more equivocal on polysomnographic indices. Therapeutic effects were well maintained up to 12 months after the intervention and generally were clinically significant.</w:t>
            </w:r>
            <w:r w:rsidRPr="0066602A">
              <w:rPr>
                <w:sz w:val="20"/>
                <w:szCs w:val="20"/>
                <w:lang w:val="en-US"/>
              </w:rPr>
              <w:br/>
              <w:t>&gt; This study supports the efficacy of CBT for insomnia secondary to breast cancer.</w:t>
            </w:r>
          </w:p>
        </w:tc>
      </w:tr>
      <w:tr w:rsidR="00685696" w:rsidRPr="0066602A" w14:paraId="133F37AA" w14:textId="77777777" w:rsidTr="00685696">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64EAFE71" w14:textId="77777777" w:rsidR="00685696" w:rsidRPr="0066602A" w:rsidRDefault="00685696" w:rsidP="00685696">
            <w:pPr>
              <w:pStyle w:val="Table-Normal"/>
              <w:rPr>
                <w:bCs/>
                <w:sz w:val="20"/>
                <w:szCs w:val="20"/>
                <w:lang w:val="en-US"/>
              </w:rPr>
            </w:pPr>
            <w:r w:rsidRPr="0066602A">
              <w:rPr>
                <w:sz w:val="20"/>
                <w:szCs w:val="20"/>
                <w:lang w:val="en-US"/>
              </w:rPr>
              <w:t>Zhou, 2020</w:t>
            </w:r>
          </w:p>
          <w:p w14:paraId="63E9E9CB" w14:textId="1FBB063C" w:rsidR="00685696" w:rsidRPr="0066602A" w:rsidRDefault="00685696" w:rsidP="00685696">
            <w:pPr>
              <w:pStyle w:val="Table-Normal"/>
              <w:rPr>
                <w:sz w:val="20"/>
                <w:szCs w:val="20"/>
                <w:lang w:val="en-US"/>
              </w:rPr>
            </w:pPr>
            <w:r w:rsidRPr="0066602A">
              <w:rPr>
                <w:sz w:val="20"/>
                <w:szCs w:val="20"/>
                <w:lang w:val="en-US"/>
              </w:rPr>
              <w:t>NR</w:t>
            </w:r>
          </w:p>
          <w:p w14:paraId="5F7AE224" w14:textId="5C19C6BB" w:rsidR="00685696" w:rsidRPr="0066602A" w:rsidRDefault="00685696" w:rsidP="00685696">
            <w:pPr>
              <w:pStyle w:val="Table-Normal"/>
              <w:rPr>
                <w:sz w:val="20"/>
                <w:szCs w:val="20"/>
                <w:lang w:val="en-US"/>
              </w:rPr>
            </w:pPr>
            <w:r w:rsidRPr="0066602A">
              <w:rPr>
                <w:sz w:val="20"/>
                <w:szCs w:val="20"/>
                <w:lang w:val="en-US"/>
              </w:rPr>
              <w:t xml:space="preserve">NR, </w:t>
            </w:r>
            <w:proofErr w:type="gramStart"/>
            <w:r w:rsidRPr="0066602A">
              <w:rPr>
                <w:sz w:val="20"/>
                <w:szCs w:val="20"/>
                <w:lang w:val="en-US"/>
              </w:rPr>
              <w:t>2 month</w:t>
            </w:r>
            <w:proofErr w:type="gramEnd"/>
            <w:r w:rsidRPr="0066602A">
              <w:rPr>
                <w:sz w:val="20"/>
                <w:szCs w:val="20"/>
                <w:lang w:val="en-US"/>
              </w:rPr>
              <w:t xml:space="preserve"> follow-up</w:t>
            </w:r>
          </w:p>
        </w:tc>
        <w:tc>
          <w:tcPr>
            <w:tcW w:w="468" w:type="pct"/>
          </w:tcPr>
          <w:p w14:paraId="5728A7B2" w14:textId="1FC7CAFE"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22</w:t>
            </w:r>
          </w:p>
        </w:tc>
        <w:tc>
          <w:tcPr>
            <w:tcW w:w="436" w:type="pct"/>
          </w:tcPr>
          <w:p w14:paraId="7A9D3411"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Female: 46%</w:t>
            </w:r>
          </w:p>
          <w:p w14:paraId="7BE37A44"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Male: 54%</w:t>
            </w:r>
          </w:p>
          <w:p w14:paraId="5D801E7D" w14:textId="60D679EA"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Mean – 20.4</w:t>
            </w:r>
          </w:p>
        </w:tc>
        <w:tc>
          <w:tcPr>
            <w:tcW w:w="726" w:type="pct"/>
          </w:tcPr>
          <w:p w14:paraId="08427997" w14:textId="4644EE8B"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Blood cancer: (54.5%)</w:t>
            </w:r>
            <w:r w:rsidRPr="0066602A">
              <w:rPr>
                <w:sz w:val="20"/>
                <w:szCs w:val="20"/>
                <w:lang w:val="en-US"/>
              </w:rPr>
              <w:br/>
              <w:t>Solid Tumor: (45.5%)</w:t>
            </w:r>
          </w:p>
        </w:tc>
        <w:tc>
          <w:tcPr>
            <w:tcW w:w="760" w:type="pct"/>
          </w:tcPr>
          <w:p w14:paraId="0BD334B8" w14:textId="6073745F"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t>No current therapy</w:t>
            </w:r>
            <w:r w:rsidRPr="0066602A">
              <w:rPr>
                <w:sz w:val="20"/>
                <w:szCs w:val="20"/>
                <w:lang w:val="en-US"/>
              </w:rPr>
              <w:br/>
            </w:r>
            <w:r w:rsidRPr="0066602A">
              <w:rPr>
                <w:sz w:val="20"/>
                <w:szCs w:val="20"/>
                <w:lang w:val="en-US"/>
              </w:rPr>
              <w:br/>
              <w:t>Previous therapy;</w:t>
            </w:r>
            <w:r w:rsidRPr="0066602A">
              <w:rPr>
                <w:sz w:val="20"/>
                <w:szCs w:val="20"/>
                <w:lang w:val="en-US"/>
              </w:rPr>
              <w:br/>
              <w:t>Chemotherapy: 22 (100%)</w:t>
            </w:r>
            <w:r w:rsidRPr="0066602A">
              <w:rPr>
                <w:sz w:val="20"/>
                <w:szCs w:val="20"/>
                <w:lang w:val="en-US"/>
              </w:rPr>
              <w:br/>
            </w:r>
            <w:r w:rsidR="00480763" w:rsidRPr="0066602A">
              <w:rPr>
                <w:sz w:val="20"/>
                <w:szCs w:val="20"/>
                <w:lang w:val="en-US"/>
              </w:rPr>
              <w:t xml:space="preserve">Radiation </w:t>
            </w:r>
            <w:r w:rsidRPr="0066602A">
              <w:rPr>
                <w:sz w:val="20"/>
                <w:szCs w:val="20"/>
                <w:lang w:val="en-US"/>
              </w:rPr>
              <w:t>therapy: 11 (50%)</w:t>
            </w:r>
            <w:r w:rsidRPr="0066602A">
              <w:rPr>
                <w:sz w:val="20"/>
                <w:szCs w:val="20"/>
                <w:lang w:val="en-US"/>
              </w:rPr>
              <w:br/>
            </w:r>
            <w:r w:rsidRPr="0066602A">
              <w:rPr>
                <w:sz w:val="20"/>
                <w:szCs w:val="20"/>
                <w:lang w:val="en-US"/>
              </w:rPr>
              <w:lastRenderedPageBreak/>
              <w:t>Surgery: 12 (54.5%)</w:t>
            </w:r>
            <w:r w:rsidRPr="0066602A">
              <w:rPr>
                <w:sz w:val="20"/>
                <w:szCs w:val="20"/>
                <w:lang w:val="en-US"/>
              </w:rPr>
              <w:br/>
              <w:t>Transplant: 3 (13.6%)</w:t>
            </w:r>
          </w:p>
        </w:tc>
        <w:tc>
          <w:tcPr>
            <w:tcW w:w="551" w:type="pct"/>
          </w:tcPr>
          <w:p w14:paraId="409A28AC"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lastRenderedPageBreak/>
              <w:t>CBT</w:t>
            </w:r>
            <w:r w:rsidRPr="0066602A">
              <w:rPr>
                <w:sz w:val="20"/>
                <w:szCs w:val="20"/>
                <w:lang w:val="en-US"/>
              </w:rPr>
              <w:br/>
              <w:t xml:space="preserve">Three (13.6%) completed zero sessions while six participants (27.3%) completed all six </w:t>
            </w:r>
            <w:r w:rsidRPr="0066602A">
              <w:rPr>
                <w:sz w:val="20"/>
                <w:szCs w:val="20"/>
                <w:lang w:val="en-US"/>
              </w:rPr>
              <w:lastRenderedPageBreak/>
              <w:t xml:space="preserve">sessions. </w:t>
            </w:r>
            <w:r w:rsidRPr="0066602A">
              <w:rPr>
                <w:sz w:val="20"/>
                <w:szCs w:val="20"/>
                <w:lang w:val="en-US"/>
              </w:rPr>
              <w:br/>
              <w:t xml:space="preserve">Participants completed and average of 3.2 </w:t>
            </w:r>
            <w:proofErr w:type="spellStart"/>
            <w:r w:rsidRPr="0066602A">
              <w:rPr>
                <w:sz w:val="20"/>
                <w:szCs w:val="20"/>
                <w:lang w:val="en-US"/>
              </w:rPr>
              <w:t>SHUTi</w:t>
            </w:r>
            <w:proofErr w:type="spellEnd"/>
            <w:r w:rsidRPr="0066602A">
              <w:rPr>
                <w:sz w:val="20"/>
                <w:szCs w:val="20"/>
                <w:lang w:val="en-US"/>
              </w:rPr>
              <w:t>-AYA sessions (SD 2.3; range 0-6)</w:t>
            </w:r>
          </w:p>
        </w:tc>
        <w:tc>
          <w:tcPr>
            <w:tcW w:w="1562" w:type="pct"/>
          </w:tcPr>
          <w:p w14:paraId="7517204E" w14:textId="77777777" w:rsidR="00685696" w:rsidRPr="0066602A" w:rsidRDefault="00685696" w:rsidP="00685696">
            <w:pPr>
              <w:pStyle w:val="Table-Normal"/>
              <w:cnfStyle w:val="000000010000" w:firstRow="0" w:lastRow="0" w:firstColumn="0" w:lastColumn="0" w:oddVBand="0" w:evenVBand="0" w:oddHBand="0" w:evenHBand="1" w:firstRowFirstColumn="0" w:firstRowLastColumn="0" w:lastRowFirstColumn="0" w:lastRowLastColumn="0"/>
              <w:rPr>
                <w:sz w:val="20"/>
                <w:szCs w:val="20"/>
                <w:lang w:val="en-US"/>
              </w:rPr>
            </w:pPr>
            <w:r w:rsidRPr="0066602A">
              <w:rPr>
                <w:sz w:val="20"/>
                <w:szCs w:val="20"/>
                <w:lang w:val="en-US"/>
              </w:rPr>
              <w:lastRenderedPageBreak/>
              <w:t xml:space="preserve">&gt; At the follow-up 1 assessment, participants reported statistically significant improvements in the primary study outcome (ISI) and secondary study outcomes (PDSS, </w:t>
            </w:r>
            <w:proofErr w:type="spellStart"/>
            <w:r w:rsidRPr="0066602A">
              <w:rPr>
                <w:sz w:val="20"/>
                <w:szCs w:val="20"/>
                <w:lang w:val="en-US"/>
              </w:rPr>
              <w:t>PedsQL</w:t>
            </w:r>
            <w:proofErr w:type="spellEnd"/>
            <w:r w:rsidRPr="0066602A">
              <w:rPr>
                <w:sz w:val="20"/>
                <w:szCs w:val="20"/>
                <w:lang w:val="en-US"/>
              </w:rPr>
              <w:t xml:space="preserve">, and </w:t>
            </w:r>
            <w:proofErr w:type="spellStart"/>
            <w:r w:rsidRPr="0066602A">
              <w:rPr>
                <w:sz w:val="20"/>
                <w:szCs w:val="20"/>
                <w:lang w:val="en-US"/>
              </w:rPr>
              <w:t>PedsQL</w:t>
            </w:r>
            <w:proofErr w:type="spellEnd"/>
            <w:r w:rsidRPr="0066602A">
              <w:rPr>
                <w:sz w:val="20"/>
                <w:szCs w:val="20"/>
                <w:lang w:val="en-US"/>
              </w:rPr>
              <w:t xml:space="preserve"> multidimensional fatigue scale scores). </w:t>
            </w:r>
            <w:r w:rsidRPr="0066602A">
              <w:rPr>
                <w:sz w:val="20"/>
                <w:szCs w:val="20"/>
                <w:lang w:val="en-US"/>
              </w:rPr>
              <w:br/>
              <w:t xml:space="preserve">&gt; These gains were maintained at follow-up 2 assessment across all study measures. </w:t>
            </w:r>
            <w:r w:rsidRPr="0066602A">
              <w:rPr>
                <w:sz w:val="20"/>
                <w:szCs w:val="20"/>
                <w:lang w:val="en-US"/>
              </w:rPr>
              <w:br/>
            </w:r>
            <w:r w:rsidRPr="0066602A">
              <w:rPr>
                <w:sz w:val="20"/>
                <w:szCs w:val="20"/>
                <w:lang w:val="en-US"/>
              </w:rPr>
              <w:lastRenderedPageBreak/>
              <w:t xml:space="preserve">&gt; Time since diagnosis and time since treatment were not significantly associated with ISI scores at baseline or either follow-up. </w:t>
            </w:r>
            <w:r w:rsidRPr="0066602A">
              <w:rPr>
                <w:sz w:val="20"/>
                <w:szCs w:val="20"/>
                <w:lang w:val="en-US"/>
              </w:rPr>
              <w:br/>
              <w:t xml:space="preserve">&gt; The average ISI change from baseline to follow-up 1 for participants who completed at least two sessions was significantly greater than those who did not. Improvements to the participant’s sleep were also noted in the sleep diary outcomes collected by </w:t>
            </w:r>
            <w:proofErr w:type="spellStart"/>
            <w:r w:rsidRPr="0066602A">
              <w:rPr>
                <w:sz w:val="20"/>
                <w:szCs w:val="20"/>
                <w:lang w:val="en-US"/>
              </w:rPr>
              <w:t>SHUTi</w:t>
            </w:r>
            <w:proofErr w:type="spellEnd"/>
            <w:r w:rsidRPr="0066602A">
              <w:rPr>
                <w:sz w:val="20"/>
                <w:szCs w:val="20"/>
                <w:lang w:val="en-US"/>
              </w:rPr>
              <w:t>-AYA.</w:t>
            </w:r>
          </w:p>
        </w:tc>
      </w:tr>
      <w:tr w:rsidR="00685696" w:rsidRPr="0066602A" w14:paraId="5DCD1028" w14:textId="77777777" w:rsidTr="0068569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97" w:type="pct"/>
          </w:tcPr>
          <w:p w14:paraId="45C1BB4A" w14:textId="77777777" w:rsidR="00685696" w:rsidRPr="0066602A" w:rsidRDefault="00685696" w:rsidP="00685696">
            <w:pPr>
              <w:pStyle w:val="Table-Normal"/>
              <w:rPr>
                <w:bCs/>
                <w:sz w:val="20"/>
                <w:szCs w:val="20"/>
                <w:lang w:val="en-US"/>
              </w:rPr>
            </w:pPr>
            <w:r w:rsidRPr="0066602A">
              <w:rPr>
                <w:sz w:val="20"/>
                <w:szCs w:val="20"/>
                <w:lang w:val="en-US"/>
              </w:rPr>
              <w:lastRenderedPageBreak/>
              <w:t>Zhou, 2017</w:t>
            </w:r>
          </w:p>
          <w:p w14:paraId="2544D635" w14:textId="5CDA8233" w:rsidR="00685696" w:rsidRPr="0066602A" w:rsidRDefault="00685696" w:rsidP="00685696">
            <w:pPr>
              <w:pStyle w:val="Table-Normal"/>
              <w:rPr>
                <w:sz w:val="20"/>
                <w:szCs w:val="20"/>
                <w:lang w:val="en-US"/>
              </w:rPr>
            </w:pPr>
            <w:r w:rsidRPr="0066602A">
              <w:rPr>
                <w:sz w:val="20"/>
                <w:szCs w:val="20"/>
                <w:lang w:val="en-US"/>
              </w:rPr>
              <w:t>NR</w:t>
            </w:r>
          </w:p>
          <w:p w14:paraId="2E620505" w14:textId="7484C9F6" w:rsidR="00685696" w:rsidRPr="0066602A" w:rsidRDefault="00685696" w:rsidP="00685696">
            <w:pPr>
              <w:pStyle w:val="Table-Normal"/>
              <w:rPr>
                <w:sz w:val="20"/>
                <w:szCs w:val="20"/>
                <w:lang w:val="en-US"/>
              </w:rPr>
            </w:pPr>
            <w:r w:rsidRPr="0066602A">
              <w:rPr>
                <w:sz w:val="20"/>
                <w:szCs w:val="20"/>
                <w:lang w:val="en-US"/>
              </w:rPr>
              <w:t>NR, 2 months</w:t>
            </w:r>
          </w:p>
        </w:tc>
        <w:tc>
          <w:tcPr>
            <w:tcW w:w="468" w:type="pct"/>
          </w:tcPr>
          <w:p w14:paraId="651F6ACC" w14:textId="53158ED2"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10 AYACS (2 failed to complete the intervention)</w:t>
            </w:r>
          </w:p>
        </w:tc>
        <w:tc>
          <w:tcPr>
            <w:tcW w:w="436" w:type="pct"/>
          </w:tcPr>
          <w:p w14:paraId="62AE0D55" w14:textId="6CF3EB5A"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Female: 60%</w:t>
            </w:r>
          </w:p>
          <w:p w14:paraId="4A42532A" w14:textId="5FEAD62F"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Male: 40%</w:t>
            </w:r>
          </w:p>
          <w:p w14:paraId="0AFA4EEE" w14:textId="7E7B9D23"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Mean – 28.1</w:t>
            </w:r>
          </w:p>
        </w:tc>
        <w:tc>
          <w:tcPr>
            <w:tcW w:w="726" w:type="pct"/>
          </w:tcPr>
          <w:p w14:paraId="016756E1" w14:textId="171E9301"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Hematologic malignances (leukemia/lymphoma): 6 (60%)</w:t>
            </w:r>
            <w:r w:rsidRPr="0066602A">
              <w:rPr>
                <w:sz w:val="20"/>
                <w:szCs w:val="20"/>
                <w:lang w:val="en-US"/>
              </w:rPr>
              <w:br/>
              <w:t xml:space="preserve">Solid tumors (including neuroblastoma, </w:t>
            </w:r>
            <w:proofErr w:type="gramStart"/>
            <w:r w:rsidRPr="0066602A">
              <w:rPr>
                <w:sz w:val="20"/>
                <w:szCs w:val="20"/>
                <w:lang w:val="en-US"/>
              </w:rPr>
              <w:t>sarcoma</w:t>
            </w:r>
            <w:proofErr w:type="gramEnd"/>
            <w:r w:rsidRPr="0066602A">
              <w:rPr>
                <w:sz w:val="20"/>
                <w:szCs w:val="20"/>
                <w:lang w:val="en-US"/>
              </w:rPr>
              <w:t xml:space="preserve"> and brain tumor): 4 (40%)</w:t>
            </w:r>
          </w:p>
        </w:tc>
        <w:tc>
          <w:tcPr>
            <w:tcW w:w="760" w:type="pct"/>
          </w:tcPr>
          <w:p w14:paraId="6C801FA5" w14:textId="7F95DCCD"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Current therapy: CBT</w:t>
            </w:r>
            <w:r w:rsidRPr="0066602A">
              <w:rPr>
                <w:sz w:val="20"/>
                <w:szCs w:val="20"/>
                <w:lang w:val="en-US"/>
              </w:rPr>
              <w:br/>
            </w:r>
            <w:r w:rsidRPr="0066602A">
              <w:rPr>
                <w:sz w:val="20"/>
                <w:szCs w:val="20"/>
                <w:lang w:val="en-US"/>
              </w:rPr>
              <w:br/>
              <w:t xml:space="preserve">Previous therapy: </w:t>
            </w:r>
            <w:r w:rsidRPr="0066602A">
              <w:rPr>
                <w:sz w:val="20"/>
                <w:szCs w:val="20"/>
                <w:lang w:val="en-US"/>
              </w:rPr>
              <w:br/>
              <w:t>Chemotherapy: 10 (100%)</w:t>
            </w:r>
            <w:r w:rsidRPr="0066602A">
              <w:rPr>
                <w:sz w:val="20"/>
                <w:szCs w:val="20"/>
                <w:lang w:val="en-US"/>
              </w:rPr>
              <w:br/>
            </w:r>
            <w:r w:rsidR="00480763" w:rsidRPr="0066602A">
              <w:rPr>
                <w:sz w:val="20"/>
                <w:szCs w:val="20"/>
                <w:lang w:val="en-US"/>
              </w:rPr>
              <w:t xml:space="preserve">Radiation </w:t>
            </w:r>
            <w:r w:rsidRPr="0066602A">
              <w:rPr>
                <w:sz w:val="20"/>
                <w:szCs w:val="20"/>
                <w:lang w:val="en-US"/>
              </w:rPr>
              <w:t>therapy: 3 (30%)</w:t>
            </w:r>
            <w:r w:rsidRPr="0066602A">
              <w:rPr>
                <w:sz w:val="20"/>
                <w:szCs w:val="20"/>
                <w:lang w:val="en-US"/>
              </w:rPr>
              <w:br/>
              <w:t>Stem cell transplant: 2 (20%)</w:t>
            </w:r>
          </w:p>
        </w:tc>
        <w:tc>
          <w:tcPr>
            <w:tcW w:w="551" w:type="pct"/>
          </w:tcPr>
          <w:p w14:paraId="0A4AE6F8" w14:textId="77777777"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t>CBT</w:t>
            </w:r>
            <w:r w:rsidRPr="0066602A">
              <w:rPr>
                <w:sz w:val="20"/>
                <w:szCs w:val="20"/>
                <w:lang w:val="en-US"/>
              </w:rPr>
              <w:br/>
              <w:t xml:space="preserve">Participants were offered the opportunity to receive treatment via video conference directly targets critical factors that impede treatment accessibility: Treatment length and access to train providers. </w:t>
            </w:r>
            <w:r w:rsidRPr="0066602A">
              <w:rPr>
                <w:sz w:val="20"/>
                <w:szCs w:val="20"/>
                <w:lang w:val="en-US"/>
              </w:rPr>
              <w:br/>
              <w:t xml:space="preserve">The potential for an abbreviated CBT-Insomnia program that can be delivered via </w:t>
            </w:r>
            <w:r w:rsidRPr="0066602A">
              <w:rPr>
                <w:sz w:val="20"/>
                <w:szCs w:val="20"/>
                <w:lang w:val="en-US"/>
              </w:rPr>
              <w:lastRenderedPageBreak/>
              <w:t>videoconference has direct implications for improving treatment access.</w:t>
            </w:r>
          </w:p>
        </w:tc>
        <w:tc>
          <w:tcPr>
            <w:tcW w:w="1562" w:type="pct"/>
          </w:tcPr>
          <w:p w14:paraId="768B6C77" w14:textId="62F211FC" w:rsidR="00685696" w:rsidRPr="0066602A" w:rsidRDefault="00685696" w:rsidP="00685696">
            <w:pPr>
              <w:pStyle w:val="Table-Normal"/>
              <w:cnfStyle w:val="000000100000" w:firstRow="0" w:lastRow="0" w:firstColumn="0" w:lastColumn="0" w:oddVBand="0" w:evenVBand="0" w:oddHBand="1" w:evenHBand="0" w:firstRowFirstColumn="0" w:firstRowLastColumn="0" w:lastRowFirstColumn="0" w:lastRowLastColumn="0"/>
              <w:rPr>
                <w:sz w:val="20"/>
                <w:szCs w:val="20"/>
                <w:lang w:val="en-US"/>
              </w:rPr>
            </w:pPr>
            <w:r w:rsidRPr="0066602A">
              <w:rPr>
                <w:sz w:val="20"/>
                <w:szCs w:val="20"/>
                <w:lang w:val="en-US"/>
              </w:rPr>
              <w:lastRenderedPageBreak/>
              <w:t xml:space="preserve">&gt; At baseline, survivors reported average ISI (mean=13.4; SD=4.1) and PSQI (mean=10.5; SD=3.6) scores above cutoff scores conventionally used to indicate significant insomnia symptoms and sleep disruption. </w:t>
            </w:r>
            <w:r w:rsidRPr="0066602A">
              <w:rPr>
                <w:sz w:val="20"/>
                <w:szCs w:val="20"/>
                <w:lang w:val="en-US"/>
              </w:rPr>
              <w:br/>
              <w:t xml:space="preserve">&gt; Sleep challenges were with sleep onset (mean=54.3 min; SD=50.1 min), night awakening (mean=32.7 min; SD=30.8 min), and early morning awakening (mean=22.6 min; SD=16.7 min). </w:t>
            </w:r>
            <w:r w:rsidRPr="0066602A">
              <w:rPr>
                <w:sz w:val="20"/>
                <w:szCs w:val="20"/>
                <w:lang w:val="en-US"/>
              </w:rPr>
              <w:br/>
              <w:t xml:space="preserve">&gt; The sample slept an average of 6.6 </w:t>
            </w:r>
            <w:proofErr w:type="spellStart"/>
            <w:r w:rsidRPr="0066602A">
              <w:rPr>
                <w:sz w:val="20"/>
                <w:szCs w:val="20"/>
                <w:lang w:val="en-US"/>
              </w:rPr>
              <w:t>hrs</w:t>
            </w:r>
            <w:proofErr w:type="spellEnd"/>
            <w:r w:rsidRPr="0066602A">
              <w:rPr>
                <w:sz w:val="20"/>
                <w:szCs w:val="20"/>
                <w:lang w:val="en-US"/>
              </w:rPr>
              <w:t xml:space="preserve"> (SD=0.8 </w:t>
            </w:r>
            <w:proofErr w:type="spellStart"/>
            <w:r w:rsidRPr="0066602A">
              <w:rPr>
                <w:sz w:val="20"/>
                <w:szCs w:val="20"/>
                <w:lang w:val="en-US"/>
              </w:rPr>
              <w:t>hrs</w:t>
            </w:r>
            <w:proofErr w:type="spellEnd"/>
            <w:proofErr w:type="gramStart"/>
            <w:r w:rsidRPr="0066602A">
              <w:rPr>
                <w:sz w:val="20"/>
                <w:szCs w:val="20"/>
                <w:lang w:val="en-US"/>
              </w:rPr>
              <w:t>), and</w:t>
            </w:r>
            <w:proofErr w:type="gramEnd"/>
            <w:r w:rsidRPr="0066602A">
              <w:rPr>
                <w:sz w:val="20"/>
                <w:szCs w:val="20"/>
                <w:lang w:val="en-US"/>
              </w:rPr>
              <w:t xml:space="preserve"> reported a mean sleep efficiency of 78.8% (SD=9.7%). </w:t>
            </w:r>
            <w:r w:rsidRPr="0066602A">
              <w:rPr>
                <w:sz w:val="20"/>
                <w:szCs w:val="20"/>
                <w:lang w:val="en-US"/>
              </w:rPr>
              <w:br/>
              <w:t xml:space="preserve">&gt; The sample reported SF-12 physical health (mean=51.3; SD=9.2) and mental health (mean=43.2; SD=8.3) scores within the average range </w:t>
            </w:r>
            <w:r w:rsidRPr="0066602A">
              <w:rPr>
                <w:sz w:val="20"/>
                <w:szCs w:val="20"/>
                <w:lang w:val="en-US"/>
              </w:rPr>
              <w:br/>
              <w:t>&gt; Following intervention, statistically significant improvements were reported across all sleep measures.</w:t>
            </w:r>
            <w:r w:rsidRPr="0066602A">
              <w:rPr>
                <w:sz w:val="20"/>
                <w:szCs w:val="20"/>
                <w:lang w:val="en-US"/>
              </w:rPr>
              <w:br/>
              <w:t xml:space="preserve">&gt; At Time 3, both the ISI and PSQI mean scores for the group were below cutoff scores used to indicate significant insomnia symptoms and sleep disruption. </w:t>
            </w:r>
            <w:r w:rsidRPr="0066602A">
              <w:rPr>
                <w:sz w:val="20"/>
                <w:szCs w:val="20"/>
                <w:lang w:val="en-US"/>
              </w:rPr>
              <w:br/>
              <w:t xml:space="preserve">&gt; The sleep log data also demonstrated </w:t>
            </w:r>
            <w:r w:rsidRPr="0066602A">
              <w:rPr>
                <w:sz w:val="20"/>
                <w:szCs w:val="20"/>
                <w:lang w:val="en-US"/>
              </w:rPr>
              <w:lastRenderedPageBreak/>
              <w:t xml:space="preserve">improvements in sleep onset latency, night awakening, and early morning awakening. Improvements to the participants’ physical and mental quality of life scores on the SF-12 were also noted. </w:t>
            </w:r>
          </w:p>
        </w:tc>
      </w:tr>
    </w:tbl>
    <w:p w14:paraId="75434247" w14:textId="121C8A2A" w:rsidR="002535B1" w:rsidRPr="0066602A" w:rsidRDefault="00F85F51" w:rsidP="001A68E4">
      <w:pPr>
        <w:pStyle w:val="EndnoteText"/>
        <w:rPr>
          <w:rFonts w:ascii="Calibri" w:hAnsi="Calibri" w:cs="Calibri"/>
          <w:color w:val="4E5053"/>
          <w:sz w:val="16"/>
          <w:szCs w:val="18"/>
          <w:lang w:val="en-US"/>
        </w:rPr>
      </w:pPr>
      <w:r w:rsidRPr="0066602A">
        <w:rPr>
          <w:sz w:val="16"/>
          <w:szCs w:val="18"/>
          <w:lang w:val="en-US"/>
        </w:rPr>
        <w:lastRenderedPageBreak/>
        <w:t>AYA: adolescent and young adult; BPT: behavioral placebo treatment; CBT: cognitive behavioral therapy; CBS: cognitive behavioral strategies; CBT-I: cognitive</w:t>
      </w:r>
      <w:r w:rsidR="004F3624" w:rsidRPr="0066602A">
        <w:rPr>
          <w:sz w:val="16"/>
          <w:szCs w:val="18"/>
          <w:lang w:val="en-US"/>
        </w:rPr>
        <w:t xml:space="preserve"> </w:t>
      </w:r>
      <w:r w:rsidRPr="0066602A">
        <w:rPr>
          <w:sz w:val="16"/>
          <w:szCs w:val="18"/>
          <w:lang w:val="en-US"/>
        </w:rPr>
        <w:t xml:space="preserve">behavioral therapy for insomnia; CTL: no-treatment group; DBAS-16: dysfunctional beliefs and attitudes about sleep-16; EDS: excessive daytime sleepiness; FE: fisher’s exact test; IQR: interquartile range; IFN: interferon; IL: interleukin; ISI: insomnia severity index; </w:t>
      </w:r>
      <w:proofErr w:type="spellStart"/>
      <w:r w:rsidRPr="0066602A">
        <w:rPr>
          <w:rFonts w:ascii="Calibri" w:hAnsi="Calibri" w:cs="Calibri"/>
          <w:color w:val="4E5053"/>
          <w:sz w:val="16"/>
          <w:szCs w:val="18"/>
          <w:lang w:val="en-US"/>
        </w:rPr>
        <w:t>M</w:t>
      </w:r>
      <w:r w:rsidRPr="0066602A">
        <w:rPr>
          <w:rFonts w:ascii="Calibri" w:hAnsi="Calibri" w:cs="Calibri"/>
          <w:color w:val="4E5053"/>
          <w:sz w:val="16"/>
          <w:szCs w:val="18"/>
          <w:vertAlign w:val="subscript"/>
          <w:lang w:val="en-US"/>
        </w:rPr>
        <w:t>Adj</w:t>
      </w:r>
      <w:proofErr w:type="spellEnd"/>
      <w:r w:rsidRPr="0066602A">
        <w:rPr>
          <w:rFonts w:ascii="Calibri" w:hAnsi="Calibri" w:cs="Calibri"/>
          <w:color w:val="4E5053"/>
          <w:sz w:val="16"/>
          <w:szCs w:val="18"/>
          <w:lang w:val="en-US"/>
        </w:rPr>
        <w:t>: median adjusted</w:t>
      </w:r>
      <w:r w:rsidRPr="0066602A">
        <w:rPr>
          <w:sz w:val="16"/>
          <w:szCs w:val="18"/>
          <w:lang w:val="en-US"/>
        </w:rPr>
        <w:t xml:space="preserve">; N: number; NA: not applicable: NR: not recorded; PCBT-I: professionally administered intervention; PDSS: pediatric daytime sleepiness scale; </w:t>
      </w:r>
      <w:proofErr w:type="spellStart"/>
      <w:r w:rsidRPr="0066602A">
        <w:rPr>
          <w:sz w:val="16"/>
          <w:szCs w:val="18"/>
          <w:lang w:val="en-US"/>
        </w:rPr>
        <w:t>PedsQL</w:t>
      </w:r>
      <w:proofErr w:type="spellEnd"/>
      <w:r w:rsidRPr="0066602A">
        <w:rPr>
          <w:sz w:val="16"/>
          <w:szCs w:val="18"/>
          <w:lang w:val="en-US"/>
        </w:rPr>
        <w:t>: pediatric quality</w:t>
      </w:r>
      <w:r w:rsidR="004F3624" w:rsidRPr="0066602A">
        <w:rPr>
          <w:sz w:val="16"/>
          <w:szCs w:val="18"/>
          <w:lang w:val="en-US"/>
        </w:rPr>
        <w:t xml:space="preserve"> </w:t>
      </w:r>
      <w:r w:rsidRPr="0066602A">
        <w:rPr>
          <w:sz w:val="16"/>
          <w:szCs w:val="18"/>
          <w:lang w:val="en-US"/>
        </w:rPr>
        <w:t>of</w:t>
      </w:r>
      <w:r w:rsidR="004F3624" w:rsidRPr="0066602A">
        <w:rPr>
          <w:sz w:val="16"/>
          <w:szCs w:val="18"/>
          <w:lang w:val="en-US"/>
        </w:rPr>
        <w:t xml:space="preserve"> </w:t>
      </w:r>
      <w:r w:rsidRPr="0066602A">
        <w:rPr>
          <w:sz w:val="16"/>
          <w:szCs w:val="18"/>
          <w:lang w:val="en-US"/>
        </w:rPr>
        <w:t xml:space="preserve">life inventory; PSQI: Pittsburgh Sleep Quality Index; QoL: quality of life; R: regression; RCT: randomized control trial; RMSEA: root mean square error of approximation; SD: standard deviation; SE: sleep efficiency; SF-12: short form-12; SL: sleep latency; TST: total sleep time; UK: United Kingdom; USA: </w:t>
      </w:r>
      <w:r w:rsidR="009463EB" w:rsidRPr="0066602A">
        <w:rPr>
          <w:sz w:val="16"/>
          <w:szCs w:val="18"/>
          <w:lang w:val="en-US"/>
        </w:rPr>
        <w:t>U</w:t>
      </w:r>
      <w:r w:rsidRPr="0066602A">
        <w:rPr>
          <w:sz w:val="16"/>
          <w:szCs w:val="18"/>
          <w:lang w:val="en-US"/>
        </w:rPr>
        <w:t xml:space="preserve">nited </w:t>
      </w:r>
      <w:r w:rsidR="009463EB" w:rsidRPr="0066602A">
        <w:rPr>
          <w:sz w:val="16"/>
          <w:szCs w:val="18"/>
          <w:lang w:val="en-US"/>
        </w:rPr>
        <w:t>S</w:t>
      </w:r>
      <w:r w:rsidRPr="0066602A">
        <w:rPr>
          <w:sz w:val="16"/>
          <w:szCs w:val="18"/>
          <w:lang w:val="en-US"/>
        </w:rPr>
        <w:t xml:space="preserve">tates of </w:t>
      </w:r>
      <w:r w:rsidR="009463EB" w:rsidRPr="0066602A">
        <w:rPr>
          <w:sz w:val="16"/>
          <w:szCs w:val="18"/>
          <w:lang w:val="en-US"/>
        </w:rPr>
        <w:t>America</w:t>
      </w:r>
      <w:r w:rsidRPr="0066602A">
        <w:rPr>
          <w:sz w:val="16"/>
          <w:szCs w:val="18"/>
          <w:lang w:val="en-US"/>
        </w:rPr>
        <w:t>; VCBI-I: cognitive behavioral therapy for insomnia; WASO: wake after sleep onset; WBC: white blood cells</w:t>
      </w:r>
      <w:r w:rsidR="00D54591" w:rsidRPr="0066602A">
        <w:rPr>
          <w:rFonts w:ascii="Calibri" w:hAnsi="Calibri" w:cs="Calibri"/>
          <w:color w:val="4E5053"/>
          <w:sz w:val="16"/>
          <w:szCs w:val="18"/>
          <w:lang w:val="en-US"/>
        </w:rPr>
        <w:t>.</w:t>
      </w:r>
    </w:p>
    <w:p w14:paraId="6BED1EDC" w14:textId="02C5C135" w:rsidR="00A049DF" w:rsidRPr="0066602A" w:rsidRDefault="00A049DF" w:rsidP="00D54591">
      <w:pPr>
        <w:spacing w:before="0"/>
        <w:rPr>
          <w:rFonts w:ascii="Calibri" w:hAnsi="Calibri" w:cs="Calibri"/>
          <w:color w:val="4E5053"/>
          <w:sz w:val="16"/>
          <w:szCs w:val="16"/>
          <w:lang w:val="en-US"/>
        </w:rPr>
      </w:pPr>
    </w:p>
    <w:p w14:paraId="7791B54A" w14:textId="2BE4CA14" w:rsidR="00A049DF" w:rsidRPr="0066602A" w:rsidRDefault="00A049DF" w:rsidP="00D54591">
      <w:pPr>
        <w:spacing w:before="0"/>
        <w:rPr>
          <w:rFonts w:ascii="Calibri" w:hAnsi="Calibri" w:cs="Calibri"/>
          <w:color w:val="4E5053"/>
          <w:sz w:val="16"/>
          <w:szCs w:val="16"/>
          <w:lang w:val="en-US"/>
        </w:rPr>
      </w:pPr>
    </w:p>
    <w:p w14:paraId="032924EE" w14:textId="5C7A72C2" w:rsidR="00A049DF" w:rsidRPr="0066602A" w:rsidRDefault="00A049DF" w:rsidP="00D54591">
      <w:pPr>
        <w:spacing w:before="0"/>
        <w:rPr>
          <w:rFonts w:ascii="Calibri" w:hAnsi="Calibri" w:cs="Calibri"/>
          <w:color w:val="4E5053"/>
          <w:sz w:val="16"/>
          <w:szCs w:val="16"/>
          <w:lang w:val="en-US"/>
        </w:rPr>
      </w:pPr>
    </w:p>
    <w:p w14:paraId="60917470" w14:textId="472CD61D" w:rsidR="00A049DF" w:rsidRPr="0066602A" w:rsidRDefault="00A049DF" w:rsidP="00D54591">
      <w:pPr>
        <w:spacing w:before="0"/>
        <w:rPr>
          <w:rFonts w:ascii="Calibri" w:hAnsi="Calibri" w:cs="Calibri"/>
          <w:color w:val="4E5053"/>
          <w:sz w:val="16"/>
          <w:szCs w:val="16"/>
          <w:lang w:val="en-US"/>
        </w:rPr>
      </w:pPr>
    </w:p>
    <w:p w14:paraId="1E1EDFD1" w14:textId="217D2121" w:rsidR="00A049DF" w:rsidRPr="0066602A" w:rsidRDefault="00A049DF" w:rsidP="00D54591">
      <w:pPr>
        <w:spacing w:before="0"/>
        <w:rPr>
          <w:rFonts w:ascii="Calibri" w:hAnsi="Calibri" w:cs="Calibri"/>
          <w:color w:val="4E5053"/>
          <w:sz w:val="16"/>
          <w:szCs w:val="16"/>
          <w:lang w:val="en-US"/>
        </w:rPr>
      </w:pPr>
    </w:p>
    <w:p w14:paraId="586CBE69" w14:textId="5ED1B0AA" w:rsidR="00A049DF" w:rsidRPr="0066602A" w:rsidRDefault="00A049DF" w:rsidP="00D54591">
      <w:pPr>
        <w:spacing w:before="0"/>
        <w:rPr>
          <w:rFonts w:ascii="Calibri" w:hAnsi="Calibri" w:cs="Calibri"/>
          <w:color w:val="4E5053"/>
          <w:sz w:val="16"/>
          <w:szCs w:val="16"/>
          <w:lang w:val="en-US"/>
        </w:rPr>
      </w:pPr>
    </w:p>
    <w:p w14:paraId="2D734087" w14:textId="397F3B8F" w:rsidR="00A049DF" w:rsidRPr="0066602A" w:rsidRDefault="00A049DF" w:rsidP="00D54591">
      <w:pPr>
        <w:spacing w:before="0"/>
        <w:rPr>
          <w:rFonts w:ascii="Calibri" w:hAnsi="Calibri" w:cs="Calibri"/>
          <w:color w:val="4E5053"/>
          <w:sz w:val="16"/>
          <w:szCs w:val="16"/>
          <w:lang w:val="en-US"/>
        </w:rPr>
      </w:pPr>
    </w:p>
    <w:p w14:paraId="611C9F7C" w14:textId="221F3D47" w:rsidR="00A049DF" w:rsidRPr="0066602A" w:rsidRDefault="00A049DF" w:rsidP="00D54591">
      <w:pPr>
        <w:spacing w:before="0"/>
        <w:rPr>
          <w:rFonts w:ascii="Calibri" w:hAnsi="Calibri" w:cs="Calibri"/>
          <w:color w:val="4E5053"/>
          <w:sz w:val="16"/>
          <w:szCs w:val="16"/>
          <w:lang w:val="en-US"/>
        </w:rPr>
      </w:pPr>
    </w:p>
    <w:p w14:paraId="237E8F7B" w14:textId="49532E7C" w:rsidR="00A049DF" w:rsidRPr="0066602A" w:rsidRDefault="00A049DF" w:rsidP="00D54591">
      <w:pPr>
        <w:spacing w:before="0"/>
        <w:rPr>
          <w:rFonts w:ascii="Calibri" w:hAnsi="Calibri" w:cs="Calibri"/>
          <w:color w:val="4E5053"/>
          <w:sz w:val="16"/>
          <w:szCs w:val="16"/>
          <w:lang w:val="en-US"/>
        </w:rPr>
      </w:pPr>
    </w:p>
    <w:p w14:paraId="4720A2ED" w14:textId="77777777" w:rsidR="00A049DF" w:rsidRPr="0066602A" w:rsidRDefault="00A049DF" w:rsidP="00D54591">
      <w:pPr>
        <w:spacing w:before="0"/>
        <w:rPr>
          <w:rFonts w:ascii="Calibri" w:hAnsi="Calibri" w:cs="Calibri"/>
          <w:color w:val="4E5053"/>
          <w:sz w:val="16"/>
          <w:szCs w:val="16"/>
          <w:lang w:val="en-US"/>
        </w:rPr>
        <w:sectPr w:rsidR="00A049DF" w:rsidRPr="0066602A" w:rsidSect="008550C0">
          <w:pgSz w:w="16839" w:h="11907" w:orient="landscape" w:code="9"/>
          <w:pgMar w:top="1440" w:right="1385" w:bottom="1417" w:left="1134" w:header="568" w:footer="431" w:gutter="0"/>
          <w:cols w:space="720"/>
          <w:docGrid w:linePitch="360"/>
        </w:sectPr>
      </w:pPr>
    </w:p>
    <w:p w14:paraId="172B2BDB" w14:textId="548F9F74" w:rsidR="00A049DF" w:rsidRPr="0066602A" w:rsidRDefault="00A049DF" w:rsidP="00A049DF">
      <w:pPr>
        <w:pStyle w:val="Heading1"/>
        <w:rPr>
          <w:lang w:val="en-US"/>
        </w:rPr>
      </w:pPr>
      <w:r w:rsidRPr="0066602A">
        <w:rPr>
          <w:lang w:val="en-US"/>
        </w:rPr>
        <w:lastRenderedPageBreak/>
        <w:t>References</w:t>
      </w:r>
    </w:p>
    <w:p w14:paraId="4020FF0D" w14:textId="77777777" w:rsidR="00A049DF" w:rsidRPr="0066602A" w:rsidRDefault="00A049DF" w:rsidP="00A049DF">
      <w:pPr>
        <w:pStyle w:val="EndNoteBibliography"/>
        <w:ind w:left="720" w:hanging="720"/>
        <w:rPr>
          <w:rFonts w:asciiTheme="minorHAnsi" w:hAnsiTheme="minorHAnsi" w:cstheme="minorHAnsi"/>
        </w:rPr>
      </w:pPr>
      <w:r w:rsidRPr="0066602A">
        <w:rPr>
          <w:rFonts w:asciiTheme="minorHAnsi" w:hAnsiTheme="minorHAnsi" w:cstheme="minorHAnsi"/>
        </w:rPr>
        <w:fldChar w:fldCharType="begin"/>
      </w:r>
      <w:r w:rsidRPr="0066602A">
        <w:rPr>
          <w:rFonts w:asciiTheme="minorHAnsi" w:hAnsiTheme="minorHAnsi" w:cstheme="minorHAnsi"/>
        </w:rPr>
        <w:instrText xml:space="preserve"> ADDIN EN.REFLIST </w:instrText>
      </w:r>
      <w:r w:rsidRPr="0066602A">
        <w:rPr>
          <w:rFonts w:asciiTheme="minorHAnsi" w:hAnsiTheme="minorHAnsi" w:cstheme="minorHAnsi"/>
        </w:rPr>
        <w:fldChar w:fldCharType="separate"/>
      </w:r>
      <w:r w:rsidRPr="0066602A">
        <w:rPr>
          <w:rFonts w:asciiTheme="minorHAnsi" w:hAnsiTheme="minorHAnsi" w:cstheme="minorHAnsi"/>
        </w:rPr>
        <w:t>1.</w:t>
      </w:r>
      <w:r w:rsidRPr="0066602A">
        <w:rPr>
          <w:rFonts w:asciiTheme="minorHAnsi" w:hAnsiTheme="minorHAnsi" w:cstheme="minorHAnsi"/>
        </w:rPr>
        <w:tab/>
        <w:t xml:space="preserve">Edition F. Diagnostic and statistical manual of mental disorders. </w:t>
      </w:r>
      <w:r w:rsidRPr="0066602A">
        <w:rPr>
          <w:rFonts w:asciiTheme="minorHAnsi" w:hAnsiTheme="minorHAnsi" w:cstheme="minorHAnsi"/>
          <w:i/>
        </w:rPr>
        <w:t xml:space="preserve">Am Psychiatric Assoc. </w:t>
      </w:r>
      <w:r w:rsidRPr="0066602A">
        <w:rPr>
          <w:rFonts w:asciiTheme="minorHAnsi" w:hAnsiTheme="minorHAnsi" w:cstheme="minorHAnsi"/>
        </w:rPr>
        <w:t>2013;21(21):591-643.</w:t>
      </w:r>
    </w:p>
    <w:p w14:paraId="24B8BE15" w14:textId="69AA2A2D" w:rsidR="00A049DF" w:rsidRPr="008550C0" w:rsidRDefault="00A049DF" w:rsidP="00D54591">
      <w:pPr>
        <w:spacing w:before="0"/>
        <w:rPr>
          <w:lang w:val="en-US"/>
        </w:rPr>
      </w:pPr>
      <w:r w:rsidRPr="0066602A">
        <w:rPr>
          <w:rFonts w:cstheme="minorHAnsi"/>
          <w:lang w:val="en-US"/>
        </w:rPr>
        <w:fldChar w:fldCharType="end"/>
      </w:r>
    </w:p>
    <w:sectPr w:rsidR="00A049DF" w:rsidRPr="008550C0" w:rsidSect="00A049DF">
      <w:pgSz w:w="11907" w:h="16839" w:code="9"/>
      <w:pgMar w:top="1385" w:right="1417" w:bottom="1134" w:left="1440" w:header="568"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9068" w14:textId="77777777" w:rsidR="00CA4540" w:rsidRDefault="00CA4540" w:rsidP="00676003">
      <w:pPr>
        <w:spacing w:before="0" w:after="0" w:line="240" w:lineRule="auto"/>
      </w:pPr>
      <w:r>
        <w:separator/>
      </w:r>
    </w:p>
  </w:endnote>
  <w:endnote w:type="continuationSeparator" w:id="0">
    <w:p w14:paraId="58B52355" w14:textId="77777777" w:rsidR="00CA4540" w:rsidRDefault="00CA4540" w:rsidP="006760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Italic">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B62E9" w14:textId="77777777" w:rsidR="00886CFA" w:rsidRDefault="00886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640116"/>
      <w:docPartObj>
        <w:docPartGallery w:val="Page Numbers (Bottom of Page)"/>
        <w:docPartUnique/>
      </w:docPartObj>
    </w:sdtPr>
    <w:sdtEndPr>
      <w:rPr>
        <w:noProof/>
      </w:rPr>
    </w:sdtEndPr>
    <w:sdtContent>
      <w:p w14:paraId="7D21B452" w14:textId="0F34AC38" w:rsidR="007619FB" w:rsidRPr="00B51292" w:rsidRDefault="007619FB" w:rsidP="00AF41E7">
        <w:pPr>
          <w:pStyle w:val="Footer"/>
          <w:tabs>
            <w:tab w:val="clear" w:pos="9360"/>
            <w:tab w:val="right" w:pos="9072"/>
          </w:tabs>
          <w:spacing w:before="0" w:after="0"/>
        </w:pPr>
      </w:p>
      <w:p w14:paraId="72B860A2" w14:textId="5D8E2D1B" w:rsidR="00B51292" w:rsidRPr="00B51292" w:rsidRDefault="007619FB" w:rsidP="00AF41E7">
        <w:pPr>
          <w:pStyle w:val="Footer"/>
          <w:tabs>
            <w:tab w:val="clear" w:pos="9360"/>
            <w:tab w:val="right" w:pos="9072"/>
          </w:tabs>
          <w:spacing w:before="0" w:after="0"/>
          <w:rPr>
            <w:noProof/>
            <w:lang w:eastAsia="en-GB"/>
          </w:rPr>
        </w:pP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Pr="00B51292">
          <w:rPr>
            <w:noProof/>
            <w:lang w:eastAsia="en-GB"/>
          </w:rPr>
          <w:ptab w:relativeTo="margin" w:alignment="left" w:leader="none"/>
        </w:r>
        <w:r w:rsidR="00825EDD" w:rsidRPr="00B51292">
          <w:rPr>
            <w:noProof/>
            <w:lang w:eastAsia="en-GB"/>
          </w:rPr>
          <w:t>MO9604A</w:t>
        </w:r>
        <w:r w:rsidR="006B376E" w:rsidRPr="00B51292">
          <w:rPr>
            <w:noProof/>
            <w:lang w:eastAsia="en-GB"/>
          </w:rPr>
          <w:t xml:space="preserve"> S</w:t>
        </w:r>
        <w:r w:rsidR="00825EDD" w:rsidRPr="00B51292">
          <w:rPr>
            <w:noProof/>
            <w:lang w:eastAsia="en-GB"/>
          </w:rPr>
          <w:t xml:space="preserve">LR manuscript </w:t>
        </w:r>
        <w:r w:rsidR="00B51292" w:rsidRPr="00B51292">
          <w:rPr>
            <w:noProof/>
            <w:lang w:eastAsia="en-GB"/>
          </w:rPr>
          <w:t xml:space="preserve">supplementary </w:t>
        </w:r>
      </w:p>
      <w:p w14:paraId="21703C93" w14:textId="306331F4" w:rsidR="007619FB" w:rsidRDefault="00B51292" w:rsidP="00A06FEB">
        <w:pPr>
          <w:pStyle w:val="Footer"/>
          <w:tabs>
            <w:tab w:val="clear" w:pos="9360"/>
            <w:tab w:val="right" w:pos="9072"/>
          </w:tabs>
          <w:spacing w:before="0" w:after="0"/>
          <w:jc w:val="right"/>
        </w:pPr>
        <w:r w:rsidRPr="00553FFD">
          <w:rPr>
            <w:noProof/>
            <w:lang w:eastAsia="en-GB"/>
          </w:rPr>
          <w:t>materials</w:t>
        </w:r>
        <w:r w:rsidR="00825EDD" w:rsidRPr="00553FFD">
          <w:rPr>
            <w:noProof/>
            <w:lang w:eastAsia="en-GB"/>
          </w:rPr>
          <w:t xml:space="preserve"> v</w:t>
        </w:r>
        <w:r w:rsidR="0063261A" w:rsidRPr="00553FFD">
          <w:rPr>
            <w:noProof/>
            <w:lang w:eastAsia="en-GB"/>
          </w:rPr>
          <w:t>3</w:t>
        </w:r>
        <w:r w:rsidR="00B50819" w:rsidRPr="00553FFD">
          <w:rPr>
            <w:noProof/>
            <w:lang w:eastAsia="en-GB"/>
          </w:rPr>
          <w:t>_0</w:t>
        </w:r>
        <w:r w:rsidRPr="00553FFD">
          <w:rPr>
            <w:noProof/>
            <w:lang w:eastAsia="en-GB"/>
          </w:rPr>
          <w:t xml:space="preserve"> CONFIDENTIAL</w:t>
        </w:r>
        <w:r w:rsidR="007619FB" w:rsidRPr="00553FFD">
          <w:rPr>
            <w:noProof/>
            <w:lang w:eastAsia="en-GB"/>
          </w:rPr>
          <w:ptab w:relativeTo="margin" w:alignment="center" w:leader="none"/>
        </w:r>
        <w:r w:rsidR="007619FB" w:rsidRPr="00553FFD">
          <w:t xml:space="preserve"> </w:t>
        </w:r>
        <w:r w:rsidR="007619FB" w:rsidRPr="00553FFD">
          <w:fldChar w:fldCharType="begin"/>
        </w:r>
        <w:r w:rsidR="007619FB" w:rsidRPr="00553FFD">
          <w:instrText xml:space="preserve"> PAGE   \* MERGEFORMAT </w:instrText>
        </w:r>
        <w:r w:rsidR="007619FB" w:rsidRPr="00553FFD">
          <w:fldChar w:fldCharType="separate"/>
        </w:r>
        <w:r w:rsidR="007619FB" w:rsidRPr="00553FFD">
          <w:rPr>
            <w:noProof/>
          </w:rPr>
          <w:t>4</w:t>
        </w:r>
        <w:r w:rsidR="007619FB" w:rsidRPr="00553FFD">
          <w:rPr>
            <w:noProof/>
          </w:rPr>
          <w:fldChar w:fldCharType="end"/>
        </w:r>
        <w:r w:rsidR="007619FB" w:rsidRPr="00553FFD">
          <w:rPr>
            <w:noProof/>
          </w:rPr>
          <w:t xml:space="preserve"> of </w:t>
        </w:r>
        <w:r w:rsidR="0066602A">
          <w:fldChar w:fldCharType="begin"/>
        </w:r>
        <w:r w:rsidR="0066602A">
          <w:instrText xml:space="preserve"> NUMPAGES </w:instrText>
        </w:r>
        <w:r w:rsidR="0066602A">
          <w:fldChar w:fldCharType="separate"/>
        </w:r>
        <w:r w:rsidR="007619FB" w:rsidRPr="00553FFD">
          <w:rPr>
            <w:noProof/>
          </w:rPr>
          <w:t>16</w:t>
        </w:r>
        <w:r w:rsidR="0066602A">
          <w:rPr>
            <w:noProof/>
          </w:rPr>
          <w:fldChar w:fldCharType="end"/>
        </w:r>
        <w:r w:rsidR="007619FB" w:rsidRPr="00553FFD">
          <w:rPr>
            <w:noProof/>
          </w:rPr>
          <w:ptab w:relativeTo="margin" w:alignment="right" w:leader="none"/>
        </w:r>
        <w:r w:rsidR="003C536C" w:rsidRPr="00553FFD">
          <w:rPr>
            <w:noProof/>
          </w:rPr>
          <w:t>5</w:t>
        </w:r>
        <w:r w:rsidR="003C536C" w:rsidRPr="00553FFD">
          <w:rPr>
            <w:noProof/>
            <w:vertAlign w:val="superscript"/>
          </w:rPr>
          <w:t>th</w:t>
        </w:r>
        <w:r w:rsidR="003C536C" w:rsidRPr="00553FFD">
          <w:rPr>
            <w:noProof/>
          </w:rPr>
          <w:t xml:space="preserve"> May</w:t>
        </w:r>
        <w:r w:rsidR="008857BF" w:rsidRPr="00553FFD">
          <w:rPr>
            <w:noProof/>
          </w:rPr>
          <w:t xml:space="preserve"> </w:t>
        </w:r>
        <w:r w:rsidR="006B376E" w:rsidRPr="00553FFD">
          <w:rPr>
            <w:noProof/>
          </w:rPr>
          <w:t>202</w:t>
        </w:r>
        <w:r w:rsidR="009F79B7" w:rsidRPr="00553FFD">
          <w:rPr>
            <w:noProof/>
          </w:rPr>
          <w:t>3</w:t>
        </w:r>
        <w:r w:rsidR="009F79B7" w:rsidRPr="00B51292">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45A7" w14:textId="77777777" w:rsidR="007619FB" w:rsidRDefault="007619FB" w:rsidP="00F0562C">
    <w:pPr>
      <w:pStyle w:val="Footer"/>
      <w:tabs>
        <w:tab w:val="clear" w:pos="9360"/>
        <w:tab w:val="right" w:pos="9072"/>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1A508" w14:textId="77777777" w:rsidR="00CA4540" w:rsidRDefault="00CA4540" w:rsidP="00676003">
      <w:pPr>
        <w:spacing w:before="0" w:after="0" w:line="240" w:lineRule="auto"/>
      </w:pPr>
      <w:r>
        <w:separator/>
      </w:r>
    </w:p>
  </w:footnote>
  <w:footnote w:type="continuationSeparator" w:id="0">
    <w:p w14:paraId="03E9C1CE" w14:textId="77777777" w:rsidR="00CA4540" w:rsidRDefault="00CA4540" w:rsidP="006760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0D67" w14:textId="77777777" w:rsidR="007619FB" w:rsidRDefault="0066602A">
    <w:pPr>
      <w:pStyle w:val="Header"/>
    </w:pPr>
    <w:r>
      <w:rPr>
        <w:noProof/>
        <w:lang w:eastAsia="en-GB"/>
      </w:rPr>
      <w:pict w14:anchorId="01426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60187" o:spid="_x0000_s1025" type="#_x0000_t75" alt="proposal image (Large)" style="position:absolute;left:0;text-align:left;margin-left:0;margin-top:0;width:429.35pt;height:607.8pt;z-index:-251656192;mso-wrap-edited:f;mso-position-horizontal:center;mso-position-horizontal-relative:margin;mso-position-vertical:center;mso-position-vertical-relative:margin" o:allowincell="f">
          <v:imagedata r:id="rId1" o:title="proposal image (Large)"/>
          <w10:wrap anchorx="margin" anchory="margin"/>
        </v:shape>
      </w:pict>
    </w:r>
  </w:p>
  <w:p w14:paraId="20DE0B40" w14:textId="77777777" w:rsidR="007619FB" w:rsidRDefault="007619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AF93" w14:textId="0C56B59D" w:rsidR="007619FB" w:rsidRDefault="00C84950" w:rsidP="005C2C48">
    <w:pPr>
      <w:pStyle w:val="Header"/>
      <w:tabs>
        <w:tab w:val="clear" w:pos="9360"/>
        <w:tab w:val="right" w:pos="9072"/>
      </w:tabs>
    </w:pPr>
    <w:r>
      <w:rPr>
        <w:noProof/>
      </w:rPr>
      <mc:AlternateContent>
        <mc:Choice Requires="wps">
          <w:drawing>
            <wp:anchor distT="0" distB="0" distL="114300" distR="114300" simplePos="0" relativeHeight="251656192" behindDoc="0" locked="0" layoutInCell="0" allowOverlap="1" wp14:anchorId="4360D3E2" wp14:editId="0290E967">
              <wp:simplePos x="0" y="0"/>
              <wp:positionH relativeFrom="page">
                <wp:align>left</wp:align>
              </wp:positionH>
              <wp:positionV relativeFrom="page">
                <wp:align>top</wp:align>
              </wp:positionV>
              <wp:extent cx="7772400" cy="463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35FC9506" w14:textId="052CEBF8" w:rsidR="00D13057" w:rsidRPr="003907D6" w:rsidRDefault="003907D6" w:rsidP="003907D6">
                          <w:pPr>
                            <w:spacing w:before="0" w:after="0"/>
                            <w:jc w:val="left"/>
                            <w:rPr>
                              <w:rFonts w:ascii="Calibri" w:hAnsi="Calibri" w:cs="Calibri"/>
                              <w:color w:val="00B294"/>
                              <w:sz w:val="24"/>
                            </w:rPr>
                          </w:pPr>
                          <w:r w:rsidRPr="003907D6">
                            <w:rPr>
                              <w:rFonts w:ascii="Calibri" w:hAnsi="Calibri" w:cs="Calibri"/>
                              <w:color w:val="00B294"/>
                              <w:sz w:val="24"/>
                            </w:rPr>
                            <w:t>Proprietary</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360D3E2" id="_x0000_t202" coordsize="21600,21600" o:spt="202" path="m,l,21600r21600,l21600,xe">
              <v:stroke joinstyle="miter"/>
              <v:path gradientshapeok="t" o:connecttype="rect"/>
            </v:shapetype>
            <v:shape id="Text Box 2" o:spid="_x0000_s1026" type="#_x0000_t202" style="position:absolute;left:0;text-align:left;margin-left:0;margin-top:0;width:612pt;height:36.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" o:allowincell="f" filled="f" stroked="f" strokeweight=".5pt">
              <v:textbox inset="20pt,0,,0">
                <w:txbxContent>
                  <w:p w14:paraId="35FC9506" w14:textId="052CEBF8" w:rsidR="00D13057" w:rsidRPr="003907D6" w:rsidRDefault="003907D6" w:rsidP="003907D6">
                    <w:pPr>
                      <w:spacing w:before="0" w:after="0"/>
                      <w:jc w:val="left"/>
                      <w:rPr>
                        <w:rFonts w:ascii="Calibri" w:hAnsi="Calibri" w:cs="Calibri"/>
                        <w:color w:val="00B294"/>
                        <w:sz w:val="24"/>
                      </w:rPr>
                    </w:pPr>
                    <w:r w:rsidRPr="003907D6">
                      <w:rPr>
                        <w:rFonts w:ascii="Calibri" w:hAnsi="Calibri" w:cs="Calibri"/>
                        <w:color w:val="00B294"/>
                        <w:sz w:val="24"/>
                      </w:rPr>
                      <w:t>Proprietary</w:t>
                    </w:r>
                  </w:p>
                </w:txbxContent>
              </v:textbox>
              <w10:wrap anchorx="page" anchory="page"/>
            </v:shape>
          </w:pict>
        </mc:Fallback>
      </mc:AlternateContent>
    </w:r>
    <w:r w:rsidR="007619FB">
      <w:rPr>
        <w:noProof/>
        <w:lang w:eastAsia="en-GB"/>
      </w:rPr>
      <w:drawing>
        <wp:anchor distT="0" distB="0" distL="114300" distR="114300" simplePos="0" relativeHeight="251658240" behindDoc="0" locked="0" layoutInCell="1" allowOverlap="1" wp14:anchorId="3712980B" wp14:editId="19F2D940">
          <wp:simplePos x="0" y="0"/>
          <wp:positionH relativeFrom="column">
            <wp:align>right</wp:align>
          </wp:positionH>
          <wp:positionV relativeFrom="paragraph">
            <wp:posOffset>-90170</wp:posOffset>
          </wp:positionV>
          <wp:extent cx="1353600" cy="392400"/>
          <wp:effectExtent l="0" t="0" r="0" b="825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E LOGO 3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600" cy="392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B906" w14:textId="0F86DBC0" w:rsidR="007619FB" w:rsidRPr="0023183D" w:rsidRDefault="00C84950" w:rsidP="00547245">
    <w:pPr>
      <w:pStyle w:val="Header"/>
      <w:tabs>
        <w:tab w:val="clear" w:pos="9360"/>
        <w:tab w:val="right" w:pos="9072"/>
      </w:tabs>
    </w:pPr>
    <w:r>
      <w:rPr>
        <w:noProof/>
      </w:rPr>
      <mc:AlternateContent>
        <mc:Choice Requires="wps">
          <w:drawing>
            <wp:anchor distT="0" distB="0" distL="114300" distR="114300" simplePos="0" relativeHeight="251657216" behindDoc="0" locked="0" layoutInCell="0" allowOverlap="1" wp14:anchorId="6D47FFD4" wp14:editId="52F15641">
              <wp:simplePos x="0" y="0"/>
              <wp:positionH relativeFrom="page">
                <wp:align>left</wp:align>
              </wp:positionH>
              <wp:positionV relativeFrom="page">
                <wp:align>top</wp:align>
              </wp:positionV>
              <wp:extent cx="7772400" cy="4635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4EAE6BD4" w14:textId="187114EA" w:rsidR="00D13057" w:rsidRPr="003907D6" w:rsidRDefault="003907D6" w:rsidP="003907D6">
                          <w:pPr>
                            <w:spacing w:before="0" w:after="0"/>
                            <w:jc w:val="left"/>
                            <w:rPr>
                              <w:rFonts w:ascii="Calibri" w:hAnsi="Calibri" w:cs="Calibri"/>
                              <w:color w:val="00B294"/>
                              <w:sz w:val="24"/>
                            </w:rPr>
                          </w:pPr>
                          <w:r w:rsidRPr="003907D6">
                            <w:rPr>
                              <w:rFonts w:ascii="Calibri" w:hAnsi="Calibri" w:cs="Calibri"/>
                              <w:color w:val="00B294"/>
                              <w:sz w:val="24"/>
                            </w:rPr>
                            <w:t>Proprietary</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47FFD4" id="_x0000_t202" coordsize="21600,21600" o:spt="202" path="m,l,21600r21600,l21600,xe">
              <v:stroke joinstyle="miter"/>
              <v:path gradientshapeok="t" o:connecttype="rect"/>
            </v:shapetype>
            <v:shape id="Text Box 1" o:spid="_x0000_s1027" type="#_x0000_t202" style="position:absolute;left:0;text-align:left;margin-left:0;margin-top:0;width:612pt;height:36.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" o:allowincell="f" filled="f" stroked="f" strokeweight=".5pt">
              <v:textbox inset="20pt,0,,0">
                <w:txbxContent>
                  <w:p w14:paraId="4EAE6BD4" w14:textId="187114EA" w:rsidR="00D13057" w:rsidRPr="003907D6" w:rsidRDefault="003907D6" w:rsidP="003907D6">
                    <w:pPr>
                      <w:spacing w:before="0" w:after="0"/>
                      <w:jc w:val="left"/>
                      <w:rPr>
                        <w:rFonts w:ascii="Calibri" w:hAnsi="Calibri" w:cs="Calibri"/>
                        <w:color w:val="00B294"/>
                        <w:sz w:val="24"/>
                      </w:rPr>
                    </w:pPr>
                    <w:r w:rsidRPr="003907D6">
                      <w:rPr>
                        <w:rFonts w:ascii="Calibri" w:hAnsi="Calibri" w:cs="Calibri"/>
                        <w:color w:val="00B294"/>
                        <w:sz w:val="24"/>
                      </w:rPr>
                      <w:t>Proprietary</w:t>
                    </w:r>
                  </w:p>
                </w:txbxContent>
              </v:textbox>
              <w10:wrap anchorx="page" anchory="page"/>
            </v:shape>
          </w:pict>
        </mc:Fallback>
      </mc:AlternateContent>
    </w:r>
    <w:r w:rsidR="007619FB">
      <w:rPr>
        <w:noProof/>
        <w:lang w:eastAsia="en-GB"/>
      </w:rPr>
      <w:drawing>
        <wp:anchor distT="0" distB="0" distL="114300" distR="114300" simplePos="0" relativeHeight="251659264" behindDoc="1" locked="0" layoutInCell="1" allowOverlap="1" wp14:anchorId="73D7B889" wp14:editId="148536F5">
          <wp:simplePos x="0" y="0"/>
          <wp:positionH relativeFrom="column">
            <wp:posOffset>1587500</wp:posOffset>
          </wp:positionH>
          <wp:positionV relativeFrom="paragraph">
            <wp:posOffset>558165</wp:posOffset>
          </wp:positionV>
          <wp:extent cx="4302000" cy="1015200"/>
          <wp:effectExtent l="0" t="0" r="3810" b="0"/>
          <wp:wrapTight wrapText="bothSides">
            <wp:wrapPolygon edited="0">
              <wp:start x="0" y="0"/>
              <wp:lineTo x="0" y="21086"/>
              <wp:lineTo x="21523" y="21086"/>
              <wp:lineTo x="21523" y="0"/>
              <wp:lineTo x="0" y="0"/>
            </wp:wrapPolygon>
          </wp:wrapTight>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Adelphi-PROVE-logos-2019-POS.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302000" cy="1015200"/>
                  </a:xfrm>
                  <a:prstGeom prst="rect">
                    <a:avLst/>
                  </a:prstGeom>
                </pic:spPr>
              </pic:pic>
            </a:graphicData>
          </a:graphic>
          <wp14:sizeRelH relativeFrom="page">
            <wp14:pctWidth>0</wp14:pctWidth>
          </wp14:sizeRelH>
          <wp14:sizeRelV relativeFrom="page">
            <wp14:pctHeight>0</wp14:pctHeight>
          </wp14:sizeRelV>
        </wp:anchor>
      </w:drawing>
    </w:r>
    <w:r w:rsidR="007619FB">
      <w:rPr>
        <w:noProof/>
        <w:lang w:eastAsia="en-GB"/>
      </w:rPr>
      <w:drawing>
        <wp:anchor distT="0" distB="0" distL="114300" distR="114300" simplePos="0" relativeHeight="251655168" behindDoc="1" locked="0" layoutInCell="1" allowOverlap="1" wp14:anchorId="6DD5B9E5" wp14:editId="559A0C26">
          <wp:simplePos x="0" y="0"/>
          <wp:positionH relativeFrom="column">
            <wp:posOffset>-939800</wp:posOffset>
          </wp:positionH>
          <wp:positionV relativeFrom="paragraph">
            <wp:posOffset>3260461</wp:posOffset>
          </wp:positionV>
          <wp:extent cx="7606040" cy="7099539"/>
          <wp:effectExtent l="0" t="0" r="0" b="6350"/>
          <wp:wrapNone/>
          <wp:docPr id="36" name="Picture 36" descr="I:\SHARED\Global\Templates\Logos\Proposal Cover Blue v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Global\Templates\Logos\Proposal Cover Blue v1_0.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1695"/>
                  <a:stretch/>
                </pic:blipFill>
                <pic:spPr bwMode="auto">
                  <a:xfrm>
                    <a:off x="0" y="0"/>
                    <a:ext cx="7606040" cy="70995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2023"/>
    <w:multiLevelType w:val="hybridMultilevel"/>
    <w:tmpl w:val="4FFE12E0"/>
    <w:lvl w:ilvl="0" w:tplc="62B2CF5C">
      <w:start w:val="1"/>
      <w:numFmt w:val="bullet"/>
      <w:lvlText w:val="&gt;"/>
      <w:lvlJc w:val="left"/>
      <w:pPr>
        <w:tabs>
          <w:tab w:val="num" w:pos="720"/>
        </w:tabs>
        <w:ind w:left="720" w:hanging="360"/>
      </w:pPr>
      <w:rPr>
        <w:rFonts w:ascii="Calibri" w:hAnsi="Calibri" w:hint="default"/>
      </w:rPr>
    </w:lvl>
    <w:lvl w:ilvl="1" w:tplc="BB8A4AC4">
      <w:numFmt w:val="bullet"/>
      <w:lvlText w:val="−"/>
      <w:lvlJc w:val="left"/>
      <w:pPr>
        <w:tabs>
          <w:tab w:val="num" w:pos="1440"/>
        </w:tabs>
        <w:ind w:left="1440" w:hanging="360"/>
      </w:pPr>
      <w:rPr>
        <w:rFonts w:ascii="Calibri" w:hAnsi="Calibri" w:hint="default"/>
      </w:rPr>
    </w:lvl>
    <w:lvl w:ilvl="2" w:tplc="8DC8D188" w:tentative="1">
      <w:start w:val="1"/>
      <w:numFmt w:val="bullet"/>
      <w:lvlText w:val="&gt;"/>
      <w:lvlJc w:val="left"/>
      <w:pPr>
        <w:tabs>
          <w:tab w:val="num" w:pos="2160"/>
        </w:tabs>
        <w:ind w:left="2160" w:hanging="360"/>
      </w:pPr>
      <w:rPr>
        <w:rFonts w:ascii="Calibri" w:hAnsi="Calibri" w:hint="default"/>
      </w:rPr>
    </w:lvl>
    <w:lvl w:ilvl="3" w:tplc="DE40C73A" w:tentative="1">
      <w:start w:val="1"/>
      <w:numFmt w:val="bullet"/>
      <w:lvlText w:val="&gt;"/>
      <w:lvlJc w:val="left"/>
      <w:pPr>
        <w:tabs>
          <w:tab w:val="num" w:pos="2880"/>
        </w:tabs>
        <w:ind w:left="2880" w:hanging="360"/>
      </w:pPr>
      <w:rPr>
        <w:rFonts w:ascii="Calibri" w:hAnsi="Calibri" w:hint="default"/>
      </w:rPr>
    </w:lvl>
    <w:lvl w:ilvl="4" w:tplc="AC5CCE46" w:tentative="1">
      <w:start w:val="1"/>
      <w:numFmt w:val="bullet"/>
      <w:lvlText w:val="&gt;"/>
      <w:lvlJc w:val="left"/>
      <w:pPr>
        <w:tabs>
          <w:tab w:val="num" w:pos="3600"/>
        </w:tabs>
        <w:ind w:left="3600" w:hanging="360"/>
      </w:pPr>
      <w:rPr>
        <w:rFonts w:ascii="Calibri" w:hAnsi="Calibri" w:hint="default"/>
      </w:rPr>
    </w:lvl>
    <w:lvl w:ilvl="5" w:tplc="E466C27E" w:tentative="1">
      <w:start w:val="1"/>
      <w:numFmt w:val="bullet"/>
      <w:lvlText w:val="&gt;"/>
      <w:lvlJc w:val="left"/>
      <w:pPr>
        <w:tabs>
          <w:tab w:val="num" w:pos="4320"/>
        </w:tabs>
        <w:ind w:left="4320" w:hanging="360"/>
      </w:pPr>
      <w:rPr>
        <w:rFonts w:ascii="Calibri" w:hAnsi="Calibri" w:hint="default"/>
      </w:rPr>
    </w:lvl>
    <w:lvl w:ilvl="6" w:tplc="CFC2E9C6" w:tentative="1">
      <w:start w:val="1"/>
      <w:numFmt w:val="bullet"/>
      <w:lvlText w:val="&gt;"/>
      <w:lvlJc w:val="left"/>
      <w:pPr>
        <w:tabs>
          <w:tab w:val="num" w:pos="5040"/>
        </w:tabs>
        <w:ind w:left="5040" w:hanging="360"/>
      </w:pPr>
      <w:rPr>
        <w:rFonts w:ascii="Calibri" w:hAnsi="Calibri" w:hint="default"/>
      </w:rPr>
    </w:lvl>
    <w:lvl w:ilvl="7" w:tplc="D5A84E9E" w:tentative="1">
      <w:start w:val="1"/>
      <w:numFmt w:val="bullet"/>
      <w:lvlText w:val="&gt;"/>
      <w:lvlJc w:val="left"/>
      <w:pPr>
        <w:tabs>
          <w:tab w:val="num" w:pos="5760"/>
        </w:tabs>
        <w:ind w:left="5760" w:hanging="360"/>
      </w:pPr>
      <w:rPr>
        <w:rFonts w:ascii="Calibri" w:hAnsi="Calibri" w:hint="default"/>
      </w:rPr>
    </w:lvl>
    <w:lvl w:ilvl="8" w:tplc="52E46838" w:tentative="1">
      <w:start w:val="1"/>
      <w:numFmt w:val="bullet"/>
      <w:lvlText w:val="&gt;"/>
      <w:lvlJc w:val="left"/>
      <w:pPr>
        <w:tabs>
          <w:tab w:val="num" w:pos="6480"/>
        </w:tabs>
        <w:ind w:left="6480" w:hanging="360"/>
      </w:pPr>
      <w:rPr>
        <w:rFonts w:ascii="Calibri" w:hAnsi="Calibri" w:hint="default"/>
      </w:rPr>
    </w:lvl>
  </w:abstractNum>
  <w:abstractNum w:abstractNumId="1" w15:restartNumberingAfterBreak="0">
    <w:nsid w:val="0244088F"/>
    <w:multiLevelType w:val="hybridMultilevel"/>
    <w:tmpl w:val="F44EF8A0"/>
    <w:lvl w:ilvl="0" w:tplc="AF2A7DDE">
      <w:start w:val="1"/>
      <w:numFmt w:val="bullet"/>
      <w:lvlText w:val="&gt;"/>
      <w:lvlJc w:val="left"/>
      <w:pPr>
        <w:tabs>
          <w:tab w:val="num" w:pos="720"/>
        </w:tabs>
        <w:ind w:left="720" w:hanging="360"/>
      </w:pPr>
      <w:rPr>
        <w:rFonts w:ascii="Calibri" w:hAnsi="Calibri" w:hint="default"/>
      </w:rPr>
    </w:lvl>
    <w:lvl w:ilvl="1" w:tplc="1F3C9A06" w:tentative="1">
      <w:start w:val="1"/>
      <w:numFmt w:val="bullet"/>
      <w:lvlText w:val="&gt;"/>
      <w:lvlJc w:val="left"/>
      <w:pPr>
        <w:tabs>
          <w:tab w:val="num" w:pos="1440"/>
        </w:tabs>
        <w:ind w:left="1440" w:hanging="360"/>
      </w:pPr>
      <w:rPr>
        <w:rFonts w:ascii="Calibri" w:hAnsi="Calibri" w:hint="default"/>
      </w:rPr>
    </w:lvl>
    <w:lvl w:ilvl="2" w:tplc="7F007FA0" w:tentative="1">
      <w:start w:val="1"/>
      <w:numFmt w:val="bullet"/>
      <w:lvlText w:val="&gt;"/>
      <w:lvlJc w:val="left"/>
      <w:pPr>
        <w:tabs>
          <w:tab w:val="num" w:pos="2160"/>
        </w:tabs>
        <w:ind w:left="2160" w:hanging="360"/>
      </w:pPr>
      <w:rPr>
        <w:rFonts w:ascii="Calibri" w:hAnsi="Calibri" w:hint="default"/>
      </w:rPr>
    </w:lvl>
    <w:lvl w:ilvl="3" w:tplc="B01C9C94" w:tentative="1">
      <w:start w:val="1"/>
      <w:numFmt w:val="bullet"/>
      <w:lvlText w:val="&gt;"/>
      <w:lvlJc w:val="left"/>
      <w:pPr>
        <w:tabs>
          <w:tab w:val="num" w:pos="2880"/>
        </w:tabs>
        <w:ind w:left="2880" w:hanging="360"/>
      </w:pPr>
      <w:rPr>
        <w:rFonts w:ascii="Calibri" w:hAnsi="Calibri" w:hint="default"/>
      </w:rPr>
    </w:lvl>
    <w:lvl w:ilvl="4" w:tplc="8A102FFC" w:tentative="1">
      <w:start w:val="1"/>
      <w:numFmt w:val="bullet"/>
      <w:lvlText w:val="&gt;"/>
      <w:lvlJc w:val="left"/>
      <w:pPr>
        <w:tabs>
          <w:tab w:val="num" w:pos="3600"/>
        </w:tabs>
        <w:ind w:left="3600" w:hanging="360"/>
      </w:pPr>
      <w:rPr>
        <w:rFonts w:ascii="Calibri" w:hAnsi="Calibri" w:hint="default"/>
      </w:rPr>
    </w:lvl>
    <w:lvl w:ilvl="5" w:tplc="29BA1D46" w:tentative="1">
      <w:start w:val="1"/>
      <w:numFmt w:val="bullet"/>
      <w:lvlText w:val="&gt;"/>
      <w:lvlJc w:val="left"/>
      <w:pPr>
        <w:tabs>
          <w:tab w:val="num" w:pos="4320"/>
        </w:tabs>
        <w:ind w:left="4320" w:hanging="360"/>
      </w:pPr>
      <w:rPr>
        <w:rFonts w:ascii="Calibri" w:hAnsi="Calibri" w:hint="default"/>
      </w:rPr>
    </w:lvl>
    <w:lvl w:ilvl="6" w:tplc="8D741328" w:tentative="1">
      <w:start w:val="1"/>
      <w:numFmt w:val="bullet"/>
      <w:lvlText w:val="&gt;"/>
      <w:lvlJc w:val="left"/>
      <w:pPr>
        <w:tabs>
          <w:tab w:val="num" w:pos="5040"/>
        </w:tabs>
        <w:ind w:left="5040" w:hanging="360"/>
      </w:pPr>
      <w:rPr>
        <w:rFonts w:ascii="Calibri" w:hAnsi="Calibri" w:hint="default"/>
      </w:rPr>
    </w:lvl>
    <w:lvl w:ilvl="7" w:tplc="39FAAB64" w:tentative="1">
      <w:start w:val="1"/>
      <w:numFmt w:val="bullet"/>
      <w:lvlText w:val="&gt;"/>
      <w:lvlJc w:val="left"/>
      <w:pPr>
        <w:tabs>
          <w:tab w:val="num" w:pos="5760"/>
        </w:tabs>
        <w:ind w:left="5760" w:hanging="360"/>
      </w:pPr>
      <w:rPr>
        <w:rFonts w:ascii="Calibri" w:hAnsi="Calibri" w:hint="default"/>
      </w:rPr>
    </w:lvl>
    <w:lvl w:ilvl="8" w:tplc="A37442E8" w:tentative="1">
      <w:start w:val="1"/>
      <w:numFmt w:val="bullet"/>
      <w:lvlText w:val="&gt;"/>
      <w:lvlJc w:val="left"/>
      <w:pPr>
        <w:tabs>
          <w:tab w:val="num" w:pos="6480"/>
        </w:tabs>
        <w:ind w:left="6480" w:hanging="360"/>
      </w:pPr>
      <w:rPr>
        <w:rFonts w:ascii="Calibri" w:hAnsi="Calibri" w:hint="default"/>
      </w:rPr>
    </w:lvl>
  </w:abstractNum>
  <w:abstractNum w:abstractNumId="2" w15:restartNumberingAfterBreak="0">
    <w:nsid w:val="0E1B5BF0"/>
    <w:multiLevelType w:val="hybridMultilevel"/>
    <w:tmpl w:val="9D6CE51A"/>
    <w:lvl w:ilvl="0" w:tplc="F39C65BC">
      <w:start w:val="3"/>
      <w:numFmt w:val="bullet"/>
      <w:lvlText w:val="-"/>
      <w:lvlJc w:val="left"/>
      <w:pPr>
        <w:ind w:left="502"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3230F"/>
    <w:multiLevelType w:val="multilevel"/>
    <w:tmpl w:val="465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E4B2C"/>
    <w:multiLevelType w:val="hybridMultilevel"/>
    <w:tmpl w:val="31864B60"/>
    <w:lvl w:ilvl="0" w:tplc="294476DA">
      <w:start w:val="1"/>
      <w:numFmt w:val="bullet"/>
      <w:lvlText w:val="&gt;"/>
      <w:lvlJc w:val="left"/>
      <w:pPr>
        <w:tabs>
          <w:tab w:val="num" w:pos="720"/>
        </w:tabs>
        <w:ind w:left="720" w:hanging="360"/>
      </w:pPr>
      <w:rPr>
        <w:rFonts w:ascii="Calibri" w:hAnsi="Calibri" w:hint="default"/>
      </w:rPr>
    </w:lvl>
    <w:lvl w:ilvl="1" w:tplc="E8941B1A">
      <w:numFmt w:val="bullet"/>
      <w:lvlText w:val="−"/>
      <w:lvlJc w:val="left"/>
      <w:pPr>
        <w:tabs>
          <w:tab w:val="num" w:pos="1440"/>
        </w:tabs>
        <w:ind w:left="1440" w:hanging="360"/>
      </w:pPr>
      <w:rPr>
        <w:rFonts w:ascii="Calibri" w:hAnsi="Calibri" w:hint="default"/>
      </w:rPr>
    </w:lvl>
    <w:lvl w:ilvl="2" w:tplc="16C2783A" w:tentative="1">
      <w:start w:val="1"/>
      <w:numFmt w:val="bullet"/>
      <w:lvlText w:val="&gt;"/>
      <w:lvlJc w:val="left"/>
      <w:pPr>
        <w:tabs>
          <w:tab w:val="num" w:pos="2160"/>
        </w:tabs>
        <w:ind w:left="2160" w:hanging="360"/>
      </w:pPr>
      <w:rPr>
        <w:rFonts w:ascii="Calibri" w:hAnsi="Calibri" w:hint="default"/>
      </w:rPr>
    </w:lvl>
    <w:lvl w:ilvl="3" w:tplc="E5D836F2" w:tentative="1">
      <w:start w:val="1"/>
      <w:numFmt w:val="bullet"/>
      <w:lvlText w:val="&gt;"/>
      <w:lvlJc w:val="left"/>
      <w:pPr>
        <w:tabs>
          <w:tab w:val="num" w:pos="2880"/>
        </w:tabs>
        <w:ind w:left="2880" w:hanging="360"/>
      </w:pPr>
      <w:rPr>
        <w:rFonts w:ascii="Calibri" w:hAnsi="Calibri" w:hint="default"/>
      </w:rPr>
    </w:lvl>
    <w:lvl w:ilvl="4" w:tplc="672EC438" w:tentative="1">
      <w:start w:val="1"/>
      <w:numFmt w:val="bullet"/>
      <w:lvlText w:val="&gt;"/>
      <w:lvlJc w:val="left"/>
      <w:pPr>
        <w:tabs>
          <w:tab w:val="num" w:pos="3600"/>
        </w:tabs>
        <w:ind w:left="3600" w:hanging="360"/>
      </w:pPr>
      <w:rPr>
        <w:rFonts w:ascii="Calibri" w:hAnsi="Calibri" w:hint="default"/>
      </w:rPr>
    </w:lvl>
    <w:lvl w:ilvl="5" w:tplc="2A6247DA" w:tentative="1">
      <w:start w:val="1"/>
      <w:numFmt w:val="bullet"/>
      <w:lvlText w:val="&gt;"/>
      <w:lvlJc w:val="left"/>
      <w:pPr>
        <w:tabs>
          <w:tab w:val="num" w:pos="4320"/>
        </w:tabs>
        <w:ind w:left="4320" w:hanging="360"/>
      </w:pPr>
      <w:rPr>
        <w:rFonts w:ascii="Calibri" w:hAnsi="Calibri" w:hint="default"/>
      </w:rPr>
    </w:lvl>
    <w:lvl w:ilvl="6" w:tplc="DC60CCBE" w:tentative="1">
      <w:start w:val="1"/>
      <w:numFmt w:val="bullet"/>
      <w:lvlText w:val="&gt;"/>
      <w:lvlJc w:val="left"/>
      <w:pPr>
        <w:tabs>
          <w:tab w:val="num" w:pos="5040"/>
        </w:tabs>
        <w:ind w:left="5040" w:hanging="360"/>
      </w:pPr>
      <w:rPr>
        <w:rFonts w:ascii="Calibri" w:hAnsi="Calibri" w:hint="default"/>
      </w:rPr>
    </w:lvl>
    <w:lvl w:ilvl="7" w:tplc="28F6F280" w:tentative="1">
      <w:start w:val="1"/>
      <w:numFmt w:val="bullet"/>
      <w:lvlText w:val="&gt;"/>
      <w:lvlJc w:val="left"/>
      <w:pPr>
        <w:tabs>
          <w:tab w:val="num" w:pos="5760"/>
        </w:tabs>
        <w:ind w:left="5760" w:hanging="360"/>
      </w:pPr>
      <w:rPr>
        <w:rFonts w:ascii="Calibri" w:hAnsi="Calibri" w:hint="default"/>
      </w:rPr>
    </w:lvl>
    <w:lvl w:ilvl="8" w:tplc="AC98C8C2" w:tentative="1">
      <w:start w:val="1"/>
      <w:numFmt w:val="bullet"/>
      <w:lvlText w:val="&gt;"/>
      <w:lvlJc w:val="left"/>
      <w:pPr>
        <w:tabs>
          <w:tab w:val="num" w:pos="6480"/>
        </w:tabs>
        <w:ind w:left="6480" w:hanging="360"/>
      </w:pPr>
      <w:rPr>
        <w:rFonts w:ascii="Calibri" w:hAnsi="Calibri" w:hint="default"/>
      </w:rPr>
    </w:lvl>
  </w:abstractNum>
  <w:abstractNum w:abstractNumId="5" w15:restartNumberingAfterBreak="0">
    <w:nsid w:val="1AF13CFE"/>
    <w:multiLevelType w:val="hybridMultilevel"/>
    <w:tmpl w:val="15CCB360"/>
    <w:lvl w:ilvl="0" w:tplc="1F1248D0">
      <w:start w:val="1"/>
      <w:numFmt w:val="bullet"/>
      <w:pStyle w:val="Table-Bullet2"/>
      <w:lvlText w:val="-"/>
      <w:lvlJc w:val="left"/>
      <w:pPr>
        <w:ind w:left="633" w:hanging="360"/>
      </w:pPr>
      <w:rPr>
        <w:rFonts w:ascii="Calibri" w:hAnsi="Calibri" w:hint="default"/>
        <w:color w:val="003569"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745A6"/>
    <w:multiLevelType w:val="hybridMultilevel"/>
    <w:tmpl w:val="7144BAC0"/>
    <w:lvl w:ilvl="0" w:tplc="095C66BC">
      <w:start w:val="1"/>
      <w:numFmt w:val="bullet"/>
      <w:lvlText w:val="&gt;"/>
      <w:lvlJc w:val="left"/>
      <w:pPr>
        <w:tabs>
          <w:tab w:val="num" w:pos="720"/>
        </w:tabs>
        <w:ind w:left="720" w:hanging="360"/>
      </w:pPr>
      <w:rPr>
        <w:rFonts w:ascii="Calibri" w:hAnsi="Calibri" w:hint="default"/>
      </w:rPr>
    </w:lvl>
    <w:lvl w:ilvl="1" w:tplc="C37E73FA">
      <w:numFmt w:val="bullet"/>
      <w:lvlText w:val="−"/>
      <w:lvlJc w:val="left"/>
      <w:pPr>
        <w:tabs>
          <w:tab w:val="num" w:pos="1440"/>
        </w:tabs>
        <w:ind w:left="1440" w:hanging="360"/>
      </w:pPr>
      <w:rPr>
        <w:rFonts w:ascii="Calibri" w:hAnsi="Calibri" w:hint="default"/>
      </w:rPr>
    </w:lvl>
    <w:lvl w:ilvl="2" w:tplc="CEA085F8" w:tentative="1">
      <w:start w:val="1"/>
      <w:numFmt w:val="bullet"/>
      <w:lvlText w:val="&gt;"/>
      <w:lvlJc w:val="left"/>
      <w:pPr>
        <w:tabs>
          <w:tab w:val="num" w:pos="2160"/>
        </w:tabs>
        <w:ind w:left="2160" w:hanging="360"/>
      </w:pPr>
      <w:rPr>
        <w:rFonts w:ascii="Calibri" w:hAnsi="Calibri" w:hint="default"/>
      </w:rPr>
    </w:lvl>
    <w:lvl w:ilvl="3" w:tplc="F8CEBCF6" w:tentative="1">
      <w:start w:val="1"/>
      <w:numFmt w:val="bullet"/>
      <w:lvlText w:val="&gt;"/>
      <w:lvlJc w:val="left"/>
      <w:pPr>
        <w:tabs>
          <w:tab w:val="num" w:pos="2880"/>
        </w:tabs>
        <w:ind w:left="2880" w:hanging="360"/>
      </w:pPr>
      <w:rPr>
        <w:rFonts w:ascii="Calibri" w:hAnsi="Calibri" w:hint="default"/>
      </w:rPr>
    </w:lvl>
    <w:lvl w:ilvl="4" w:tplc="DE087BB8" w:tentative="1">
      <w:start w:val="1"/>
      <w:numFmt w:val="bullet"/>
      <w:lvlText w:val="&gt;"/>
      <w:lvlJc w:val="left"/>
      <w:pPr>
        <w:tabs>
          <w:tab w:val="num" w:pos="3600"/>
        </w:tabs>
        <w:ind w:left="3600" w:hanging="360"/>
      </w:pPr>
      <w:rPr>
        <w:rFonts w:ascii="Calibri" w:hAnsi="Calibri" w:hint="default"/>
      </w:rPr>
    </w:lvl>
    <w:lvl w:ilvl="5" w:tplc="A19C8CB2" w:tentative="1">
      <w:start w:val="1"/>
      <w:numFmt w:val="bullet"/>
      <w:lvlText w:val="&gt;"/>
      <w:lvlJc w:val="left"/>
      <w:pPr>
        <w:tabs>
          <w:tab w:val="num" w:pos="4320"/>
        </w:tabs>
        <w:ind w:left="4320" w:hanging="360"/>
      </w:pPr>
      <w:rPr>
        <w:rFonts w:ascii="Calibri" w:hAnsi="Calibri" w:hint="default"/>
      </w:rPr>
    </w:lvl>
    <w:lvl w:ilvl="6" w:tplc="17BA863C" w:tentative="1">
      <w:start w:val="1"/>
      <w:numFmt w:val="bullet"/>
      <w:lvlText w:val="&gt;"/>
      <w:lvlJc w:val="left"/>
      <w:pPr>
        <w:tabs>
          <w:tab w:val="num" w:pos="5040"/>
        </w:tabs>
        <w:ind w:left="5040" w:hanging="360"/>
      </w:pPr>
      <w:rPr>
        <w:rFonts w:ascii="Calibri" w:hAnsi="Calibri" w:hint="default"/>
      </w:rPr>
    </w:lvl>
    <w:lvl w:ilvl="7" w:tplc="2C3EA838" w:tentative="1">
      <w:start w:val="1"/>
      <w:numFmt w:val="bullet"/>
      <w:lvlText w:val="&gt;"/>
      <w:lvlJc w:val="left"/>
      <w:pPr>
        <w:tabs>
          <w:tab w:val="num" w:pos="5760"/>
        </w:tabs>
        <w:ind w:left="5760" w:hanging="360"/>
      </w:pPr>
      <w:rPr>
        <w:rFonts w:ascii="Calibri" w:hAnsi="Calibri" w:hint="default"/>
      </w:rPr>
    </w:lvl>
    <w:lvl w:ilvl="8" w:tplc="1A2C8C14" w:tentative="1">
      <w:start w:val="1"/>
      <w:numFmt w:val="bullet"/>
      <w:lvlText w:val="&gt;"/>
      <w:lvlJc w:val="left"/>
      <w:pPr>
        <w:tabs>
          <w:tab w:val="num" w:pos="6480"/>
        </w:tabs>
        <w:ind w:left="6480" w:hanging="360"/>
      </w:pPr>
      <w:rPr>
        <w:rFonts w:ascii="Calibri" w:hAnsi="Calibri" w:hint="default"/>
      </w:rPr>
    </w:lvl>
  </w:abstractNum>
  <w:abstractNum w:abstractNumId="7" w15:restartNumberingAfterBreak="0">
    <w:nsid w:val="1E1669CC"/>
    <w:multiLevelType w:val="multilevel"/>
    <w:tmpl w:val="F502DB6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3569" w:themeColor="accent6"/>
      </w:rPr>
    </w:lvl>
    <w:lvl w:ilvl="2">
      <w:start w:val="1"/>
      <w:numFmt w:val="decimal"/>
      <w:pStyle w:val="Heading3"/>
      <w:lvlText w:val="%1.%2.%3"/>
      <w:lvlJc w:val="left"/>
      <w:pPr>
        <w:ind w:left="720" w:hanging="720"/>
      </w:pPr>
      <w:rPr>
        <w:color w:val="003569" w:themeColor="accent6"/>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5E5713C"/>
    <w:multiLevelType w:val="hybridMultilevel"/>
    <w:tmpl w:val="9BB4CE94"/>
    <w:lvl w:ilvl="0" w:tplc="7E68FCBE">
      <w:start w:val="1"/>
      <w:numFmt w:val="bullet"/>
      <w:lvlText w:val="•"/>
      <w:lvlJc w:val="left"/>
      <w:pPr>
        <w:tabs>
          <w:tab w:val="num" w:pos="720"/>
        </w:tabs>
        <w:ind w:left="720" w:hanging="360"/>
      </w:pPr>
      <w:rPr>
        <w:rFonts w:ascii="Arial" w:hAnsi="Arial" w:hint="default"/>
      </w:rPr>
    </w:lvl>
    <w:lvl w:ilvl="1" w:tplc="956CB98C" w:tentative="1">
      <w:start w:val="1"/>
      <w:numFmt w:val="bullet"/>
      <w:lvlText w:val="•"/>
      <w:lvlJc w:val="left"/>
      <w:pPr>
        <w:tabs>
          <w:tab w:val="num" w:pos="1440"/>
        </w:tabs>
        <w:ind w:left="1440" w:hanging="360"/>
      </w:pPr>
      <w:rPr>
        <w:rFonts w:ascii="Arial" w:hAnsi="Arial" w:hint="default"/>
      </w:rPr>
    </w:lvl>
    <w:lvl w:ilvl="2" w:tplc="C84CB4E2" w:tentative="1">
      <w:start w:val="1"/>
      <w:numFmt w:val="bullet"/>
      <w:lvlText w:val="•"/>
      <w:lvlJc w:val="left"/>
      <w:pPr>
        <w:tabs>
          <w:tab w:val="num" w:pos="2160"/>
        </w:tabs>
        <w:ind w:left="2160" w:hanging="360"/>
      </w:pPr>
      <w:rPr>
        <w:rFonts w:ascii="Arial" w:hAnsi="Arial" w:hint="default"/>
      </w:rPr>
    </w:lvl>
    <w:lvl w:ilvl="3" w:tplc="EEA49230" w:tentative="1">
      <w:start w:val="1"/>
      <w:numFmt w:val="bullet"/>
      <w:lvlText w:val="•"/>
      <w:lvlJc w:val="left"/>
      <w:pPr>
        <w:tabs>
          <w:tab w:val="num" w:pos="2880"/>
        </w:tabs>
        <w:ind w:left="2880" w:hanging="360"/>
      </w:pPr>
      <w:rPr>
        <w:rFonts w:ascii="Arial" w:hAnsi="Arial" w:hint="default"/>
      </w:rPr>
    </w:lvl>
    <w:lvl w:ilvl="4" w:tplc="C1880724" w:tentative="1">
      <w:start w:val="1"/>
      <w:numFmt w:val="bullet"/>
      <w:lvlText w:val="•"/>
      <w:lvlJc w:val="left"/>
      <w:pPr>
        <w:tabs>
          <w:tab w:val="num" w:pos="3600"/>
        </w:tabs>
        <w:ind w:left="3600" w:hanging="360"/>
      </w:pPr>
      <w:rPr>
        <w:rFonts w:ascii="Arial" w:hAnsi="Arial" w:hint="default"/>
      </w:rPr>
    </w:lvl>
    <w:lvl w:ilvl="5" w:tplc="3C4476F6" w:tentative="1">
      <w:start w:val="1"/>
      <w:numFmt w:val="bullet"/>
      <w:lvlText w:val="•"/>
      <w:lvlJc w:val="left"/>
      <w:pPr>
        <w:tabs>
          <w:tab w:val="num" w:pos="4320"/>
        </w:tabs>
        <w:ind w:left="4320" w:hanging="360"/>
      </w:pPr>
      <w:rPr>
        <w:rFonts w:ascii="Arial" w:hAnsi="Arial" w:hint="default"/>
      </w:rPr>
    </w:lvl>
    <w:lvl w:ilvl="6" w:tplc="60005C8A" w:tentative="1">
      <w:start w:val="1"/>
      <w:numFmt w:val="bullet"/>
      <w:lvlText w:val="•"/>
      <w:lvlJc w:val="left"/>
      <w:pPr>
        <w:tabs>
          <w:tab w:val="num" w:pos="5040"/>
        </w:tabs>
        <w:ind w:left="5040" w:hanging="360"/>
      </w:pPr>
      <w:rPr>
        <w:rFonts w:ascii="Arial" w:hAnsi="Arial" w:hint="default"/>
      </w:rPr>
    </w:lvl>
    <w:lvl w:ilvl="7" w:tplc="A830CA7A" w:tentative="1">
      <w:start w:val="1"/>
      <w:numFmt w:val="bullet"/>
      <w:lvlText w:val="•"/>
      <w:lvlJc w:val="left"/>
      <w:pPr>
        <w:tabs>
          <w:tab w:val="num" w:pos="5760"/>
        </w:tabs>
        <w:ind w:left="5760" w:hanging="360"/>
      </w:pPr>
      <w:rPr>
        <w:rFonts w:ascii="Arial" w:hAnsi="Arial" w:hint="default"/>
      </w:rPr>
    </w:lvl>
    <w:lvl w:ilvl="8" w:tplc="583C88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9B3044"/>
    <w:multiLevelType w:val="hybridMultilevel"/>
    <w:tmpl w:val="953494F6"/>
    <w:lvl w:ilvl="0" w:tplc="08D2E386">
      <w:start w:val="1"/>
      <w:numFmt w:val="bullet"/>
      <w:lvlText w:val="&gt;"/>
      <w:lvlJc w:val="left"/>
      <w:pPr>
        <w:tabs>
          <w:tab w:val="num" w:pos="720"/>
        </w:tabs>
        <w:ind w:left="720" w:hanging="360"/>
      </w:pPr>
      <w:rPr>
        <w:rFonts w:ascii="Calibri" w:hAnsi="Calibri" w:hint="default"/>
      </w:rPr>
    </w:lvl>
    <w:lvl w:ilvl="1" w:tplc="3F9CC8D2" w:tentative="1">
      <w:start w:val="1"/>
      <w:numFmt w:val="bullet"/>
      <w:lvlText w:val="&gt;"/>
      <w:lvlJc w:val="left"/>
      <w:pPr>
        <w:tabs>
          <w:tab w:val="num" w:pos="1440"/>
        </w:tabs>
        <w:ind w:left="1440" w:hanging="360"/>
      </w:pPr>
      <w:rPr>
        <w:rFonts w:ascii="Calibri" w:hAnsi="Calibri" w:hint="default"/>
      </w:rPr>
    </w:lvl>
    <w:lvl w:ilvl="2" w:tplc="CF9084EA" w:tentative="1">
      <w:start w:val="1"/>
      <w:numFmt w:val="bullet"/>
      <w:lvlText w:val="&gt;"/>
      <w:lvlJc w:val="left"/>
      <w:pPr>
        <w:tabs>
          <w:tab w:val="num" w:pos="2160"/>
        </w:tabs>
        <w:ind w:left="2160" w:hanging="360"/>
      </w:pPr>
      <w:rPr>
        <w:rFonts w:ascii="Calibri" w:hAnsi="Calibri" w:hint="default"/>
      </w:rPr>
    </w:lvl>
    <w:lvl w:ilvl="3" w:tplc="AE5A6420" w:tentative="1">
      <w:start w:val="1"/>
      <w:numFmt w:val="bullet"/>
      <w:lvlText w:val="&gt;"/>
      <w:lvlJc w:val="left"/>
      <w:pPr>
        <w:tabs>
          <w:tab w:val="num" w:pos="2880"/>
        </w:tabs>
        <w:ind w:left="2880" w:hanging="360"/>
      </w:pPr>
      <w:rPr>
        <w:rFonts w:ascii="Calibri" w:hAnsi="Calibri" w:hint="default"/>
      </w:rPr>
    </w:lvl>
    <w:lvl w:ilvl="4" w:tplc="806C38FA" w:tentative="1">
      <w:start w:val="1"/>
      <w:numFmt w:val="bullet"/>
      <w:lvlText w:val="&gt;"/>
      <w:lvlJc w:val="left"/>
      <w:pPr>
        <w:tabs>
          <w:tab w:val="num" w:pos="3600"/>
        </w:tabs>
        <w:ind w:left="3600" w:hanging="360"/>
      </w:pPr>
      <w:rPr>
        <w:rFonts w:ascii="Calibri" w:hAnsi="Calibri" w:hint="default"/>
      </w:rPr>
    </w:lvl>
    <w:lvl w:ilvl="5" w:tplc="41ACBF34" w:tentative="1">
      <w:start w:val="1"/>
      <w:numFmt w:val="bullet"/>
      <w:lvlText w:val="&gt;"/>
      <w:lvlJc w:val="left"/>
      <w:pPr>
        <w:tabs>
          <w:tab w:val="num" w:pos="4320"/>
        </w:tabs>
        <w:ind w:left="4320" w:hanging="360"/>
      </w:pPr>
      <w:rPr>
        <w:rFonts w:ascii="Calibri" w:hAnsi="Calibri" w:hint="default"/>
      </w:rPr>
    </w:lvl>
    <w:lvl w:ilvl="6" w:tplc="A184CC78" w:tentative="1">
      <w:start w:val="1"/>
      <w:numFmt w:val="bullet"/>
      <w:lvlText w:val="&gt;"/>
      <w:lvlJc w:val="left"/>
      <w:pPr>
        <w:tabs>
          <w:tab w:val="num" w:pos="5040"/>
        </w:tabs>
        <w:ind w:left="5040" w:hanging="360"/>
      </w:pPr>
      <w:rPr>
        <w:rFonts w:ascii="Calibri" w:hAnsi="Calibri" w:hint="default"/>
      </w:rPr>
    </w:lvl>
    <w:lvl w:ilvl="7" w:tplc="CF964AAC" w:tentative="1">
      <w:start w:val="1"/>
      <w:numFmt w:val="bullet"/>
      <w:lvlText w:val="&gt;"/>
      <w:lvlJc w:val="left"/>
      <w:pPr>
        <w:tabs>
          <w:tab w:val="num" w:pos="5760"/>
        </w:tabs>
        <w:ind w:left="5760" w:hanging="360"/>
      </w:pPr>
      <w:rPr>
        <w:rFonts w:ascii="Calibri" w:hAnsi="Calibri" w:hint="default"/>
      </w:rPr>
    </w:lvl>
    <w:lvl w:ilvl="8" w:tplc="19BA510C" w:tentative="1">
      <w:start w:val="1"/>
      <w:numFmt w:val="bullet"/>
      <w:lvlText w:val="&gt;"/>
      <w:lvlJc w:val="left"/>
      <w:pPr>
        <w:tabs>
          <w:tab w:val="num" w:pos="6480"/>
        </w:tabs>
        <w:ind w:left="6480" w:hanging="360"/>
      </w:pPr>
      <w:rPr>
        <w:rFonts w:ascii="Calibri" w:hAnsi="Calibri" w:hint="default"/>
      </w:rPr>
    </w:lvl>
  </w:abstractNum>
  <w:abstractNum w:abstractNumId="10" w15:restartNumberingAfterBreak="0">
    <w:nsid w:val="2C4752FB"/>
    <w:multiLevelType w:val="hybridMultilevel"/>
    <w:tmpl w:val="29F86F12"/>
    <w:lvl w:ilvl="0" w:tplc="9996A884">
      <w:start w:val="1"/>
      <w:numFmt w:val="bullet"/>
      <w:lvlText w:val=""/>
      <w:lvlJc w:val="left"/>
      <w:pPr>
        <w:ind w:left="720" w:hanging="360"/>
      </w:pPr>
      <w:rPr>
        <w:rFonts w:ascii="Symbol" w:hAnsi="Symbol" w:hint="default"/>
        <w:strike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0597D"/>
    <w:multiLevelType w:val="hybridMultilevel"/>
    <w:tmpl w:val="811ED0AA"/>
    <w:lvl w:ilvl="0" w:tplc="A9EEB98A">
      <w:start w:val="1"/>
      <w:numFmt w:val="bullet"/>
      <w:pStyle w:val="ListParagraph"/>
      <w:lvlText w:val="&gt;"/>
      <w:lvlJc w:val="left"/>
      <w:pPr>
        <w:ind w:left="1069" w:hanging="360"/>
      </w:p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503DBA"/>
    <w:multiLevelType w:val="hybridMultilevel"/>
    <w:tmpl w:val="7AE88112"/>
    <w:lvl w:ilvl="0" w:tplc="05807408">
      <w:start w:val="1"/>
      <w:numFmt w:val="bullet"/>
      <w:pStyle w:val="Bullet4"/>
      <w:lvlText w:val="▫"/>
      <w:lvlJc w:val="left"/>
      <w:pPr>
        <w:ind w:left="2128" w:hanging="360"/>
      </w:pPr>
      <w:rPr>
        <w:rFonts w:ascii="Tahoma" w:hAnsi="Tahoma" w:hint="default"/>
        <w:color w:val="003569" w:themeColor="accent6"/>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13" w15:restartNumberingAfterBreak="0">
    <w:nsid w:val="338F3690"/>
    <w:multiLevelType w:val="hybridMultilevel"/>
    <w:tmpl w:val="026E8AD2"/>
    <w:lvl w:ilvl="0" w:tplc="D5F6E8AA">
      <w:start w:val="1"/>
      <w:numFmt w:val="bullet"/>
      <w:pStyle w:val="Bullet3"/>
      <w:lvlText w:val="▪"/>
      <w:lvlJc w:val="left"/>
      <w:pPr>
        <w:ind w:left="1854" w:hanging="360"/>
      </w:pPr>
      <w:rPr>
        <w:rFonts w:ascii="Tahoma" w:hAnsi="Tahoma" w:hint="default"/>
        <w:color w:val="003569" w:themeColor="accent6"/>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34473E35"/>
    <w:multiLevelType w:val="hybridMultilevel"/>
    <w:tmpl w:val="CE5644CA"/>
    <w:lvl w:ilvl="0" w:tplc="E8BE53BC">
      <w:start w:val="3"/>
      <w:numFmt w:val="bullet"/>
      <w:lvlText w:val="-"/>
      <w:lvlJc w:val="left"/>
      <w:pPr>
        <w:ind w:left="1080" w:hanging="360"/>
      </w:pPr>
      <w:rPr>
        <w:rFonts w:ascii="Calibri" w:eastAsiaTheme="minorEastAsia"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2226DD"/>
    <w:multiLevelType w:val="hybridMultilevel"/>
    <w:tmpl w:val="5A8E7C44"/>
    <w:lvl w:ilvl="0" w:tplc="F39C65BC">
      <w:start w:val="3"/>
      <w:numFmt w:val="bullet"/>
      <w:lvlText w:val="-"/>
      <w:lvlJc w:val="left"/>
      <w:pPr>
        <w:ind w:left="1400" w:hanging="360"/>
      </w:pPr>
      <w:rPr>
        <w:rFonts w:ascii="Calibri" w:eastAsiaTheme="minorEastAsia" w:hAnsi="Calibri" w:cs="Calibri" w:hint="default"/>
        <w:color w:val="003569" w:themeColor="accent6"/>
      </w:rPr>
    </w:lvl>
    <w:lvl w:ilvl="1" w:tplc="FFFFFFFF">
      <w:start w:val="1"/>
      <w:numFmt w:val="bullet"/>
      <w:lvlText w:val="o"/>
      <w:lvlJc w:val="left"/>
      <w:pPr>
        <w:ind w:left="2120" w:hanging="360"/>
      </w:pPr>
      <w:rPr>
        <w:rFonts w:ascii="Courier New" w:hAnsi="Courier New" w:cs="Courier New" w:hint="default"/>
      </w:rPr>
    </w:lvl>
    <w:lvl w:ilvl="2" w:tplc="FFFFFFFF">
      <w:start w:val="1"/>
      <w:numFmt w:val="bullet"/>
      <w:lvlText w:val=""/>
      <w:lvlJc w:val="left"/>
      <w:pPr>
        <w:ind w:left="2840" w:hanging="360"/>
      </w:pPr>
      <w:rPr>
        <w:rFonts w:ascii="Wingdings" w:hAnsi="Wingdings" w:hint="default"/>
      </w:rPr>
    </w:lvl>
    <w:lvl w:ilvl="3" w:tplc="FFFFFFFF">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6" w15:restartNumberingAfterBreak="0">
    <w:nsid w:val="366C0DD3"/>
    <w:multiLevelType w:val="hybridMultilevel"/>
    <w:tmpl w:val="27BA5824"/>
    <w:lvl w:ilvl="0" w:tplc="F39C65BC">
      <w:start w:val="3"/>
      <w:numFmt w:val="bullet"/>
      <w:lvlText w:val="-"/>
      <w:lvlJc w:val="left"/>
      <w:pPr>
        <w:ind w:left="1146" w:hanging="360"/>
      </w:pPr>
      <w:rPr>
        <w:rFonts w:ascii="Calibri" w:eastAsiaTheme="minorEastAsia"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8CC2E85"/>
    <w:multiLevelType w:val="hybridMultilevel"/>
    <w:tmpl w:val="0546C9A4"/>
    <w:lvl w:ilvl="0" w:tplc="4BEE39D4">
      <w:start w:val="18"/>
      <w:numFmt w:val="bullet"/>
      <w:lvlText w:val=""/>
      <w:lvlJc w:val="left"/>
      <w:pPr>
        <w:ind w:left="720" w:hanging="360"/>
      </w:pPr>
      <w:rPr>
        <w:rFonts w:ascii="Wingdings" w:eastAsiaTheme="minorEastAsia"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673C5"/>
    <w:multiLevelType w:val="hybridMultilevel"/>
    <w:tmpl w:val="1E502AD0"/>
    <w:lvl w:ilvl="0" w:tplc="B25ABD60">
      <w:start w:val="1"/>
      <w:numFmt w:val="bullet"/>
      <w:lvlText w:val="&gt;"/>
      <w:lvlJc w:val="left"/>
      <w:pPr>
        <w:tabs>
          <w:tab w:val="num" w:pos="720"/>
        </w:tabs>
        <w:ind w:left="720" w:hanging="360"/>
      </w:pPr>
      <w:rPr>
        <w:rFonts w:ascii="Calibri" w:hAnsi="Calibri" w:hint="default"/>
      </w:rPr>
    </w:lvl>
    <w:lvl w:ilvl="1" w:tplc="9D9296EA">
      <w:numFmt w:val="bullet"/>
      <w:lvlText w:val="−"/>
      <w:lvlJc w:val="left"/>
      <w:pPr>
        <w:tabs>
          <w:tab w:val="num" w:pos="1440"/>
        </w:tabs>
        <w:ind w:left="1440" w:hanging="360"/>
      </w:pPr>
      <w:rPr>
        <w:rFonts w:ascii="Calibri" w:hAnsi="Calibri" w:hint="default"/>
      </w:rPr>
    </w:lvl>
    <w:lvl w:ilvl="2" w:tplc="FE66398E" w:tentative="1">
      <w:start w:val="1"/>
      <w:numFmt w:val="bullet"/>
      <w:lvlText w:val="&gt;"/>
      <w:lvlJc w:val="left"/>
      <w:pPr>
        <w:tabs>
          <w:tab w:val="num" w:pos="2160"/>
        </w:tabs>
        <w:ind w:left="2160" w:hanging="360"/>
      </w:pPr>
      <w:rPr>
        <w:rFonts w:ascii="Calibri" w:hAnsi="Calibri" w:hint="default"/>
      </w:rPr>
    </w:lvl>
    <w:lvl w:ilvl="3" w:tplc="510C9BA4" w:tentative="1">
      <w:start w:val="1"/>
      <w:numFmt w:val="bullet"/>
      <w:lvlText w:val="&gt;"/>
      <w:lvlJc w:val="left"/>
      <w:pPr>
        <w:tabs>
          <w:tab w:val="num" w:pos="2880"/>
        </w:tabs>
        <w:ind w:left="2880" w:hanging="360"/>
      </w:pPr>
      <w:rPr>
        <w:rFonts w:ascii="Calibri" w:hAnsi="Calibri" w:hint="default"/>
      </w:rPr>
    </w:lvl>
    <w:lvl w:ilvl="4" w:tplc="70FE1C8E" w:tentative="1">
      <w:start w:val="1"/>
      <w:numFmt w:val="bullet"/>
      <w:lvlText w:val="&gt;"/>
      <w:lvlJc w:val="left"/>
      <w:pPr>
        <w:tabs>
          <w:tab w:val="num" w:pos="3600"/>
        </w:tabs>
        <w:ind w:left="3600" w:hanging="360"/>
      </w:pPr>
      <w:rPr>
        <w:rFonts w:ascii="Calibri" w:hAnsi="Calibri" w:hint="default"/>
      </w:rPr>
    </w:lvl>
    <w:lvl w:ilvl="5" w:tplc="D7EE8276" w:tentative="1">
      <w:start w:val="1"/>
      <w:numFmt w:val="bullet"/>
      <w:lvlText w:val="&gt;"/>
      <w:lvlJc w:val="left"/>
      <w:pPr>
        <w:tabs>
          <w:tab w:val="num" w:pos="4320"/>
        </w:tabs>
        <w:ind w:left="4320" w:hanging="360"/>
      </w:pPr>
      <w:rPr>
        <w:rFonts w:ascii="Calibri" w:hAnsi="Calibri" w:hint="default"/>
      </w:rPr>
    </w:lvl>
    <w:lvl w:ilvl="6" w:tplc="51C095AE" w:tentative="1">
      <w:start w:val="1"/>
      <w:numFmt w:val="bullet"/>
      <w:lvlText w:val="&gt;"/>
      <w:lvlJc w:val="left"/>
      <w:pPr>
        <w:tabs>
          <w:tab w:val="num" w:pos="5040"/>
        </w:tabs>
        <w:ind w:left="5040" w:hanging="360"/>
      </w:pPr>
      <w:rPr>
        <w:rFonts w:ascii="Calibri" w:hAnsi="Calibri" w:hint="default"/>
      </w:rPr>
    </w:lvl>
    <w:lvl w:ilvl="7" w:tplc="9B023BCA" w:tentative="1">
      <w:start w:val="1"/>
      <w:numFmt w:val="bullet"/>
      <w:lvlText w:val="&gt;"/>
      <w:lvlJc w:val="left"/>
      <w:pPr>
        <w:tabs>
          <w:tab w:val="num" w:pos="5760"/>
        </w:tabs>
        <w:ind w:left="5760" w:hanging="360"/>
      </w:pPr>
      <w:rPr>
        <w:rFonts w:ascii="Calibri" w:hAnsi="Calibri" w:hint="default"/>
      </w:rPr>
    </w:lvl>
    <w:lvl w:ilvl="8" w:tplc="2BB8A8D4" w:tentative="1">
      <w:start w:val="1"/>
      <w:numFmt w:val="bullet"/>
      <w:lvlText w:val="&gt;"/>
      <w:lvlJc w:val="left"/>
      <w:pPr>
        <w:tabs>
          <w:tab w:val="num" w:pos="6480"/>
        </w:tabs>
        <w:ind w:left="6480" w:hanging="360"/>
      </w:pPr>
      <w:rPr>
        <w:rFonts w:ascii="Calibri" w:hAnsi="Calibri" w:hint="default"/>
      </w:rPr>
    </w:lvl>
  </w:abstractNum>
  <w:abstractNum w:abstractNumId="19" w15:restartNumberingAfterBreak="0">
    <w:nsid w:val="3EDE04D9"/>
    <w:multiLevelType w:val="hybridMultilevel"/>
    <w:tmpl w:val="13FC1454"/>
    <w:lvl w:ilvl="0" w:tplc="F39C65BC">
      <w:start w:val="3"/>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461ADF"/>
    <w:multiLevelType w:val="hybridMultilevel"/>
    <w:tmpl w:val="2A1027A6"/>
    <w:lvl w:ilvl="0" w:tplc="5C186672">
      <w:start w:val="1"/>
      <w:numFmt w:val="bullet"/>
      <w:lvlText w:val="−"/>
      <w:lvlJc w:val="left"/>
      <w:pPr>
        <w:tabs>
          <w:tab w:val="num" w:pos="720"/>
        </w:tabs>
        <w:ind w:left="720" w:hanging="360"/>
      </w:pPr>
      <w:rPr>
        <w:rFonts w:ascii="Calibri" w:hAnsi="Calibri" w:hint="default"/>
      </w:rPr>
    </w:lvl>
    <w:lvl w:ilvl="1" w:tplc="938CC5F2">
      <w:start w:val="1"/>
      <w:numFmt w:val="bullet"/>
      <w:lvlText w:val="−"/>
      <w:lvlJc w:val="left"/>
      <w:pPr>
        <w:tabs>
          <w:tab w:val="num" w:pos="1440"/>
        </w:tabs>
        <w:ind w:left="1440" w:hanging="360"/>
      </w:pPr>
      <w:rPr>
        <w:rFonts w:ascii="Calibri" w:hAnsi="Calibri" w:hint="default"/>
      </w:rPr>
    </w:lvl>
    <w:lvl w:ilvl="2" w:tplc="920A289A" w:tentative="1">
      <w:start w:val="1"/>
      <w:numFmt w:val="bullet"/>
      <w:lvlText w:val="−"/>
      <w:lvlJc w:val="left"/>
      <w:pPr>
        <w:tabs>
          <w:tab w:val="num" w:pos="2160"/>
        </w:tabs>
        <w:ind w:left="2160" w:hanging="360"/>
      </w:pPr>
      <w:rPr>
        <w:rFonts w:ascii="Calibri" w:hAnsi="Calibri" w:hint="default"/>
      </w:rPr>
    </w:lvl>
    <w:lvl w:ilvl="3" w:tplc="F8881FAA" w:tentative="1">
      <w:start w:val="1"/>
      <w:numFmt w:val="bullet"/>
      <w:lvlText w:val="−"/>
      <w:lvlJc w:val="left"/>
      <w:pPr>
        <w:tabs>
          <w:tab w:val="num" w:pos="2880"/>
        </w:tabs>
        <w:ind w:left="2880" w:hanging="360"/>
      </w:pPr>
      <w:rPr>
        <w:rFonts w:ascii="Calibri" w:hAnsi="Calibri" w:hint="default"/>
      </w:rPr>
    </w:lvl>
    <w:lvl w:ilvl="4" w:tplc="031EE782" w:tentative="1">
      <w:start w:val="1"/>
      <w:numFmt w:val="bullet"/>
      <w:lvlText w:val="−"/>
      <w:lvlJc w:val="left"/>
      <w:pPr>
        <w:tabs>
          <w:tab w:val="num" w:pos="3600"/>
        </w:tabs>
        <w:ind w:left="3600" w:hanging="360"/>
      </w:pPr>
      <w:rPr>
        <w:rFonts w:ascii="Calibri" w:hAnsi="Calibri" w:hint="default"/>
      </w:rPr>
    </w:lvl>
    <w:lvl w:ilvl="5" w:tplc="F834ADEE" w:tentative="1">
      <w:start w:val="1"/>
      <w:numFmt w:val="bullet"/>
      <w:lvlText w:val="−"/>
      <w:lvlJc w:val="left"/>
      <w:pPr>
        <w:tabs>
          <w:tab w:val="num" w:pos="4320"/>
        </w:tabs>
        <w:ind w:left="4320" w:hanging="360"/>
      </w:pPr>
      <w:rPr>
        <w:rFonts w:ascii="Calibri" w:hAnsi="Calibri" w:hint="default"/>
      </w:rPr>
    </w:lvl>
    <w:lvl w:ilvl="6" w:tplc="2158A866" w:tentative="1">
      <w:start w:val="1"/>
      <w:numFmt w:val="bullet"/>
      <w:lvlText w:val="−"/>
      <w:lvlJc w:val="left"/>
      <w:pPr>
        <w:tabs>
          <w:tab w:val="num" w:pos="5040"/>
        </w:tabs>
        <w:ind w:left="5040" w:hanging="360"/>
      </w:pPr>
      <w:rPr>
        <w:rFonts w:ascii="Calibri" w:hAnsi="Calibri" w:hint="default"/>
      </w:rPr>
    </w:lvl>
    <w:lvl w:ilvl="7" w:tplc="F4F6406C" w:tentative="1">
      <w:start w:val="1"/>
      <w:numFmt w:val="bullet"/>
      <w:lvlText w:val="−"/>
      <w:lvlJc w:val="left"/>
      <w:pPr>
        <w:tabs>
          <w:tab w:val="num" w:pos="5760"/>
        </w:tabs>
        <w:ind w:left="5760" w:hanging="360"/>
      </w:pPr>
      <w:rPr>
        <w:rFonts w:ascii="Calibri" w:hAnsi="Calibri" w:hint="default"/>
      </w:rPr>
    </w:lvl>
    <w:lvl w:ilvl="8" w:tplc="EBBE6AA6"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4A5228F"/>
    <w:multiLevelType w:val="hybridMultilevel"/>
    <w:tmpl w:val="1474E97A"/>
    <w:lvl w:ilvl="0" w:tplc="16D8D446">
      <w:start w:val="1"/>
      <w:numFmt w:val="bullet"/>
      <w:pStyle w:val="Bullet2"/>
      <w:lvlText w:val="–"/>
      <w:lvlJc w:val="left"/>
      <w:pPr>
        <w:tabs>
          <w:tab w:val="num" w:pos="720"/>
        </w:tabs>
        <w:ind w:left="720" w:hanging="360"/>
      </w:pPr>
      <w:rPr>
        <w:rFonts w:ascii="Arial" w:hAnsi="Arial" w:cs="Times New Roman" w:hint="default"/>
      </w:rPr>
    </w:lvl>
    <w:lvl w:ilvl="1" w:tplc="DD6AE7B4">
      <w:start w:val="1"/>
      <w:numFmt w:val="bullet"/>
      <w:lvlText w:val="-"/>
      <w:lvlJc w:val="left"/>
      <w:pPr>
        <w:tabs>
          <w:tab w:val="num" w:pos="1440"/>
        </w:tabs>
        <w:ind w:left="1440" w:hanging="360"/>
      </w:pPr>
      <w:rPr>
        <w:rFonts w:ascii="Calibri" w:hAnsi="Calibri" w:hint="default"/>
        <w:color w:val="4E5053" w:themeColor="text1"/>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B5999"/>
    <w:multiLevelType w:val="hybridMultilevel"/>
    <w:tmpl w:val="1B7CE4F6"/>
    <w:lvl w:ilvl="0" w:tplc="4342CA96">
      <w:start w:val="1"/>
      <w:numFmt w:val="bullet"/>
      <w:lvlText w:val="•"/>
      <w:lvlJc w:val="left"/>
      <w:pPr>
        <w:tabs>
          <w:tab w:val="num" w:pos="720"/>
        </w:tabs>
        <w:ind w:left="720" w:hanging="360"/>
      </w:pPr>
      <w:rPr>
        <w:rFonts w:ascii="Arial" w:hAnsi="Arial" w:hint="default"/>
      </w:rPr>
    </w:lvl>
    <w:lvl w:ilvl="1" w:tplc="72E42862" w:tentative="1">
      <w:start w:val="1"/>
      <w:numFmt w:val="bullet"/>
      <w:lvlText w:val="•"/>
      <w:lvlJc w:val="left"/>
      <w:pPr>
        <w:tabs>
          <w:tab w:val="num" w:pos="1440"/>
        </w:tabs>
        <w:ind w:left="1440" w:hanging="360"/>
      </w:pPr>
      <w:rPr>
        <w:rFonts w:ascii="Arial" w:hAnsi="Arial" w:hint="default"/>
      </w:rPr>
    </w:lvl>
    <w:lvl w:ilvl="2" w:tplc="BBBED7C2" w:tentative="1">
      <w:start w:val="1"/>
      <w:numFmt w:val="bullet"/>
      <w:lvlText w:val="•"/>
      <w:lvlJc w:val="left"/>
      <w:pPr>
        <w:tabs>
          <w:tab w:val="num" w:pos="2160"/>
        </w:tabs>
        <w:ind w:left="2160" w:hanging="360"/>
      </w:pPr>
      <w:rPr>
        <w:rFonts w:ascii="Arial" w:hAnsi="Arial" w:hint="default"/>
      </w:rPr>
    </w:lvl>
    <w:lvl w:ilvl="3" w:tplc="C17C280C" w:tentative="1">
      <w:start w:val="1"/>
      <w:numFmt w:val="bullet"/>
      <w:lvlText w:val="•"/>
      <w:lvlJc w:val="left"/>
      <w:pPr>
        <w:tabs>
          <w:tab w:val="num" w:pos="2880"/>
        </w:tabs>
        <w:ind w:left="2880" w:hanging="360"/>
      </w:pPr>
      <w:rPr>
        <w:rFonts w:ascii="Arial" w:hAnsi="Arial" w:hint="default"/>
      </w:rPr>
    </w:lvl>
    <w:lvl w:ilvl="4" w:tplc="A454DC86" w:tentative="1">
      <w:start w:val="1"/>
      <w:numFmt w:val="bullet"/>
      <w:lvlText w:val="•"/>
      <w:lvlJc w:val="left"/>
      <w:pPr>
        <w:tabs>
          <w:tab w:val="num" w:pos="3600"/>
        </w:tabs>
        <w:ind w:left="3600" w:hanging="360"/>
      </w:pPr>
      <w:rPr>
        <w:rFonts w:ascii="Arial" w:hAnsi="Arial" w:hint="default"/>
      </w:rPr>
    </w:lvl>
    <w:lvl w:ilvl="5" w:tplc="914CBCEA" w:tentative="1">
      <w:start w:val="1"/>
      <w:numFmt w:val="bullet"/>
      <w:lvlText w:val="•"/>
      <w:lvlJc w:val="left"/>
      <w:pPr>
        <w:tabs>
          <w:tab w:val="num" w:pos="4320"/>
        </w:tabs>
        <w:ind w:left="4320" w:hanging="360"/>
      </w:pPr>
      <w:rPr>
        <w:rFonts w:ascii="Arial" w:hAnsi="Arial" w:hint="default"/>
      </w:rPr>
    </w:lvl>
    <w:lvl w:ilvl="6" w:tplc="021EACDE" w:tentative="1">
      <w:start w:val="1"/>
      <w:numFmt w:val="bullet"/>
      <w:lvlText w:val="•"/>
      <w:lvlJc w:val="left"/>
      <w:pPr>
        <w:tabs>
          <w:tab w:val="num" w:pos="5040"/>
        </w:tabs>
        <w:ind w:left="5040" w:hanging="360"/>
      </w:pPr>
      <w:rPr>
        <w:rFonts w:ascii="Arial" w:hAnsi="Arial" w:hint="default"/>
      </w:rPr>
    </w:lvl>
    <w:lvl w:ilvl="7" w:tplc="512A4844" w:tentative="1">
      <w:start w:val="1"/>
      <w:numFmt w:val="bullet"/>
      <w:lvlText w:val="•"/>
      <w:lvlJc w:val="left"/>
      <w:pPr>
        <w:tabs>
          <w:tab w:val="num" w:pos="5760"/>
        </w:tabs>
        <w:ind w:left="5760" w:hanging="360"/>
      </w:pPr>
      <w:rPr>
        <w:rFonts w:ascii="Arial" w:hAnsi="Arial" w:hint="default"/>
      </w:rPr>
    </w:lvl>
    <w:lvl w:ilvl="8" w:tplc="E09A14F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3F6292"/>
    <w:multiLevelType w:val="hybridMultilevel"/>
    <w:tmpl w:val="A40AA86E"/>
    <w:lvl w:ilvl="0" w:tplc="1152EEEA">
      <w:start w:val="1"/>
      <w:numFmt w:val="bullet"/>
      <w:lvlText w:val="&gt;"/>
      <w:lvlJc w:val="left"/>
      <w:pPr>
        <w:tabs>
          <w:tab w:val="num" w:pos="720"/>
        </w:tabs>
        <w:ind w:left="720" w:hanging="360"/>
      </w:pPr>
      <w:rPr>
        <w:rFonts w:ascii="Calibri" w:hAnsi="Calibri" w:hint="default"/>
      </w:rPr>
    </w:lvl>
    <w:lvl w:ilvl="1" w:tplc="1254A7E2" w:tentative="1">
      <w:start w:val="1"/>
      <w:numFmt w:val="bullet"/>
      <w:lvlText w:val="&gt;"/>
      <w:lvlJc w:val="left"/>
      <w:pPr>
        <w:tabs>
          <w:tab w:val="num" w:pos="1440"/>
        </w:tabs>
        <w:ind w:left="1440" w:hanging="360"/>
      </w:pPr>
      <w:rPr>
        <w:rFonts w:ascii="Calibri" w:hAnsi="Calibri" w:hint="default"/>
      </w:rPr>
    </w:lvl>
    <w:lvl w:ilvl="2" w:tplc="0C22D6DE" w:tentative="1">
      <w:start w:val="1"/>
      <w:numFmt w:val="bullet"/>
      <w:lvlText w:val="&gt;"/>
      <w:lvlJc w:val="left"/>
      <w:pPr>
        <w:tabs>
          <w:tab w:val="num" w:pos="2160"/>
        </w:tabs>
        <w:ind w:left="2160" w:hanging="360"/>
      </w:pPr>
      <w:rPr>
        <w:rFonts w:ascii="Calibri" w:hAnsi="Calibri" w:hint="default"/>
      </w:rPr>
    </w:lvl>
    <w:lvl w:ilvl="3" w:tplc="7AF0D2F2" w:tentative="1">
      <w:start w:val="1"/>
      <w:numFmt w:val="bullet"/>
      <w:lvlText w:val="&gt;"/>
      <w:lvlJc w:val="left"/>
      <w:pPr>
        <w:tabs>
          <w:tab w:val="num" w:pos="2880"/>
        </w:tabs>
        <w:ind w:left="2880" w:hanging="360"/>
      </w:pPr>
      <w:rPr>
        <w:rFonts w:ascii="Calibri" w:hAnsi="Calibri" w:hint="default"/>
      </w:rPr>
    </w:lvl>
    <w:lvl w:ilvl="4" w:tplc="0EB49046" w:tentative="1">
      <w:start w:val="1"/>
      <w:numFmt w:val="bullet"/>
      <w:lvlText w:val="&gt;"/>
      <w:lvlJc w:val="left"/>
      <w:pPr>
        <w:tabs>
          <w:tab w:val="num" w:pos="3600"/>
        </w:tabs>
        <w:ind w:left="3600" w:hanging="360"/>
      </w:pPr>
      <w:rPr>
        <w:rFonts w:ascii="Calibri" w:hAnsi="Calibri" w:hint="default"/>
      </w:rPr>
    </w:lvl>
    <w:lvl w:ilvl="5" w:tplc="5358A72A" w:tentative="1">
      <w:start w:val="1"/>
      <w:numFmt w:val="bullet"/>
      <w:lvlText w:val="&gt;"/>
      <w:lvlJc w:val="left"/>
      <w:pPr>
        <w:tabs>
          <w:tab w:val="num" w:pos="4320"/>
        </w:tabs>
        <w:ind w:left="4320" w:hanging="360"/>
      </w:pPr>
      <w:rPr>
        <w:rFonts w:ascii="Calibri" w:hAnsi="Calibri" w:hint="default"/>
      </w:rPr>
    </w:lvl>
    <w:lvl w:ilvl="6" w:tplc="A99A1FE6" w:tentative="1">
      <w:start w:val="1"/>
      <w:numFmt w:val="bullet"/>
      <w:lvlText w:val="&gt;"/>
      <w:lvlJc w:val="left"/>
      <w:pPr>
        <w:tabs>
          <w:tab w:val="num" w:pos="5040"/>
        </w:tabs>
        <w:ind w:left="5040" w:hanging="360"/>
      </w:pPr>
      <w:rPr>
        <w:rFonts w:ascii="Calibri" w:hAnsi="Calibri" w:hint="default"/>
      </w:rPr>
    </w:lvl>
    <w:lvl w:ilvl="7" w:tplc="2B98C554" w:tentative="1">
      <w:start w:val="1"/>
      <w:numFmt w:val="bullet"/>
      <w:lvlText w:val="&gt;"/>
      <w:lvlJc w:val="left"/>
      <w:pPr>
        <w:tabs>
          <w:tab w:val="num" w:pos="5760"/>
        </w:tabs>
        <w:ind w:left="5760" w:hanging="360"/>
      </w:pPr>
      <w:rPr>
        <w:rFonts w:ascii="Calibri" w:hAnsi="Calibri" w:hint="default"/>
      </w:rPr>
    </w:lvl>
    <w:lvl w:ilvl="8" w:tplc="DCB4688E" w:tentative="1">
      <w:start w:val="1"/>
      <w:numFmt w:val="bullet"/>
      <w:lvlText w:val="&gt;"/>
      <w:lvlJc w:val="left"/>
      <w:pPr>
        <w:tabs>
          <w:tab w:val="num" w:pos="6480"/>
        </w:tabs>
        <w:ind w:left="6480" w:hanging="360"/>
      </w:pPr>
      <w:rPr>
        <w:rFonts w:ascii="Calibri" w:hAnsi="Calibri" w:hint="default"/>
      </w:rPr>
    </w:lvl>
  </w:abstractNum>
  <w:abstractNum w:abstractNumId="24" w15:restartNumberingAfterBreak="0">
    <w:nsid w:val="4A427758"/>
    <w:multiLevelType w:val="hybridMultilevel"/>
    <w:tmpl w:val="72745E20"/>
    <w:lvl w:ilvl="0" w:tplc="55AAE8F6">
      <w:start w:val="1"/>
      <w:numFmt w:val="bullet"/>
      <w:lvlText w:val="&gt;"/>
      <w:lvlJc w:val="left"/>
      <w:pPr>
        <w:tabs>
          <w:tab w:val="num" w:pos="720"/>
        </w:tabs>
        <w:ind w:left="720" w:hanging="360"/>
      </w:pPr>
      <w:rPr>
        <w:rFonts w:ascii="Calibri" w:hAnsi="Calibri" w:hint="default"/>
      </w:rPr>
    </w:lvl>
    <w:lvl w:ilvl="1" w:tplc="C722DDDA" w:tentative="1">
      <w:start w:val="1"/>
      <w:numFmt w:val="bullet"/>
      <w:lvlText w:val="&gt;"/>
      <w:lvlJc w:val="left"/>
      <w:pPr>
        <w:tabs>
          <w:tab w:val="num" w:pos="1440"/>
        </w:tabs>
        <w:ind w:left="1440" w:hanging="360"/>
      </w:pPr>
      <w:rPr>
        <w:rFonts w:ascii="Calibri" w:hAnsi="Calibri" w:hint="default"/>
      </w:rPr>
    </w:lvl>
    <w:lvl w:ilvl="2" w:tplc="9DF43CD6" w:tentative="1">
      <w:start w:val="1"/>
      <w:numFmt w:val="bullet"/>
      <w:lvlText w:val="&gt;"/>
      <w:lvlJc w:val="left"/>
      <w:pPr>
        <w:tabs>
          <w:tab w:val="num" w:pos="2160"/>
        </w:tabs>
        <w:ind w:left="2160" w:hanging="360"/>
      </w:pPr>
      <w:rPr>
        <w:rFonts w:ascii="Calibri" w:hAnsi="Calibri" w:hint="default"/>
      </w:rPr>
    </w:lvl>
    <w:lvl w:ilvl="3" w:tplc="45AE8F7C" w:tentative="1">
      <w:start w:val="1"/>
      <w:numFmt w:val="bullet"/>
      <w:lvlText w:val="&gt;"/>
      <w:lvlJc w:val="left"/>
      <w:pPr>
        <w:tabs>
          <w:tab w:val="num" w:pos="2880"/>
        </w:tabs>
        <w:ind w:left="2880" w:hanging="360"/>
      </w:pPr>
      <w:rPr>
        <w:rFonts w:ascii="Calibri" w:hAnsi="Calibri" w:hint="default"/>
      </w:rPr>
    </w:lvl>
    <w:lvl w:ilvl="4" w:tplc="048A8A80" w:tentative="1">
      <w:start w:val="1"/>
      <w:numFmt w:val="bullet"/>
      <w:lvlText w:val="&gt;"/>
      <w:lvlJc w:val="left"/>
      <w:pPr>
        <w:tabs>
          <w:tab w:val="num" w:pos="3600"/>
        </w:tabs>
        <w:ind w:left="3600" w:hanging="360"/>
      </w:pPr>
      <w:rPr>
        <w:rFonts w:ascii="Calibri" w:hAnsi="Calibri" w:hint="default"/>
      </w:rPr>
    </w:lvl>
    <w:lvl w:ilvl="5" w:tplc="B7A48E00" w:tentative="1">
      <w:start w:val="1"/>
      <w:numFmt w:val="bullet"/>
      <w:lvlText w:val="&gt;"/>
      <w:lvlJc w:val="left"/>
      <w:pPr>
        <w:tabs>
          <w:tab w:val="num" w:pos="4320"/>
        </w:tabs>
        <w:ind w:left="4320" w:hanging="360"/>
      </w:pPr>
      <w:rPr>
        <w:rFonts w:ascii="Calibri" w:hAnsi="Calibri" w:hint="default"/>
      </w:rPr>
    </w:lvl>
    <w:lvl w:ilvl="6" w:tplc="20EC8946" w:tentative="1">
      <w:start w:val="1"/>
      <w:numFmt w:val="bullet"/>
      <w:lvlText w:val="&gt;"/>
      <w:lvlJc w:val="left"/>
      <w:pPr>
        <w:tabs>
          <w:tab w:val="num" w:pos="5040"/>
        </w:tabs>
        <w:ind w:left="5040" w:hanging="360"/>
      </w:pPr>
      <w:rPr>
        <w:rFonts w:ascii="Calibri" w:hAnsi="Calibri" w:hint="default"/>
      </w:rPr>
    </w:lvl>
    <w:lvl w:ilvl="7" w:tplc="A378A514" w:tentative="1">
      <w:start w:val="1"/>
      <w:numFmt w:val="bullet"/>
      <w:lvlText w:val="&gt;"/>
      <w:lvlJc w:val="left"/>
      <w:pPr>
        <w:tabs>
          <w:tab w:val="num" w:pos="5760"/>
        </w:tabs>
        <w:ind w:left="5760" w:hanging="360"/>
      </w:pPr>
      <w:rPr>
        <w:rFonts w:ascii="Calibri" w:hAnsi="Calibri" w:hint="default"/>
      </w:rPr>
    </w:lvl>
    <w:lvl w:ilvl="8" w:tplc="6E08B7D4" w:tentative="1">
      <w:start w:val="1"/>
      <w:numFmt w:val="bullet"/>
      <w:lvlText w:val="&gt;"/>
      <w:lvlJc w:val="left"/>
      <w:pPr>
        <w:tabs>
          <w:tab w:val="num" w:pos="6480"/>
        </w:tabs>
        <w:ind w:left="6480" w:hanging="360"/>
      </w:pPr>
      <w:rPr>
        <w:rFonts w:ascii="Calibri" w:hAnsi="Calibri" w:hint="default"/>
      </w:rPr>
    </w:lvl>
  </w:abstractNum>
  <w:abstractNum w:abstractNumId="25" w15:restartNumberingAfterBreak="0">
    <w:nsid w:val="4AF85D59"/>
    <w:multiLevelType w:val="hybridMultilevel"/>
    <w:tmpl w:val="E7900B4A"/>
    <w:lvl w:ilvl="0" w:tplc="74B4B7BA">
      <w:start w:val="1"/>
      <w:numFmt w:val="bullet"/>
      <w:lvlText w:val="&gt;"/>
      <w:lvlJc w:val="left"/>
      <w:pPr>
        <w:tabs>
          <w:tab w:val="num" w:pos="720"/>
        </w:tabs>
        <w:ind w:left="720" w:hanging="360"/>
      </w:pPr>
      <w:rPr>
        <w:rFonts w:ascii="Calibri" w:hAnsi="Calibri" w:hint="default"/>
      </w:rPr>
    </w:lvl>
    <w:lvl w:ilvl="1" w:tplc="C7EEAFE0" w:tentative="1">
      <w:start w:val="1"/>
      <w:numFmt w:val="bullet"/>
      <w:lvlText w:val="&gt;"/>
      <w:lvlJc w:val="left"/>
      <w:pPr>
        <w:tabs>
          <w:tab w:val="num" w:pos="1440"/>
        </w:tabs>
        <w:ind w:left="1440" w:hanging="360"/>
      </w:pPr>
      <w:rPr>
        <w:rFonts w:ascii="Calibri" w:hAnsi="Calibri" w:hint="default"/>
      </w:rPr>
    </w:lvl>
    <w:lvl w:ilvl="2" w:tplc="DAB4A646" w:tentative="1">
      <w:start w:val="1"/>
      <w:numFmt w:val="bullet"/>
      <w:lvlText w:val="&gt;"/>
      <w:lvlJc w:val="left"/>
      <w:pPr>
        <w:tabs>
          <w:tab w:val="num" w:pos="2160"/>
        </w:tabs>
        <w:ind w:left="2160" w:hanging="360"/>
      </w:pPr>
      <w:rPr>
        <w:rFonts w:ascii="Calibri" w:hAnsi="Calibri" w:hint="default"/>
      </w:rPr>
    </w:lvl>
    <w:lvl w:ilvl="3" w:tplc="526C561A" w:tentative="1">
      <w:start w:val="1"/>
      <w:numFmt w:val="bullet"/>
      <w:lvlText w:val="&gt;"/>
      <w:lvlJc w:val="left"/>
      <w:pPr>
        <w:tabs>
          <w:tab w:val="num" w:pos="2880"/>
        </w:tabs>
        <w:ind w:left="2880" w:hanging="360"/>
      </w:pPr>
      <w:rPr>
        <w:rFonts w:ascii="Calibri" w:hAnsi="Calibri" w:hint="default"/>
      </w:rPr>
    </w:lvl>
    <w:lvl w:ilvl="4" w:tplc="BC243DF4" w:tentative="1">
      <w:start w:val="1"/>
      <w:numFmt w:val="bullet"/>
      <w:lvlText w:val="&gt;"/>
      <w:lvlJc w:val="left"/>
      <w:pPr>
        <w:tabs>
          <w:tab w:val="num" w:pos="3600"/>
        </w:tabs>
        <w:ind w:left="3600" w:hanging="360"/>
      </w:pPr>
      <w:rPr>
        <w:rFonts w:ascii="Calibri" w:hAnsi="Calibri" w:hint="default"/>
      </w:rPr>
    </w:lvl>
    <w:lvl w:ilvl="5" w:tplc="30F20804" w:tentative="1">
      <w:start w:val="1"/>
      <w:numFmt w:val="bullet"/>
      <w:lvlText w:val="&gt;"/>
      <w:lvlJc w:val="left"/>
      <w:pPr>
        <w:tabs>
          <w:tab w:val="num" w:pos="4320"/>
        </w:tabs>
        <w:ind w:left="4320" w:hanging="360"/>
      </w:pPr>
      <w:rPr>
        <w:rFonts w:ascii="Calibri" w:hAnsi="Calibri" w:hint="default"/>
      </w:rPr>
    </w:lvl>
    <w:lvl w:ilvl="6" w:tplc="F378CAA0" w:tentative="1">
      <w:start w:val="1"/>
      <w:numFmt w:val="bullet"/>
      <w:lvlText w:val="&gt;"/>
      <w:lvlJc w:val="left"/>
      <w:pPr>
        <w:tabs>
          <w:tab w:val="num" w:pos="5040"/>
        </w:tabs>
        <w:ind w:left="5040" w:hanging="360"/>
      </w:pPr>
      <w:rPr>
        <w:rFonts w:ascii="Calibri" w:hAnsi="Calibri" w:hint="default"/>
      </w:rPr>
    </w:lvl>
    <w:lvl w:ilvl="7" w:tplc="D4541C68" w:tentative="1">
      <w:start w:val="1"/>
      <w:numFmt w:val="bullet"/>
      <w:lvlText w:val="&gt;"/>
      <w:lvlJc w:val="left"/>
      <w:pPr>
        <w:tabs>
          <w:tab w:val="num" w:pos="5760"/>
        </w:tabs>
        <w:ind w:left="5760" w:hanging="360"/>
      </w:pPr>
      <w:rPr>
        <w:rFonts w:ascii="Calibri" w:hAnsi="Calibri" w:hint="default"/>
      </w:rPr>
    </w:lvl>
    <w:lvl w:ilvl="8" w:tplc="324E3A18" w:tentative="1">
      <w:start w:val="1"/>
      <w:numFmt w:val="bullet"/>
      <w:lvlText w:val="&gt;"/>
      <w:lvlJc w:val="left"/>
      <w:pPr>
        <w:tabs>
          <w:tab w:val="num" w:pos="6480"/>
        </w:tabs>
        <w:ind w:left="6480" w:hanging="360"/>
      </w:pPr>
      <w:rPr>
        <w:rFonts w:ascii="Calibri" w:hAnsi="Calibri" w:hint="default"/>
      </w:rPr>
    </w:lvl>
  </w:abstractNum>
  <w:abstractNum w:abstractNumId="26" w15:restartNumberingAfterBreak="0">
    <w:nsid w:val="4C4B2389"/>
    <w:multiLevelType w:val="hybridMultilevel"/>
    <w:tmpl w:val="CEC4EA4A"/>
    <w:lvl w:ilvl="0" w:tplc="A12E05F8">
      <w:start w:val="1"/>
      <w:numFmt w:val="bullet"/>
      <w:pStyle w:val="Bullet20"/>
      <w:lvlText w:val="-"/>
      <w:lvlJc w:val="left"/>
      <w:pPr>
        <w:ind w:left="1400" w:hanging="360"/>
      </w:pPr>
      <w:rPr>
        <w:rFonts w:ascii="Calibri" w:hAnsi="Calibri" w:hint="default"/>
        <w:color w:val="003569" w:themeColor="accent6"/>
      </w:rPr>
    </w:lvl>
    <w:lvl w:ilvl="1" w:tplc="08090003">
      <w:start w:val="1"/>
      <w:numFmt w:val="bullet"/>
      <w:lvlText w:val="o"/>
      <w:lvlJc w:val="left"/>
      <w:pPr>
        <w:ind w:left="2120" w:hanging="360"/>
      </w:pPr>
      <w:rPr>
        <w:rFonts w:ascii="Courier New" w:hAnsi="Courier New" w:cs="Courier New" w:hint="default"/>
      </w:rPr>
    </w:lvl>
    <w:lvl w:ilvl="2" w:tplc="8648DBB4">
      <w:start w:val="1"/>
      <w:numFmt w:val="bullet"/>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7" w15:restartNumberingAfterBreak="0">
    <w:nsid w:val="4C6F7E89"/>
    <w:multiLevelType w:val="hybridMultilevel"/>
    <w:tmpl w:val="3B72D48A"/>
    <w:lvl w:ilvl="0" w:tplc="34D40D1A">
      <w:start w:val="1"/>
      <w:numFmt w:val="bullet"/>
      <w:lvlText w:val="−"/>
      <w:lvlJc w:val="left"/>
      <w:pPr>
        <w:tabs>
          <w:tab w:val="num" w:pos="720"/>
        </w:tabs>
        <w:ind w:left="720" w:hanging="360"/>
      </w:pPr>
      <w:rPr>
        <w:rFonts w:ascii="Calibri" w:hAnsi="Calibri" w:hint="default"/>
      </w:rPr>
    </w:lvl>
    <w:lvl w:ilvl="1" w:tplc="FE603C10">
      <w:start w:val="1"/>
      <w:numFmt w:val="bullet"/>
      <w:lvlText w:val="−"/>
      <w:lvlJc w:val="left"/>
      <w:pPr>
        <w:tabs>
          <w:tab w:val="num" w:pos="1440"/>
        </w:tabs>
        <w:ind w:left="1440" w:hanging="360"/>
      </w:pPr>
      <w:rPr>
        <w:rFonts w:ascii="Calibri" w:hAnsi="Calibri" w:hint="default"/>
      </w:rPr>
    </w:lvl>
    <w:lvl w:ilvl="2" w:tplc="AE186890" w:tentative="1">
      <w:start w:val="1"/>
      <w:numFmt w:val="bullet"/>
      <w:lvlText w:val="−"/>
      <w:lvlJc w:val="left"/>
      <w:pPr>
        <w:tabs>
          <w:tab w:val="num" w:pos="2160"/>
        </w:tabs>
        <w:ind w:left="2160" w:hanging="360"/>
      </w:pPr>
      <w:rPr>
        <w:rFonts w:ascii="Calibri" w:hAnsi="Calibri" w:hint="default"/>
      </w:rPr>
    </w:lvl>
    <w:lvl w:ilvl="3" w:tplc="CC30DC36" w:tentative="1">
      <w:start w:val="1"/>
      <w:numFmt w:val="bullet"/>
      <w:lvlText w:val="−"/>
      <w:lvlJc w:val="left"/>
      <w:pPr>
        <w:tabs>
          <w:tab w:val="num" w:pos="2880"/>
        </w:tabs>
        <w:ind w:left="2880" w:hanging="360"/>
      </w:pPr>
      <w:rPr>
        <w:rFonts w:ascii="Calibri" w:hAnsi="Calibri" w:hint="default"/>
      </w:rPr>
    </w:lvl>
    <w:lvl w:ilvl="4" w:tplc="B6F8D460" w:tentative="1">
      <w:start w:val="1"/>
      <w:numFmt w:val="bullet"/>
      <w:lvlText w:val="−"/>
      <w:lvlJc w:val="left"/>
      <w:pPr>
        <w:tabs>
          <w:tab w:val="num" w:pos="3600"/>
        </w:tabs>
        <w:ind w:left="3600" w:hanging="360"/>
      </w:pPr>
      <w:rPr>
        <w:rFonts w:ascii="Calibri" w:hAnsi="Calibri" w:hint="default"/>
      </w:rPr>
    </w:lvl>
    <w:lvl w:ilvl="5" w:tplc="EB08339C" w:tentative="1">
      <w:start w:val="1"/>
      <w:numFmt w:val="bullet"/>
      <w:lvlText w:val="−"/>
      <w:lvlJc w:val="left"/>
      <w:pPr>
        <w:tabs>
          <w:tab w:val="num" w:pos="4320"/>
        </w:tabs>
        <w:ind w:left="4320" w:hanging="360"/>
      </w:pPr>
      <w:rPr>
        <w:rFonts w:ascii="Calibri" w:hAnsi="Calibri" w:hint="default"/>
      </w:rPr>
    </w:lvl>
    <w:lvl w:ilvl="6" w:tplc="3C5028CA" w:tentative="1">
      <w:start w:val="1"/>
      <w:numFmt w:val="bullet"/>
      <w:lvlText w:val="−"/>
      <w:lvlJc w:val="left"/>
      <w:pPr>
        <w:tabs>
          <w:tab w:val="num" w:pos="5040"/>
        </w:tabs>
        <w:ind w:left="5040" w:hanging="360"/>
      </w:pPr>
      <w:rPr>
        <w:rFonts w:ascii="Calibri" w:hAnsi="Calibri" w:hint="default"/>
      </w:rPr>
    </w:lvl>
    <w:lvl w:ilvl="7" w:tplc="5106BA6A" w:tentative="1">
      <w:start w:val="1"/>
      <w:numFmt w:val="bullet"/>
      <w:lvlText w:val="−"/>
      <w:lvlJc w:val="left"/>
      <w:pPr>
        <w:tabs>
          <w:tab w:val="num" w:pos="5760"/>
        </w:tabs>
        <w:ind w:left="5760" w:hanging="360"/>
      </w:pPr>
      <w:rPr>
        <w:rFonts w:ascii="Calibri" w:hAnsi="Calibri" w:hint="default"/>
      </w:rPr>
    </w:lvl>
    <w:lvl w:ilvl="8" w:tplc="F7A06F3C"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4E32091B"/>
    <w:multiLevelType w:val="hybridMultilevel"/>
    <w:tmpl w:val="026A1FBE"/>
    <w:lvl w:ilvl="0" w:tplc="00924044">
      <w:start w:val="1"/>
      <w:numFmt w:val="bullet"/>
      <w:lvlText w:val="&gt;"/>
      <w:lvlJc w:val="left"/>
      <w:pPr>
        <w:tabs>
          <w:tab w:val="num" w:pos="720"/>
        </w:tabs>
        <w:ind w:left="720" w:hanging="360"/>
      </w:pPr>
      <w:rPr>
        <w:rFonts w:ascii="Calibri" w:hAnsi="Calibri" w:hint="default"/>
      </w:rPr>
    </w:lvl>
    <w:lvl w:ilvl="1" w:tplc="F2ECE360">
      <w:numFmt w:val="bullet"/>
      <w:lvlText w:val="−"/>
      <w:lvlJc w:val="left"/>
      <w:pPr>
        <w:tabs>
          <w:tab w:val="num" w:pos="1440"/>
        </w:tabs>
        <w:ind w:left="1440" w:hanging="360"/>
      </w:pPr>
      <w:rPr>
        <w:rFonts w:ascii="Calibri" w:hAnsi="Calibri" w:hint="default"/>
      </w:rPr>
    </w:lvl>
    <w:lvl w:ilvl="2" w:tplc="7F36A388" w:tentative="1">
      <w:start w:val="1"/>
      <w:numFmt w:val="bullet"/>
      <w:lvlText w:val="&gt;"/>
      <w:lvlJc w:val="left"/>
      <w:pPr>
        <w:tabs>
          <w:tab w:val="num" w:pos="2160"/>
        </w:tabs>
        <w:ind w:left="2160" w:hanging="360"/>
      </w:pPr>
      <w:rPr>
        <w:rFonts w:ascii="Calibri" w:hAnsi="Calibri" w:hint="default"/>
      </w:rPr>
    </w:lvl>
    <w:lvl w:ilvl="3" w:tplc="07F24DAE" w:tentative="1">
      <w:start w:val="1"/>
      <w:numFmt w:val="bullet"/>
      <w:lvlText w:val="&gt;"/>
      <w:lvlJc w:val="left"/>
      <w:pPr>
        <w:tabs>
          <w:tab w:val="num" w:pos="2880"/>
        </w:tabs>
        <w:ind w:left="2880" w:hanging="360"/>
      </w:pPr>
      <w:rPr>
        <w:rFonts w:ascii="Calibri" w:hAnsi="Calibri" w:hint="default"/>
      </w:rPr>
    </w:lvl>
    <w:lvl w:ilvl="4" w:tplc="6F3CEFFA" w:tentative="1">
      <w:start w:val="1"/>
      <w:numFmt w:val="bullet"/>
      <w:lvlText w:val="&gt;"/>
      <w:lvlJc w:val="left"/>
      <w:pPr>
        <w:tabs>
          <w:tab w:val="num" w:pos="3600"/>
        </w:tabs>
        <w:ind w:left="3600" w:hanging="360"/>
      </w:pPr>
      <w:rPr>
        <w:rFonts w:ascii="Calibri" w:hAnsi="Calibri" w:hint="default"/>
      </w:rPr>
    </w:lvl>
    <w:lvl w:ilvl="5" w:tplc="FE92B394" w:tentative="1">
      <w:start w:val="1"/>
      <w:numFmt w:val="bullet"/>
      <w:lvlText w:val="&gt;"/>
      <w:lvlJc w:val="left"/>
      <w:pPr>
        <w:tabs>
          <w:tab w:val="num" w:pos="4320"/>
        </w:tabs>
        <w:ind w:left="4320" w:hanging="360"/>
      </w:pPr>
      <w:rPr>
        <w:rFonts w:ascii="Calibri" w:hAnsi="Calibri" w:hint="default"/>
      </w:rPr>
    </w:lvl>
    <w:lvl w:ilvl="6" w:tplc="C5AE5982" w:tentative="1">
      <w:start w:val="1"/>
      <w:numFmt w:val="bullet"/>
      <w:lvlText w:val="&gt;"/>
      <w:lvlJc w:val="left"/>
      <w:pPr>
        <w:tabs>
          <w:tab w:val="num" w:pos="5040"/>
        </w:tabs>
        <w:ind w:left="5040" w:hanging="360"/>
      </w:pPr>
      <w:rPr>
        <w:rFonts w:ascii="Calibri" w:hAnsi="Calibri" w:hint="default"/>
      </w:rPr>
    </w:lvl>
    <w:lvl w:ilvl="7" w:tplc="425076B6" w:tentative="1">
      <w:start w:val="1"/>
      <w:numFmt w:val="bullet"/>
      <w:lvlText w:val="&gt;"/>
      <w:lvlJc w:val="left"/>
      <w:pPr>
        <w:tabs>
          <w:tab w:val="num" w:pos="5760"/>
        </w:tabs>
        <w:ind w:left="5760" w:hanging="360"/>
      </w:pPr>
      <w:rPr>
        <w:rFonts w:ascii="Calibri" w:hAnsi="Calibri" w:hint="default"/>
      </w:rPr>
    </w:lvl>
    <w:lvl w:ilvl="8" w:tplc="81D40460" w:tentative="1">
      <w:start w:val="1"/>
      <w:numFmt w:val="bullet"/>
      <w:lvlText w:val="&gt;"/>
      <w:lvlJc w:val="left"/>
      <w:pPr>
        <w:tabs>
          <w:tab w:val="num" w:pos="6480"/>
        </w:tabs>
        <w:ind w:left="6480" w:hanging="360"/>
      </w:pPr>
      <w:rPr>
        <w:rFonts w:ascii="Calibri" w:hAnsi="Calibri" w:hint="default"/>
      </w:rPr>
    </w:lvl>
  </w:abstractNum>
  <w:abstractNum w:abstractNumId="29" w15:restartNumberingAfterBreak="0">
    <w:nsid w:val="523D2C84"/>
    <w:multiLevelType w:val="hybridMultilevel"/>
    <w:tmpl w:val="0A3E2A78"/>
    <w:lvl w:ilvl="0" w:tplc="9DD0CBC8">
      <w:start w:val="1"/>
      <w:numFmt w:val="bullet"/>
      <w:lvlText w:val="•"/>
      <w:lvlJc w:val="left"/>
      <w:pPr>
        <w:tabs>
          <w:tab w:val="num" w:pos="720"/>
        </w:tabs>
        <w:ind w:left="720" w:hanging="360"/>
      </w:pPr>
      <w:rPr>
        <w:rFonts w:ascii="Arial" w:hAnsi="Arial" w:hint="default"/>
      </w:rPr>
    </w:lvl>
    <w:lvl w:ilvl="1" w:tplc="711E1352" w:tentative="1">
      <w:start w:val="1"/>
      <w:numFmt w:val="bullet"/>
      <w:lvlText w:val="•"/>
      <w:lvlJc w:val="left"/>
      <w:pPr>
        <w:tabs>
          <w:tab w:val="num" w:pos="1440"/>
        </w:tabs>
        <w:ind w:left="1440" w:hanging="360"/>
      </w:pPr>
      <w:rPr>
        <w:rFonts w:ascii="Arial" w:hAnsi="Arial" w:hint="default"/>
      </w:rPr>
    </w:lvl>
    <w:lvl w:ilvl="2" w:tplc="A23445E0" w:tentative="1">
      <w:start w:val="1"/>
      <w:numFmt w:val="bullet"/>
      <w:lvlText w:val="•"/>
      <w:lvlJc w:val="left"/>
      <w:pPr>
        <w:tabs>
          <w:tab w:val="num" w:pos="2160"/>
        </w:tabs>
        <w:ind w:left="2160" w:hanging="360"/>
      </w:pPr>
      <w:rPr>
        <w:rFonts w:ascii="Arial" w:hAnsi="Arial" w:hint="default"/>
      </w:rPr>
    </w:lvl>
    <w:lvl w:ilvl="3" w:tplc="2B18C6FC" w:tentative="1">
      <w:start w:val="1"/>
      <w:numFmt w:val="bullet"/>
      <w:lvlText w:val="•"/>
      <w:lvlJc w:val="left"/>
      <w:pPr>
        <w:tabs>
          <w:tab w:val="num" w:pos="2880"/>
        </w:tabs>
        <w:ind w:left="2880" w:hanging="360"/>
      </w:pPr>
      <w:rPr>
        <w:rFonts w:ascii="Arial" w:hAnsi="Arial" w:hint="default"/>
      </w:rPr>
    </w:lvl>
    <w:lvl w:ilvl="4" w:tplc="60FABADE" w:tentative="1">
      <w:start w:val="1"/>
      <w:numFmt w:val="bullet"/>
      <w:lvlText w:val="•"/>
      <w:lvlJc w:val="left"/>
      <w:pPr>
        <w:tabs>
          <w:tab w:val="num" w:pos="3600"/>
        </w:tabs>
        <w:ind w:left="3600" w:hanging="360"/>
      </w:pPr>
      <w:rPr>
        <w:rFonts w:ascii="Arial" w:hAnsi="Arial" w:hint="default"/>
      </w:rPr>
    </w:lvl>
    <w:lvl w:ilvl="5" w:tplc="593CB426" w:tentative="1">
      <w:start w:val="1"/>
      <w:numFmt w:val="bullet"/>
      <w:lvlText w:val="•"/>
      <w:lvlJc w:val="left"/>
      <w:pPr>
        <w:tabs>
          <w:tab w:val="num" w:pos="4320"/>
        </w:tabs>
        <w:ind w:left="4320" w:hanging="360"/>
      </w:pPr>
      <w:rPr>
        <w:rFonts w:ascii="Arial" w:hAnsi="Arial" w:hint="default"/>
      </w:rPr>
    </w:lvl>
    <w:lvl w:ilvl="6" w:tplc="9A367894" w:tentative="1">
      <w:start w:val="1"/>
      <w:numFmt w:val="bullet"/>
      <w:lvlText w:val="•"/>
      <w:lvlJc w:val="left"/>
      <w:pPr>
        <w:tabs>
          <w:tab w:val="num" w:pos="5040"/>
        </w:tabs>
        <w:ind w:left="5040" w:hanging="360"/>
      </w:pPr>
      <w:rPr>
        <w:rFonts w:ascii="Arial" w:hAnsi="Arial" w:hint="default"/>
      </w:rPr>
    </w:lvl>
    <w:lvl w:ilvl="7" w:tplc="602E5F7C" w:tentative="1">
      <w:start w:val="1"/>
      <w:numFmt w:val="bullet"/>
      <w:lvlText w:val="•"/>
      <w:lvlJc w:val="left"/>
      <w:pPr>
        <w:tabs>
          <w:tab w:val="num" w:pos="5760"/>
        </w:tabs>
        <w:ind w:left="5760" w:hanging="360"/>
      </w:pPr>
      <w:rPr>
        <w:rFonts w:ascii="Arial" w:hAnsi="Arial" w:hint="default"/>
      </w:rPr>
    </w:lvl>
    <w:lvl w:ilvl="8" w:tplc="968293C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4B027C1"/>
    <w:multiLevelType w:val="hybridMultilevel"/>
    <w:tmpl w:val="8BCA3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7D6F34"/>
    <w:multiLevelType w:val="hybridMultilevel"/>
    <w:tmpl w:val="0024A1A8"/>
    <w:lvl w:ilvl="0" w:tplc="58788DDC">
      <w:start w:val="1"/>
      <w:numFmt w:val="bullet"/>
      <w:lvlText w:val="•"/>
      <w:lvlJc w:val="left"/>
      <w:pPr>
        <w:tabs>
          <w:tab w:val="num" w:pos="360"/>
        </w:tabs>
        <w:ind w:left="360" w:hanging="360"/>
      </w:pPr>
      <w:rPr>
        <w:rFonts w:ascii="Arial" w:hAnsi="Arial" w:hint="default"/>
      </w:rPr>
    </w:lvl>
    <w:lvl w:ilvl="1" w:tplc="A3022F02" w:tentative="1">
      <w:start w:val="1"/>
      <w:numFmt w:val="bullet"/>
      <w:lvlText w:val="•"/>
      <w:lvlJc w:val="left"/>
      <w:pPr>
        <w:tabs>
          <w:tab w:val="num" w:pos="1080"/>
        </w:tabs>
        <w:ind w:left="1080" w:hanging="360"/>
      </w:pPr>
      <w:rPr>
        <w:rFonts w:ascii="Arial" w:hAnsi="Arial" w:hint="default"/>
      </w:rPr>
    </w:lvl>
    <w:lvl w:ilvl="2" w:tplc="C8700844" w:tentative="1">
      <w:start w:val="1"/>
      <w:numFmt w:val="bullet"/>
      <w:lvlText w:val="•"/>
      <w:lvlJc w:val="left"/>
      <w:pPr>
        <w:tabs>
          <w:tab w:val="num" w:pos="1800"/>
        </w:tabs>
        <w:ind w:left="1800" w:hanging="360"/>
      </w:pPr>
      <w:rPr>
        <w:rFonts w:ascii="Arial" w:hAnsi="Arial" w:hint="default"/>
      </w:rPr>
    </w:lvl>
    <w:lvl w:ilvl="3" w:tplc="52701862" w:tentative="1">
      <w:start w:val="1"/>
      <w:numFmt w:val="bullet"/>
      <w:lvlText w:val="•"/>
      <w:lvlJc w:val="left"/>
      <w:pPr>
        <w:tabs>
          <w:tab w:val="num" w:pos="2520"/>
        </w:tabs>
        <w:ind w:left="2520" w:hanging="360"/>
      </w:pPr>
      <w:rPr>
        <w:rFonts w:ascii="Arial" w:hAnsi="Arial" w:hint="default"/>
      </w:rPr>
    </w:lvl>
    <w:lvl w:ilvl="4" w:tplc="CC743096" w:tentative="1">
      <w:start w:val="1"/>
      <w:numFmt w:val="bullet"/>
      <w:lvlText w:val="•"/>
      <w:lvlJc w:val="left"/>
      <w:pPr>
        <w:tabs>
          <w:tab w:val="num" w:pos="3240"/>
        </w:tabs>
        <w:ind w:left="3240" w:hanging="360"/>
      </w:pPr>
      <w:rPr>
        <w:rFonts w:ascii="Arial" w:hAnsi="Arial" w:hint="default"/>
      </w:rPr>
    </w:lvl>
    <w:lvl w:ilvl="5" w:tplc="4D728A82" w:tentative="1">
      <w:start w:val="1"/>
      <w:numFmt w:val="bullet"/>
      <w:lvlText w:val="•"/>
      <w:lvlJc w:val="left"/>
      <w:pPr>
        <w:tabs>
          <w:tab w:val="num" w:pos="3960"/>
        </w:tabs>
        <w:ind w:left="3960" w:hanging="360"/>
      </w:pPr>
      <w:rPr>
        <w:rFonts w:ascii="Arial" w:hAnsi="Arial" w:hint="default"/>
      </w:rPr>
    </w:lvl>
    <w:lvl w:ilvl="6" w:tplc="1E10BAA6" w:tentative="1">
      <w:start w:val="1"/>
      <w:numFmt w:val="bullet"/>
      <w:lvlText w:val="•"/>
      <w:lvlJc w:val="left"/>
      <w:pPr>
        <w:tabs>
          <w:tab w:val="num" w:pos="4680"/>
        </w:tabs>
        <w:ind w:left="4680" w:hanging="360"/>
      </w:pPr>
      <w:rPr>
        <w:rFonts w:ascii="Arial" w:hAnsi="Arial" w:hint="default"/>
      </w:rPr>
    </w:lvl>
    <w:lvl w:ilvl="7" w:tplc="FC0CF270" w:tentative="1">
      <w:start w:val="1"/>
      <w:numFmt w:val="bullet"/>
      <w:lvlText w:val="•"/>
      <w:lvlJc w:val="left"/>
      <w:pPr>
        <w:tabs>
          <w:tab w:val="num" w:pos="5400"/>
        </w:tabs>
        <w:ind w:left="5400" w:hanging="360"/>
      </w:pPr>
      <w:rPr>
        <w:rFonts w:ascii="Arial" w:hAnsi="Arial" w:hint="default"/>
      </w:rPr>
    </w:lvl>
    <w:lvl w:ilvl="8" w:tplc="47608472"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593B07F1"/>
    <w:multiLevelType w:val="hybridMultilevel"/>
    <w:tmpl w:val="9DE00240"/>
    <w:lvl w:ilvl="0" w:tplc="8DC8DDDE">
      <w:start w:val="1"/>
      <w:numFmt w:val="bullet"/>
      <w:lvlText w:val=""/>
      <w:lvlJc w:val="left"/>
      <w:pPr>
        <w:ind w:left="720" w:hanging="360"/>
      </w:pPr>
      <w:rPr>
        <w:rFonts w:ascii="Symbol" w:hAnsi="Symbol" w:hint="default"/>
        <w:color w:val="003569"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B5208B"/>
    <w:multiLevelType w:val="hybridMultilevel"/>
    <w:tmpl w:val="6B16852E"/>
    <w:lvl w:ilvl="0" w:tplc="95963EF8">
      <w:start w:val="1"/>
      <w:numFmt w:val="bullet"/>
      <w:lvlText w:val="&gt;"/>
      <w:lvlJc w:val="left"/>
      <w:pPr>
        <w:tabs>
          <w:tab w:val="num" w:pos="720"/>
        </w:tabs>
        <w:ind w:left="720" w:hanging="360"/>
      </w:pPr>
      <w:rPr>
        <w:rFonts w:ascii="Calibri" w:hAnsi="Calibri" w:hint="default"/>
      </w:rPr>
    </w:lvl>
    <w:lvl w:ilvl="1" w:tplc="0CF8F072">
      <w:numFmt w:val="bullet"/>
      <w:lvlText w:val="−"/>
      <w:lvlJc w:val="left"/>
      <w:pPr>
        <w:tabs>
          <w:tab w:val="num" w:pos="1440"/>
        </w:tabs>
        <w:ind w:left="1440" w:hanging="360"/>
      </w:pPr>
      <w:rPr>
        <w:rFonts w:ascii="Calibri" w:hAnsi="Calibri" w:hint="default"/>
      </w:rPr>
    </w:lvl>
    <w:lvl w:ilvl="2" w:tplc="E0FA7FE4" w:tentative="1">
      <w:start w:val="1"/>
      <w:numFmt w:val="bullet"/>
      <w:lvlText w:val="&gt;"/>
      <w:lvlJc w:val="left"/>
      <w:pPr>
        <w:tabs>
          <w:tab w:val="num" w:pos="2160"/>
        </w:tabs>
        <w:ind w:left="2160" w:hanging="360"/>
      </w:pPr>
      <w:rPr>
        <w:rFonts w:ascii="Calibri" w:hAnsi="Calibri" w:hint="default"/>
      </w:rPr>
    </w:lvl>
    <w:lvl w:ilvl="3" w:tplc="E5CAF2A6" w:tentative="1">
      <w:start w:val="1"/>
      <w:numFmt w:val="bullet"/>
      <w:lvlText w:val="&gt;"/>
      <w:lvlJc w:val="left"/>
      <w:pPr>
        <w:tabs>
          <w:tab w:val="num" w:pos="2880"/>
        </w:tabs>
        <w:ind w:left="2880" w:hanging="360"/>
      </w:pPr>
      <w:rPr>
        <w:rFonts w:ascii="Calibri" w:hAnsi="Calibri" w:hint="default"/>
      </w:rPr>
    </w:lvl>
    <w:lvl w:ilvl="4" w:tplc="4A9837EC" w:tentative="1">
      <w:start w:val="1"/>
      <w:numFmt w:val="bullet"/>
      <w:lvlText w:val="&gt;"/>
      <w:lvlJc w:val="left"/>
      <w:pPr>
        <w:tabs>
          <w:tab w:val="num" w:pos="3600"/>
        </w:tabs>
        <w:ind w:left="3600" w:hanging="360"/>
      </w:pPr>
      <w:rPr>
        <w:rFonts w:ascii="Calibri" w:hAnsi="Calibri" w:hint="default"/>
      </w:rPr>
    </w:lvl>
    <w:lvl w:ilvl="5" w:tplc="E0CC8894" w:tentative="1">
      <w:start w:val="1"/>
      <w:numFmt w:val="bullet"/>
      <w:lvlText w:val="&gt;"/>
      <w:lvlJc w:val="left"/>
      <w:pPr>
        <w:tabs>
          <w:tab w:val="num" w:pos="4320"/>
        </w:tabs>
        <w:ind w:left="4320" w:hanging="360"/>
      </w:pPr>
      <w:rPr>
        <w:rFonts w:ascii="Calibri" w:hAnsi="Calibri" w:hint="default"/>
      </w:rPr>
    </w:lvl>
    <w:lvl w:ilvl="6" w:tplc="FDF89C56" w:tentative="1">
      <w:start w:val="1"/>
      <w:numFmt w:val="bullet"/>
      <w:lvlText w:val="&gt;"/>
      <w:lvlJc w:val="left"/>
      <w:pPr>
        <w:tabs>
          <w:tab w:val="num" w:pos="5040"/>
        </w:tabs>
        <w:ind w:left="5040" w:hanging="360"/>
      </w:pPr>
      <w:rPr>
        <w:rFonts w:ascii="Calibri" w:hAnsi="Calibri" w:hint="default"/>
      </w:rPr>
    </w:lvl>
    <w:lvl w:ilvl="7" w:tplc="2038593C" w:tentative="1">
      <w:start w:val="1"/>
      <w:numFmt w:val="bullet"/>
      <w:lvlText w:val="&gt;"/>
      <w:lvlJc w:val="left"/>
      <w:pPr>
        <w:tabs>
          <w:tab w:val="num" w:pos="5760"/>
        </w:tabs>
        <w:ind w:left="5760" w:hanging="360"/>
      </w:pPr>
      <w:rPr>
        <w:rFonts w:ascii="Calibri" w:hAnsi="Calibri" w:hint="default"/>
      </w:rPr>
    </w:lvl>
    <w:lvl w:ilvl="8" w:tplc="E08E337C" w:tentative="1">
      <w:start w:val="1"/>
      <w:numFmt w:val="bullet"/>
      <w:lvlText w:val="&gt;"/>
      <w:lvlJc w:val="left"/>
      <w:pPr>
        <w:tabs>
          <w:tab w:val="num" w:pos="6480"/>
        </w:tabs>
        <w:ind w:left="6480" w:hanging="360"/>
      </w:pPr>
      <w:rPr>
        <w:rFonts w:ascii="Calibri" w:hAnsi="Calibri" w:hint="default"/>
      </w:rPr>
    </w:lvl>
  </w:abstractNum>
  <w:abstractNum w:abstractNumId="34" w15:restartNumberingAfterBreak="0">
    <w:nsid w:val="5DDF00A7"/>
    <w:multiLevelType w:val="hybridMultilevel"/>
    <w:tmpl w:val="83D28ABC"/>
    <w:lvl w:ilvl="0" w:tplc="D126215E">
      <w:start w:val="1"/>
      <w:numFmt w:val="bullet"/>
      <w:lvlText w:val="&gt;"/>
      <w:lvlJc w:val="left"/>
      <w:pPr>
        <w:tabs>
          <w:tab w:val="num" w:pos="720"/>
        </w:tabs>
        <w:ind w:left="720" w:hanging="360"/>
      </w:pPr>
      <w:rPr>
        <w:rFonts w:ascii="Calibri" w:hAnsi="Calibri" w:hint="default"/>
      </w:rPr>
    </w:lvl>
    <w:lvl w:ilvl="1" w:tplc="59BABB4C" w:tentative="1">
      <w:start w:val="1"/>
      <w:numFmt w:val="bullet"/>
      <w:lvlText w:val="&gt;"/>
      <w:lvlJc w:val="left"/>
      <w:pPr>
        <w:tabs>
          <w:tab w:val="num" w:pos="1440"/>
        </w:tabs>
        <w:ind w:left="1440" w:hanging="360"/>
      </w:pPr>
      <w:rPr>
        <w:rFonts w:ascii="Calibri" w:hAnsi="Calibri" w:hint="default"/>
      </w:rPr>
    </w:lvl>
    <w:lvl w:ilvl="2" w:tplc="CFAA5F22" w:tentative="1">
      <w:start w:val="1"/>
      <w:numFmt w:val="bullet"/>
      <w:lvlText w:val="&gt;"/>
      <w:lvlJc w:val="left"/>
      <w:pPr>
        <w:tabs>
          <w:tab w:val="num" w:pos="2160"/>
        </w:tabs>
        <w:ind w:left="2160" w:hanging="360"/>
      </w:pPr>
      <w:rPr>
        <w:rFonts w:ascii="Calibri" w:hAnsi="Calibri" w:hint="default"/>
      </w:rPr>
    </w:lvl>
    <w:lvl w:ilvl="3" w:tplc="37505782" w:tentative="1">
      <w:start w:val="1"/>
      <w:numFmt w:val="bullet"/>
      <w:lvlText w:val="&gt;"/>
      <w:lvlJc w:val="left"/>
      <w:pPr>
        <w:tabs>
          <w:tab w:val="num" w:pos="2880"/>
        </w:tabs>
        <w:ind w:left="2880" w:hanging="360"/>
      </w:pPr>
      <w:rPr>
        <w:rFonts w:ascii="Calibri" w:hAnsi="Calibri" w:hint="default"/>
      </w:rPr>
    </w:lvl>
    <w:lvl w:ilvl="4" w:tplc="91D07E7A" w:tentative="1">
      <w:start w:val="1"/>
      <w:numFmt w:val="bullet"/>
      <w:lvlText w:val="&gt;"/>
      <w:lvlJc w:val="left"/>
      <w:pPr>
        <w:tabs>
          <w:tab w:val="num" w:pos="3600"/>
        </w:tabs>
        <w:ind w:left="3600" w:hanging="360"/>
      </w:pPr>
      <w:rPr>
        <w:rFonts w:ascii="Calibri" w:hAnsi="Calibri" w:hint="default"/>
      </w:rPr>
    </w:lvl>
    <w:lvl w:ilvl="5" w:tplc="72140078" w:tentative="1">
      <w:start w:val="1"/>
      <w:numFmt w:val="bullet"/>
      <w:lvlText w:val="&gt;"/>
      <w:lvlJc w:val="left"/>
      <w:pPr>
        <w:tabs>
          <w:tab w:val="num" w:pos="4320"/>
        </w:tabs>
        <w:ind w:left="4320" w:hanging="360"/>
      </w:pPr>
      <w:rPr>
        <w:rFonts w:ascii="Calibri" w:hAnsi="Calibri" w:hint="default"/>
      </w:rPr>
    </w:lvl>
    <w:lvl w:ilvl="6" w:tplc="7B7A9B4C" w:tentative="1">
      <w:start w:val="1"/>
      <w:numFmt w:val="bullet"/>
      <w:lvlText w:val="&gt;"/>
      <w:lvlJc w:val="left"/>
      <w:pPr>
        <w:tabs>
          <w:tab w:val="num" w:pos="5040"/>
        </w:tabs>
        <w:ind w:left="5040" w:hanging="360"/>
      </w:pPr>
      <w:rPr>
        <w:rFonts w:ascii="Calibri" w:hAnsi="Calibri" w:hint="default"/>
      </w:rPr>
    </w:lvl>
    <w:lvl w:ilvl="7" w:tplc="29422122" w:tentative="1">
      <w:start w:val="1"/>
      <w:numFmt w:val="bullet"/>
      <w:lvlText w:val="&gt;"/>
      <w:lvlJc w:val="left"/>
      <w:pPr>
        <w:tabs>
          <w:tab w:val="num" w:pos="5760"/>
        </w:tabs>
        <w:ind w:left="5760" w:hanging="360"/>
      </w:pPr>
      <w:rPr>
        <w:rFonts w:ascii="Calibri" w:hAnsi="Calibri" w:hint="default"/>
      </w:rPr>
    </w:lvl>
    <w:lvl w:ilvl="8" w:tplc="6BF03DA8" w:tentative="1">
      <w:start w:val="1"/>
      <w:numFmt w:val="bullet"/>
      <w:lvlText w:val="&gt;"/>
      <w:lvlJc w:val="left"/>
      <w:pPr>
        <w:tabs>
          <w:tab w:val="num" w:pos="6480"/>
        </w:tabs>
        <w:ind w:left="6480" w:hanging="360"/>
      </w:pPr>
      <w:rPr>
        <w:rFonts w:ascii="Calibri" w:hAnsi="Calibri" w:hint="default"/>
      </w:rPr>
    </w:lvl>
  </w:abstractNum>
  <w:abstractNum w:abstractNumId="35" w15:restartNumberingAfterBreak="0">
    <w:nsid w:val="61943374"/>
    <w:multiLevelType w:val="hybridMultilevel"/>
    <w:tmpl w:val="CA86F91E"/>
    <w:lvl w:ilvl="0" w:tplc="F39C65BC">
      <w:start w:val="3"/>
      <w:numFmt w:val="bullet"/>
      <w:lvlText w:val="-"/>
      <w:lvlJc w:val="left"/>
      <w:pPr>
        <w:ind w:left="720" w:hanging="360"/>
      </w:pPr>
      <w:rPr>
        <w:rFonts w:ascii="Calibri" w:eastAsiaTheme="minorEastAsia" w:hAnsi="Calibri" w:cs="Calibri" w:hint="default"/>
        <w:color w:val="4E505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594982"/>
    <w:multiLevelType w:val="hybridMultilevel"/>
    <w:tmpl w:val="7070E4F6"/>
    <w:lvl w:ilvl="0" w:tplc="46F80AA6">
      <w:start w:val="1"/>
      <w:numFmt w:val="bullet"/>
      <w:lvlText w:val="&gt;"/>
      <w:lvlJc w:val="left"/>
      <w:pPr>
        <w:tabs>
          <w:tab w:val="num" w:pos="720"/>
        </w:tabs>
        <w:ind w:left="720" w:hanging="360"/>
      </w:pPr>
      <w:rPr>
        <w:rFonts w:ascii="Calibri" w:hAnsi="Calibri" w:hint="default"/>
      </w:rPr>
    </w:lvl>
    <w:lvl w:ilvl="1" w:tplc="C6B49396">
      <w:numFmt w:val="bullet"/>
      <w:lvlText w:val="−"/>
      <w:lvlJc w:val="left"/>
      <w:pPr>
        <w:tabs>
          <w:tab w:val="num" w:pos="1440"/>
        </w:tabs>
        <w:ind w:left="1440" w:hanging="360"/>
      </w:pPr>
      <w:rPr>
        <w:rFonts w:ascii="Calibri" w:hAnsi="Calibri" w:hint="default"/>
      </w:rPr>
    </w:lvl>
    <w:lvl w:ilvl="2" w:tplc="65107158" w:tentative="1">
      <w:start w:val="1"/>
      <w:numFmt w:val="bullet"/>
      <w:lvlText w:val="&gt;"/>
      <w:lvlJc w:val="left"/>
      <w:pPr>
        <w:tabs>
          <w:tab w:val="num" w:pos="2160"/>
        </w:tabs>
        <w:ind w:left="2160" w:hanging="360"/>
      </w:pPr>
      <w:rPr>
        <w:rFonts w:ascii="Calibri" w:hAnsi="Calibri" w:hint="default"/>
      </w:rPr>
    </w:lvl>
    <w:lvl w:ilvl="3" w:tplc="CF06D3D8" w:tentative="1">
      <w:start w:val="1"/>
      <w:numFmt w:val="bullet"/>
      <w:lvlText w:val="&gt;"/>
      <w:lvlJc w:val="left"/>
      <w:pPr>
        <w:tabs>
          <w:tab w:val="num" w:pos="2880"/>
        </w:tabs>
        <w:ind w:left="2880" w:hanging="360"/>
      </w:pPr>
      <w:rPr>
        <w:rFonts w:ascii="Calibri" w:hAnsi="Calibri" w:hint="default"/>
      </w:rPr>
    </w:lvl>
    <w:lvl w:ilvl="4" w:tplc="C4F44DE2" w:tentative="1">
      <w:start w:val="1"/>
      <w:numFmt w:val="bullet"/>
      <w:lvlText w:val="&gt;"/>
      <w:lvlJc w:val="left"/>
      <w:pPr>
        <w:tabs>
          <w:tab w:val="num" w:pos="3600"/>
        </w:tabs>
        <w:ind w:left="3600" w:hanging="360"/>
      </w:pPr>
      <w:rPr>
        <w:rFonts w:ascii="Calibri" w:hAnsi="Calibri" w:hint="default"/>
      </w:rPr>
    </w:lvl>
    <w:lvl w:ilvl="5" w:tplc="59243256" w:tentative="1">
      <w:start w:val="1"/>
      <w:numFmt w:val="bullet"/>
      <w:lvlText w:val="&gt;"/>
      <w:lvlJc w:val="left"/>
      <w:pPr>
        <w:tabs>
          <w:tab w:val="num" w:pos="4320"/>
        </w:tabs>
        <w:ind w:left="4320" w:hanging="360"/>
      </w:pPr>
      <w:rPr>
        <w:rFonts w:ascii="Calibri" w:hAnsi="Calibri" w:hint="default"/>
      </w:rPr>
    </w:lvl>
    <w:lvl w:ilvl="6" w:tplc="95D20B2A" w:tentative="1">
      <w:start w:val="1"/>
      <w:numFmt w:val="bullet"/>
      <w:lvlText w:val="&gt;"/>
      <w:lvlJc w:val="left"/>
      <w:pPr>
        <w:tabs>
          <w:tab w:val="num" w:pos="5040"/>
        </w:tabs>
        <w:ind w:left="5040" w:hanging="360"/>
      </w:pPr>
      <w:rPr>
        <w:rFonts w:ascii="Calibri" w:hAnsi="Calibri" w:hint="default"/>
      </w:rPr>
    </w:lvl>
    <w:lvl w:ilvl="7" w:tplc="9830EB38" w:tentative="1">
      <w:start w:val="1"/>
      <w:numFmt w:val="bullet"/>
      <w:lvlText w:val="&gt;"/>
      <w:lvlJc w:val="left"/>
      <w:pPr>
        <w:tabs>
          <w:tab w:val="num" w:pos="5760"/>
        </w:tabs>
        <w:ind w:left="5760" w:hanging="360"/>
      </w:pPr>
      <w:rPr>
        <w:rFonts w:ascii="Calibri" w:hAnsi="Calibri" w:hint="default"/>
      </w:rPr>
    </w:lvl>
    <w:lvl w:ilvl="8" w:tplc="7FAA294E" w:tentative="1">
      <w:start w:val="1"/>
      <w:numFmt w:val="bullet"/>
      <w:lvlText w:val="&gt;"/>
      <w:lvlJc w:val="left"/>
      <w:pPr>
        <w:tabs>
          <w:tab w:val="num" w:pos="6480"/>
        </w:tabs>
        <w:ind w:left="6480" w:hanging="360"/>
      </w:pPr>
      <w:rPr>
        <w:rFonts w:ascii="Calibri" w:hAnsi="Calibri" w:hint="default"/>
      </w:rPr>
    </w:lvl>
  </w:abstractNum>
  <w:abstractNum w:abstractNumId="37" w15:restartNumberingAfterBreak="0">
    <w:nsid w:val="649A2FFB"/>
    <w:multiLevelType w:val="hybridMultilevel"/>
    <w:tmpl w:val="B89264CA"/>
    <w:lvl w:ilvl="0" w:tplc="125CA3FC">
      <w:start w:val="1"/>
      <w:numFmt w:val="bullet"/>
      <w:lvlText w:val="&gt;"/>
      <w:lvlJc w:val="left"/>
      <w:pPr>
        <w:tabs>
          <w:tab w:val="num" w:pos="720"/>
        </w:tabs>
        <w:ind w:left="720" w:hanging="360"/>
      </w:pPr>
      <w:rPr>
        <w:rFonts w:ascii="Calibri" w:hAnsi="Calibri" w:hint="default"/>
      </w:rPr>
    </w:lvl>
    <w:lvl w:ilvl="1" w:tplc="86C4B4CC">
      <w:numFmt w:val="bullet"/>
      <w:lvlText w:val="−"/>
      <w:lvlJc w:val="left"/>
      <w:pPr>
        <w:tabs>
          <w:tab w:val="num" w:pos="1440"/>
        </w:tabs>
        <w:ind w:left="1440" w:hanging="360"/>
      </w:pPr>
      <w:rPr>
        <w:rFonts w:ascii="Calibri" w:hAnsi="Calibri" w:hint="default"/>
      </w:rPr>
    </w:lvl>
    <w:lvl w:ilvl="2" w:tplc="68B0BB80" w:tentative="1">
      <w:start w:val="1"/>
      <w:numFmt w:val="bullet"/>
      <w:lvlText w:val="&gt;"/>
      <w:lvlJc w:val="left"/>
      <w:pPr>
        <w:tabs>
          <w:tab w:val="num" w:pos="2160"/>
        </w:tabs>
        <w:ind w:left="2160" w:hanging="360"/>
      </w:pPr>
      <w:rPr>
        <w:rFonts w:ascii="Calibri" w:hAnsi="Calibri" w:hint="default"/>
      </w:rPr>
    </w:lvl>
    <w:lvl w:ilvl="3" w:tplc="D67049C2" w:tentative="1">
      <w:start w:val="1"/>
      <w:numFmt w:val="bullet"/>
      <w:lvlText w:val="&gt;"/>
      <w:lvlJc w:val="left"/>
      <w:pPr>
        <w:tabs>
          <w:tab w:val="num" w:pos="2880"/>
        </w:tabs>
        <w:ind w:left="2880" w:hanging="360"/>
      </w:pPr>
      <w:rPr>
        <w:rFonts w:ascii="Calibri" w:hAnsi="Calibri" w:hint="default"/>
      </w:rPr>
    </w:lvl>
    <w:lvl w:ilvl="4" w:tplc="1FE635D6" w:tentative="1">
      <w:start w:val="1"/>
      <w:numFmt w:val="bullet"/>
      <w:lvlText w:val="&gt;"/>
      <w:lvlJc w:val="left"/>
      <w:pPr>
        <w:tabs>
          <w:tab w:val="num" w:pos="3600"/>
        </w:tabs>
        <w:ind w:left="3600" w:hanging="360"/>
      </w:pPr>
      <w:rPr>
        <w:rFonts w:ascii="Calibri" w:hAnsi="Calibri" w:hint="default"/>
      </w:rPr>
    </w:lvl>
    <w:lvl w:ilvl="5" w:tplc="C1EA9ED4" w:tentative="1">
      <w:start w:val="1"/>
      <w:numFmt w:val="bullet"/>
      <w:lvlText w:val="&gt;"/>
      <w:lvlJc w:val="left"/>
      <w:pPr>
        <w:tabs>
          <w:tab w:val="num" w:pos="4320"/>
        </w:tabs>
        <w:ind w:left="4320" w:hanging="360"/>
      </w:pPr>
      <w:rPr>
        <w:rFonts w:ascii="Calibri" w:hAnsi="Calibri" w:hint="default"/>
      </w:rPr>
    </w:lvl>
    <w:lvl w:ilvl="6" w:tplc="B90A3204" w:tentative="1">
      <w:start w:val="1"/>
      <w:numFmt w:val="bullet"/>
      <w:lvlText w:val="&gt;"/>
      <w:lvlJc w:val="left"/>
      <w:pPr>
        <w:tabs>
          <w:tab w:val="num" w:pos="5040"/>
        </w:tabs>
        <w:ind w:left="5040" w:hanging="360"/>
      </w:pPr>
      <w:rPr>
        <w:rFonts w:ascii="Calibri" w:hAnsi="Calibri" w:hint="default"/>
      </w:rPr>
    </w:lvl>
    <w:lvl w:ilvl="7" w:tplc="2C08BB02" w:tentative="1">
      <w:start w:val="1"/>
      <w:numFmt w:val="bullet"/>
      <w:lvlText w:val="&gt;"/>
      <w:lvlJc w:val="left"/>
      <w:pPr>
        <w:tabs>
          <w:tab w:val="num" w:pos="5760"/>
        </w:tabs>
        <w:ind w:left="5760" w:hanging="360"/>
      </w:pPr>
      <w:rPr>
        <w:rFonts w:ascii="Calibri" w:hAnsi="Calibri" w:hint="default"/>
      </w:rPr>
    </w:lvl>
    <w:lvl w:ilvl="8" w:tplc="AD16A002" w:tentative="1">
      <w:start w:val="1"/>
      <w:numFmt w:val="bullet"/>
      <w:lvlText w:val="&gt;"/>
      <w:lvlJc w:val="left"/>
      <w:pPr>
        <w:tabs>
          <w:tab w:val="num" w:pos="6480"/>
        </w:tabs>
        <w:ind w:left="6480" w:hanging="360"/>
      </w:pPr>
      <w:rPr>
        <w:rFonts w:ascii="Calibri" w:hAnsi="Calibri" w:hint="default"/>
      </w:rPr>
    </w:lvl>
  </w:abstractNum>
  <w:abstractNum w:abstractNumId="38" w15:restartNumberingAfterBreak="0">
    <w:nsid w:val="6D301D48"/>
    <w:multiLevelType w:val="hybridMultilevel"/>
    <w:tmpl w:val="21BC757C"/>
    <w:lvl w:ilvl="0" w:tplc="8E165A82">
      <w:start w:val="1"/>
      <w:numFmt w:val="bullet"/>
      <w:lvlText w:val="&gt;"/>
      <w:lvlJc w:val="left"/>
      <w:pPr>
        <w:tabs>
          <w:tab w:val="num" w:pos="720"/>
        </w:tabs>
        <w:ind w:left="720" w:hanging="360"/>
      </w:pPr>
      <w:rPr>
        <w:rFonts w:ascii="Calibri" w:hAnsi="Calibri" w:hint="default"/>
      </w:rPr>
    </w:lvl>
    <w:lvl w:ilvl="1" w:tplc="AD9CC682">
      <w:numFmt w:val="bullet"/>
      <w:lvlText w:val="−"/>
      <w:lvlJc w:val="left"/>
      <w:pPr>
        <w:tabs>
          <w:tab w:val="num" w:pos="1440"/>
        </w:tabs>
        <w:ind w:left="1440" w:hanging="360"/>
      </w:pPr>
      <w:rPr>
        <w:rFonts w:ascii="Calibri" w:hAnsi="Calibri" w:hint="default"/>
      </w:rPr>
    </w:lvl>
    <w:lvl w:ilvl="2" w:tplc="E43A3CA8" w:tentative="1">
      <w:start w:val="1"/>
      <w:numFmt w:val="bullet"/>
      <w:lvlText w:val="&gt;"/>
      <w:lvlJc w:val="left"/>
      <w:pPr>
        <w:tabs>
          <w:tab w:val="num" w:pos="2160"/>
        </w:tabs>
        <w:ind w:left="2160" w:hanging="360"/>
      </w:pPr>
      <w:rPr>
        <w:rFonts w:ascii="Calibri" w:hAnsi="Calibri" w:hint="default"/>
      </w:rPr>
    </w:lvl>
    <w:lvl w:ilvl="3" w:tplc="73F86406" w:tentative="1">
      <w:start w:val="1"/>
      <w:numFmt w:val="bullet"/>
      <w:lvlText w:val="&gt;"/>
      <w:lvlJc w:val="left"/>
      <w:pPr>
        <w:tabs>
          <w:tab w:val="num" w:pos="2880"/>
        </w:tabs>
        <w:ind w:left="2880" w:hanging="360"/>
      </w:pPr>
      <w:rPr>
        <w:rFonts w:ascii="Calibri" w:hAnsi="Calibri" w:hint="default"/>
      </w:rPr>
    </w:lvl>
    <w:lvl w:ilvl="4" w:tplc="BCF8189A" w:tentative="1">
      <w:start w:val="1"/>
      <w:numFmt w:val="bullet"/>
      <w:lvlText w:val="&gt;"/>
      <w:lvlJc w:val="left"/>
      <w:pPr>
        <w:tabs>
          <w:tab w:val="num" w:pos="3600"/>
        </w:tabs>
        <w:ind w:left="3600" w:hanging="360"/>
      </w:pPr>
      <w:rPr>
        <w:rFonts w:ascii="Calibri" w:hAnsi="Calibri" w:hint="default"/>
      </w:rPr>
    </w:lvl>
    <w:lvl w:ilvl="5" w:tplc="52EA4B3C" w:tentative="1">
      <w:start w:val="1"/>
      <w:numFmt w:val="bullet"/>
      <w:lvlText w:val="&gt;"/>
      <w:lvlJc w:val="left"/>
      <w:pPr>
        <w:tabs>
          <w:tab w:val="num" w:pos="4320"/>
        </w:tabs>
        <w:ind w:left="4320" w:hanging="360"/>
      </w:pPr>
      <w:rPr>
        <w:rFonts w:ascii="Calibri" w:hAnsi="Calibri" w:hint="default"/>
      </w:rPr>
    </w:lvl>
    <w:lvl w:ilvl="6" w:tplc="9B627B6E" w:tentative="1">
      <w:start w:val="1"/>
      <w:numFmt w:val="bullet"/>
      <w:lvlText w:val="&gt;"/>
      <w:lvlJc w:val="left"/>
      <w:pPr>
        <w:tabs>
          <w:tab w:val="num" w:pos="5040"/>
        </w:tabs>
        <w:ind w:left="5040" w:hanging="360"/>
      </w:pPr>
      <w:rPr>
        <w:rFonts w:ascii="Calibri" w:hAnsi="Calibri" w:hint="default"/>
      </w:rPr>
    </w:lvl>
    <w:lvl w:ilvl="7" w:tplc="940065FC" w:tentative="1">
      <w:start w:val="1"/>
      <w:numFmt w:val="bullet"/>
      <w:lvlText w:val="&gt;"/>
      <w:lvlJc w:val="left"/>
      <w:pPr>
        <w:tabs>
          <w:tab w:val="num" w:pos="5760"/>
        </w:tabs>
        <w:ind w:left="5760" w:hanging="360"/>
      </w:pPr>
      <w:rPr>
        <w:rFonts w:ascii="Calibri" w:hAnsi="Calibri" w:hint="default"/>
      </w:rPr>
    </w:lvl>
    <w:lvl w:ilvl="8" w:tplc="06704BC2" w:tentative="1">
      <w:start w:val="1"/>
      <w:numFmt w:val="bullet"/>
      <w:lvlText w:val="&gt;"/>
      <w:lvlJc w:val="left"/>
      <w:pPr>
        <w:tabs>
          <w:tab w:val="num" w:pos="6480"/>
        </w:tabs>
        <w:ind w:left="6480" w:hanging="360"/>
      </w:pPr>
      <w:rPr>
        <w:rFonts w:ascii="Calibri" w:hAnsi="Calibri" w:hint="default"/>
      </w:rPr>
    </w:lvl>
  </w:abstractNum>
  <w:abstractNum w:abstractNumId="39" w15:restartNumberingAfterBreak="0">
    <w:nsid w:val="78633C18"/>
    <w:multiLevelType w:val="hybridMultilevel"/>
    <w:tmpl w:val="D77A0A06"/>
    <w:lvl w:ilvl="0" w:tplc="FF3C4A7C">
      <w:start w:val="1"/>
      <w:numFmt w:val="bullet"/>
      <w:pStyle w:val="Table-Bullet1"/>
      <w:lvlText w:val="&gt;"/>
      <w:lvlJc w:val="left"/>
      <w:pPr>
        <w:ind w:left="360" w:hanging="360"/>
      </w:pPr>
      <w:rPr>
        <w:rFonts w:ascii="Calibri" w:hAnsi="Calibri" w:hint="default"/>
        <w:strike w:val="0"/>
        <w:color w:val="003569" w:themeColor="accent6"/>
        <w:u w:color="4E5053" w:themeColor="text2"/>
      </w:rPr>
    </w:lvl>
    <w:lvl w:ilvl="1" w:tplc="EE943682">
      <w:start w:val="1"/>
      <w:numFmt w:val="bullet"/>
      <w:lvlText w:val="-"/>
      <w:lvlJc w:val="left"/>
      <w:pPr>
        <w:ind w:left="785" w:hanging="360"/>
      </w:pPr>
      <w:rPr>
        <w:rFonts w:ascii="Calibri" w:hAnsi="Calibri" w:hint="default"/>
      </w:rPr>
    </w:lvl>
    <w:lvl w:ilvl="2" w:tplc="08090005">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0" w15:restartNumberingAfterBreak="0">
    <w:nsid w:val="799D60CE"/>
    <w:multiLevelType w:val="hybridMultilevel"/>
    <w:tmpl w:val="05E46DF0"/>
    <w:lvl w:ilvl="0" w:tplc="58788DD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815886">
    <w:abstractNumId w:val="7"/>
  </w:num>
  <w:num w:numId="2" w16cid:durableId="1674647851">
    <w:abstractNumId w:val="26"/>
  </w:num>
  <w:num w:numId="3" w16cid:durableId="102892291">
    <w:abstractNumId w:val="13"/>
  </w:num>
  <w:num w:numId="4" w16cid:durableId="1020814401">
    <w:abstractNumId w:val="12"/>
  </w:num>
  <w:num w:numId="5" w16cid:durableId="1912502189">
    <w:abstractNumId w:val="39"/>
  </w:num>
  <w:num w:numId="6" w16cid:durableId="1765765230">
    <w:abstractNumId w:val="5"/>
  </w:num>
  <w:num w:numId="7" w16cid:durableId="171578289">
    <w:abstractNumId w:val="11"/>
  </w:num>
  <w:num w:numId="8" w16cid:durableId="1964994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2034356">
    <w:abstractNumId w:val="21"/>
  </w:num>
  <w:num w:numId="10" w16cid:durableId="1474299613">
    <w:abstractNumId w:val="19"/>
  </w:num>
  <w:num w:numId="11" w16cid:durableId="183636986">
    <w:abstractNumId w:val="11"/>
  </w:num>
  <w:num w:numId="12" w16cid:durableId="1940748423">
    <w:abstractNumId w:val="23"/>
  </w:num>
  <w:num w:numId="13" w16cid:durableId="223031904">
    <w:abstractNumId w:val="38"/>
  </w:num>
  <w:num w:numId="14" w16cid:durableId="367724107">
    <w:abstractNumId w:val="34"/>
  </w:num>
  <w:num w:numId="15" w16cid:durableId="1488203453">
    <w:abstractNumId w:val="25"/>
  </w:num>
  <w:num w:numId="16" w16cid:durableId="990595046">
    <w:abstractNumId w:val="1"/>
  </w:num>
  <w:num w:numId="17" w16cid:durableId="1181823248">
    <w:abstractNumId w:val="0"/>
  </w:num>
  <w:num w:numId="18" w16cid:durableId="425224551">
    <w:abstractNumId w:val="37"/>
  </w:num>
  <w:num w:numId="19" w16cid:durableId="544412815">
    <w:abstractNumId w:val="28"/>
  </w:num>
  <w:num w:numId="20" w16cid:durableId="384333880">
    <w:abstractNumId w:val="6"/>
  </w:num>
  <w:num w:numId="21" w16cid:durableId="1708068641">
    <w:abstractNumId w:val="33"/>
  </w:num>
  <w:num w:numId="22" w16cid:durableId="1125343351">
    <w:abstractNumId w:val="8"/>
  </w:num>
  <w:num w:numId="23" w16cid:durableId="1779174305">
    <w:abstractNumId w:val="2"/>
  </w:num>
  <w:num w:numId="24" w16cid:durableId="2064675301">
    <w:abstractNumId w:val="14"/>
  </w:num>
  <w:num w:numId="25" w16cid:durableId="1144077623">
    <w:abstractNumId w:val="10"/>
  </w:num>
  <w:num w:numId="26" w16cid:durableId="935134351">
    <w:abstractNumId w:val="32"/>
  </w:num>
  <w:num w:numId="27" w16cid:durableId="357397153">
    <w:abstractNumId w:val="36"/>
  </w:num>
  <w:num w:numId="28" w16cid:durableId="405763069">
    <w:abstractNumId w:val="22"/>
  </w:num>
  <w:num w:numId="29" w16cid:durableId="1567301501">
    <w:abstractNumId w:val="20"/>
  </w:num>
  <w:num w:numId="30" w16cid:durableId="135076393">
    <w:abstractNumId w:val="24"/>
  </w:num>
  <w:num w:numId="31" w16cid:durableId="1869829190">
    <w:abstractNumId w:val="4"/>
  </w:num>
  <w:num w:numId="32" w16cid:durableId="2102217918">
    <w:abstractNumId w:val="27"/>
  </w:num>
  <w:num w:numId="33" w16cid:durableId="1207110205">
    <w:abstractNumId w:val="9"/>
  </w:num>
  <w:num w:numId="34" w16cid:durableId="1469279033">
    <w:abstractNumId w:val="18"/>
  </w:num>
  <w:num w:numId="35" w16cid:durableId="68189998">
    <w:abstractNumId w:val="3"/>
  </w:num>
  <w:num w:numId="36" w16cid:durableId="222565543">
    <w:abstractNumId w:val="35"/>
  </w:num>
  <w:num w:numId="37" w16cid:durableId="93018099">
    <w:abstractNumId w:val="15"/>
  </w:num>
  <w:num w:numId="38" w16cid:durableId="525796352">
    <w:abstractNumId w:val="16"/>
  </w:num>
  <w:num w:numId="39" w16cid:durableId="1895849986">
    <w:abstractNumId w:val="39"/>
  </w:num>
  <w:num w:numId="40" w16cid:durableId="1384214479">
    <w:abstractNumId w:val="17"/>
  </w:num>
  <w:num w:numId="41" w16cid:durableId="1996645933">
    <w:abstractNumId w:val="31"/>
  </w:num>
  <w:num w:numId="42" w16cid:durableId="960116605">
    <w:abstractNumId w:val="29"/>
  </w:num>
  <w:num w:numId="43" w16cid:durableId="856768868">
    <w:abstractNumId w:val="30"/>
  </w:num>
  <w:num w:numId="44" w16cid:durableId="1941864399">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wpzrxamez9sqe2exmxtrw2ddvp9tdfsz92&quot;&gt;MO9604A Endnote Library&lt;record-ids&gt;&lt;item&gt;80&lt;/item&gt;&lt;/record-ids&gt;&lt;/item&gt;&lt;/Libraries&gt;"/>
  </w:docVars>
  <w:rsids>
    <w:rsidRoot w:val="00A32F24"/>
    <w:rsid w:val="00000FDB"/>
    <w:rsid w:val="000017C3"/>
    <w:rsid w:val="00001EE4"/>
    <w:rsid w:val="000024A1"/>
    <w:rsid w:val="00002970"/>
    <w:rsid w:val="00002D7F"/>
    <w:rsid w:val="00003AE4"/>
    <w:rsid w:val="00003F70"/>
    <w:rsid w:val="00004E40"/>
    <w:rsid w:val="00005434"/>
    <w:rsid w:val="00006010"/>
    <w:rsid w:val="000100BA"/>
    <w:rsid w:val="00010B6F"/>
    <w:rsid w:val="00011C12"/>
    <w:rsid w:val="0001332C"/>
    <w:rsid w:val="0001434D"/>
    <w:rsid w:val="0001447E"/>
    <w:rsid w:val="000156C0"/>
    <w:rsid w:val="00015A5A"/>
    <w:rsid w:val="00016DF9"/>
    <w:rsid w:val="00020DEE"/>
    <w:rsid w:val="00021025"/>
    <w:rsid w:val="00021E70"/>
    <w:rsid w:val="000227D0"/>
    <w:rsid w:val="0002345C"/>
    <w:rsid w:val="00024B0C"/>
    <w:rsid w:val="00025A54"/>
    <w:rsid w:val="00025C99"/>
    <w:rsid w:val="00031A5D"/>
    <w:rsid w:val="00032FF9"/>
    <w:rsid w:val="00034D8B"/>
    <w:rsid w:val="00035222"/>
    <w:rsid w:val="000354E0"/>
    <w:rsid w:val="00035718"/>
    <w:rsid w:val="00035BF1"/>
    <w:rsid w:val="00036A88"/>
    <w:rsid w:val="00041343"/>
    <w:rsid w:val="00041599"/>
    <w:rsid w:val="00041BD7"/>
    <w:rsid w:val="00041DEF"/>
    <w:rsid w:val="0004262B"/>
    <w:rsid w:val="000427F2"/>
    <w:rsid w:val="000433D3"/>
    <w:rsid w:val="0004431D"/>
    <w:rsid w:val="00044473"/>
    <w:rsid w:val="0004485C"/>
    <w:rsid w:val="00050638"/>
    <w:rsid w:val="00050FEA"/>
    <w:rsid w:val="00053299"/>
    <w:rsid w:val="00053F5C"/>
    <w:rsid w:val="00054133"/>
    <w:rsid w:val="0005553D"/>
    <w:rsid w:val="000562A7"/>
    <w:rsid w:val="0005674C"/>
    <w:rsid w:val="00056D95"/>
    <w:rsid w:val="00060330"/>
    <w:rsid w:val="000618D9"/>
    <w:rsid w:val="000624A6"/>
    <w:rsid w:val="00062645"/>
    <w:rsid w:val="000648E9"/>
    <w:rsid w:val="0006592E"/>
    <w:rsid w:val="00065D19"/>
    <w:rsid w:val="0006755B"/>
    <w:rsid w:val="000706F9"/>
    <w:rsid w:val="000714CE"/>
    <w:rsid w:val="00072153"/>
    <w:rsid w:val="00073E44"/>
    <w:rsid w:val="00073E93"/>
    <w:rsid w:val="00074AD8"/>
    <w:rsid w:val="00074E18"/>
    <w:rsid w:val="00074FF1"/>
    <w:rsid w:val="000760EE"/>
    <w:rsid w:val="00076E05"/>
    <w:rsid w:val="00077769"/>
    <w:rsid w:val="000803C7"/>
    <w:rsid w:val="000813EE"/>
    <w:rsid w:val="00081800"/>
    <w:rsid w:val="00081BD3"/>
    <w:rsid w:val="000821F3"/>
    <w:rsid w:val="00082B81"/>
    <w:rsid w:val="00082CE1"/>
    <w:rsid w:val="00082F4D"/>
    <w:rsid w:val="000861C2"/>
    <w:rsid w:val="000867CF"/>
    <w:rsid w:val="0008761A"/>
    <w:rsid w:val="00091464"/>
    <w:rsid w:val="00091D34"/>
    <w:rsid w:val="000941DD"/>
    <w:rsid w:val="000945A2"/>
    <w:rsid w:val="00095149"/>
    <w:rsid w:val="000A0C53"/>
    <w:rsid w:val="000A0E96"/>
    <w:rsid w:val="000A1196"/>
    <w:rsid w:val="000A12E0"/>
    <w:rsid w:val="000A158F"/>
    <w:rsid w:val="000A16E5"/>
    <w:rsid w:val="000A2B14"/>
    <w:rsid w:val="000A559A"/>
    <w:rsid w:val="000A5DA9"/>
    <w:rsid w:val="000A6345"/>
    <w:rsid w:val="000A6C44"/>
    <w:rsid w:val="000A6CF5"/>
    <w:rsid w:val="000A7622"/>
    <w:rsid w:val="000A7626"/>
    <w:rsid w:val="000B1E82"/>
    <w:rsid w:val="000B24D6"/>
    <w:rsid w:val="000B373C"/>
    <w:rsid w:val="000B3AB5"/>
    <w:rsid w:val="000B42F1"/>
    <w:rsid w:val="000B4C65"/>
    <w:rsid w:val="000B5FD3"/>
    <w:rsid w:val="000B688E"/>
    <w:rsid w:val="000B73B2"/>
    <w:rsid w:val="000B7F0F"/>
    <w:rsid w:val="000C009F"/>
    <w:rsid w:val="000C0A7D"/>
    <w:rsid w:val="000C0BD7"/>
    <w:rsid w:val="000C158E"/>
    <w:rsid w:val="000C2717"/>
    <w:rsid w:val="000C3150"/>
    <w:rsid w:val="000C38C1"/>
    <w:rsid w:val="000C40B3"/>
    <w:rsid w:val="000C46AB"/>
    <w:rsid w:val="000C477F"/>
    <w:rsid w:val="000C57AF"/>
    <w:rsid w:val="000C6026"/>
    <w:rsid w:val="000D36EF"/>
    <w:rsid w:val="000D5B3D"/>
    <w:rsid w:val="000D6F98"/>
    <w:rsid w:val="000D7C79"/>
    <w:rsid w:val="000E02D6"/>
    <w:rsid w:val="000E09E6"/>
    <w:rsid w:val="000E0EDE"/>
    <w:rsid w:val="000E1115"/>
    <w:rsid w:val="000E113D"/>
    <w:rsid w:val="000E165E"/>
    <w:rsid w:val="000E1AD5"/>
    <w:rsid w:val="000E3853"/>
    <w:rsid w:val="000E3B73"/>
    <w:rsid w:val="000E4157"/>
    <w:rsid w:val="000E49B7"/>
    <w:rsid w:val="000E4CE2"/>
    <w:rsid w:val="000E5286"/>
    <w:rsid w:val="000E57A0"/>
    <w:rsid w:val="000E5FCF"/>
    <w:rsid w:val="000E6378"/>
    <w:rsid w:val="000E63C6"/>
    <w:rsid w:val="000E7A42"/>
    <w:rsid w:val="000E7CAE"/>
    <w:rsid w:val="000E7CF3"/>
    <w:rsid w:val="000E7D00"/>
    <w:rsid w:val="000F0D7A"/>
    <w:rsid w:val="000F1408"/>
    <w:rsid w:val="000F18D0"/>
    <w:rsid w:val="000F1B3D"/>
    <w:rsid w:val="000F2792"/>
    <w:rsid w:val="000F289E"/>
    <w:rsid w:val="000F3ED5"/>
    <w:rsid w:val="000F4368"/>
    <w:rsid w:val="000F4635"/>
    <w:rsid w:val="000F46B5"/>
    <w:rsid w:val="000F47B6"/>
    <w:rsid w:val="000F7433"/>
    <w:rsid w:val="0010051E"/>
    <w:rsid w:val="00100E3D"/>
    <w:rsid w:val="00101A9C"/>
    <w:rsid w:val="00101C63"/>
    <w:rsid w:val="00103C67"/>
    <w:rsid w:val="001040B2"/>
    <w:rsid w:val="001040E5"/>
    <w:rsid w:val="00104B7C"/>
    <w:rsid w:val="0010619D"/>
    <w:rsid w:val="00106258"/>
    <w:rsid w:val="00106464"/>
    <w:rsid w:val="00106FDD"/>
    <w:rsid w:val="0010721C"/>
    <w:rsid w:val="0010778D"/>
    <w:rsid w:val="00107AB0"/>
    <w:rsid w:val="00110219"/>
    <w:rsid w:val="00110B08"/>
    <w:rsid w:val="00111232"/>
    <w:rsid w:val="001121D6"/>
    <w:rsid w:val="00112FC2"/>
    <w:rsid w:val="001134C1"/>
    <w:rsid w:val="00113EFC"/>
    <w:rsid w:val="00114F99"/>
    <w:rsid w:val="001153B9"/>
    <w:rsid w:val="00115B26"/>
    <w:rsid w:val="00116126"/>
    <w:rsid w:val="001163C5"/>
    <w:rsid w:val="00116A35"/>
    <w:rsid w:val="00117B0A"/>
    <w:rsid w:val="00117FF0"/>
    <w:rsid w:val="001214C8"/>
    <w:rsid w:val="001235B1"/>
    <w:rsid w:val="00123DD1"/>
    <w:rsid w:val="00124414"/>
    <w:rsid w:val="0012451E"/>
    <w:rsid w:val="0012466B"/>
    <w:rsid w:val="00124CEE"/>
    <w:rsid w:val="001255F0"/>
    <w:rsid w:val="00125CFE"/>
    <w:rsid w:val="00127018"/>
    <w:rsid w:val="00127B87"/>
    <w:rsid w:val="00127CF1"/>
    <w:rsid w:val="00130519"/>
    <w:rsid w:val="00130C2E"/>
    <w:rsid w:val="0013148F"/>
    <w:rsid w:val="00131E34"/>
    <w:rsid w:val="00132712"/>
    <w:rsid w:val="001329CB"/>
    <w:rsid w:val="00132CA1"/>
    <w:rsid w:val="00134114"/>
    <w:rsid w:val="0013671A"/>
    <w:rsid w:val="001367A9"/>
    <w:rsid w:val="00140349"/>
    <w:rsid w:val="00140D8E"/>
    <w:rsid w:val="00141A6C"/>
    <w:rsid w:val="001420AA"/>
    <w:rsid w:val="00143176"/>
    <w:rsid w:val="001437E8"/>
    <w:rsid w:val="001456BA"/>
    <w:rsid w:val="00145AC4"/>
    <w:rsid w:val="00150170"/>
    <w:rsid w:val="001508B3"/>
    <w:rsid w:val="00150957"/>
    <w:rsid w:val="001536F6"/>
    <w:rsid w:val="001542E9"/>
    <w:rsid w:val="001543D5"/>
    <w:rsid w:val="001544FB"/>
    <w:rsid w:val="00154E0D"/>
    <w:rsid w:val="00155A48"/>
    <w:rsid w:val="00157B4F"/>
    <w:rsid w:val="001611AC"/>
    <w:rsid w:val="00161C46"/>
    <w:rsid w:val="0016243B"/>
    <w:rsid w:val="001634EF"/>
    <w:rsid w:val="00163689"/>
    <w:rsid w:val="00164746"/>
    <w:rsid w:val="001648AC"/>
    <w:rsid w:val="00164AE1"/>
    <w:rsid w:val="00165C8F"/>
    <w:rsid w:val="00165F8A"/>
    <w:rsid w:val="00167587"/>
    <w:rsid w:val="001710CB"/>
    <w:rsid w:val="001721A3"/>
    <w:rsid w:val="00172913"/>
    <w:rsid w:val="00172C24"/>
    <w:rsid w:val="00172CD2"/>
    <w:rsid w:val="001741D8"/>
    <w:rsid w:val="0017459B"/>
    <w:rsid w:val="00175F44"/>
    <w:rsid w:val="001763E5"/>
    <w:rsid w:val="00176AC9"/>
    <w:rsid w:val="00177245"/>
    <w:rsid w:val="0017769E"/>
    <w:rsid w:val="00177C61"/>
    <w:rsid w:val="00180626"/>
    <w:rsid w:val="00180F62"/>
    <w:rsid w:val="00181E40"/>
    <w:rsid w:val="0018286D"/>
    <w:rsid w:val="00182CEF"/>
    <w:rsid w:val="00182D8F"/>
    <w:rsid w:val="00182F8C"/>
    <w:rsid w:val="00182F90"/>
    <w:rsid w:val="001832A7"/>
    <w:rsid w:val="00183503"/>
    <w:rsid w:val="00184205"/>
    <w:rsid w:val="00184F72"/>
    <w:rsid w:val="0018548A"/>
    <w:rsid w:val="00185912"/>
    <w:rsid w:val="00187A3B"/>
    <w:rsid w:val="0019000F"/>
    <w:rsid w:val="00190208"/>
    <w:rsid w:val="00191201"/>
    <w:rsid w:val="00191905"/>
    <w:rsid w:val="0019210F"/>
    <w:rsid w:val="00192741"/>
    <w:rsid w:val="00195279"/>
    <w:rsid w:val="00195EFE"/>
    <w:rsid w:val="001962D3"/>
    <w:rsid w:val="00196326"/>
    <w:rsid w:val="00196457"/>
    <w:rsid w:val="001977F4"/>
    <w:rsid w:val="00197BA3"/>
    <w:rsid w:val="001A0ED8"/>
    <w:rsid w:val="001A1518"/>
    <w:rsid w:val="001A27CA"/>
    <w:rsid w:val="001A2B40"/>
    <w:rsid w:val="001A35CC"/>
    <w:rsid w:val="001A4844"/>
    <w:rsid w:val="001A5676"/>
    <w:rsid w:val="001A5ADC"/>
    <w:rsid w:val="001A68E4"/>
    <w:rsid w:val="001B128F"/>
    <w:rsid w:val="001B17E4"/>
    <w:rsid w:val="001B24BC"/>
    <w:rsid w:val="001B257F"/>
    <w:rsid w:val="001B3283"/>
    <w:rsid w:val="001B5AA7"/>
    <w:rsid w:val="001B5D20"/>
    <w:rsid w:val="001B7C04"/>
    <w:rsid w:val="001C009A"/>
    <w:rsid w:val="001C1093"/>
    <w:rsid w:val="001C1E7B"/>
    <w:rsid w:val="001C29D0"/>
    <w:rsid w:val="001C2C17"/>
    <w:rsid w:val="001C389F"/>
    <w:rsid w:val="001C4D34"/>
    <w:rsid w:val="001C517E"/>
    <w:rsid w:val="001C67B3"/>
    <w:rsid w:val="001C682C"/>
    <w:rsid w:val="001C69C1"/>
    <w:rsid w:val="001C7795"/>
    <w:rsid w:val="001D2424"/>
    <w:rsid w:val="001D2DF9"/>
    <w:rsid w:val="001D3EBF"/>
    <w:rsid w:val="001D4234"/>
    <w:rsid w:val="001D4AF5"/>
    <w:rsid w:val="001D54EB"/>
    <w:rsid w:val="001D5632"/>
    <w:rsid w:val="001D5CDF"/>
    <w:rsid w:val="001D600E"/>
    <w:rsid w:val="001D718C"/>
    <w:rsid w:val="001E038D"/>
    <w:rsid w:val="001E11B9"/>
    <w:rsid w:val="001E4DC1"/>
    <w:rsid w:val="001E5133"/>
    <w:rsid w:val="001E5D8D"/>
    <w:rsid w:val="001E7D1A"/>
    <w:rsid w:val="001F23A2"/>
    <w:rsid w:val="001F2B97"/>
    <w:rsid w:val="001F3137"/>
    <w:rsid w:val="001F3F89"/>
    <w:rsid w:val="001F4EF9"/>
    <w:rsid w:val="001F524F"/>
    <w:rsid w:val="001F6EF3"/>
    <w:rsid w:val="002000DA"/>
    <w:rsid w:val="002005B0"/>
    <w:rsid w:val="00200A79"/>
    <w:rsid w:val="00201310"/>
    <w:rsid w:val="002022A3"/>
    <w:rsid w:val="00204C5A"/>
    <w:rsid w:val="00204C5D"/>
    <w:rsid w:val="00207004"/>
    <w:rsid w:val="0020730A"/>
    <w:rsid w:val="00210D2E"/>
    <w:rsid w:val="002115EF"/>
    <w:rsid w:val="00211EF2"/>
    <w:rsid w:val="0021338F"/>
    <w:rsid w:val="002148C6"/>
    <w:rsid w:val="00214A8E"/>
    <w:rsid w:val="00214C72"/>
    <w:rsid w:val="0021545A"/>
    <w:rsid w:val="00215C0E"/>
    <w:rsid w:val="00216D19"/>
    <w:rsid w:val="00217D04"/>
    <w:rsid w:val="002213F6"/>
    <w:rsid w:val="00224995"/>
    <w:rsid w:val="002250D3"/>
    <w:rsid w:val="00226770"/>
    <w:rsid w:val="00230B28"/>
    <w:rsid w:val="0023183D"/>
    <w:rsid w:val="002342A9"/>
    <w:rsid w:val="002345EA"/>
    <w:rsid w:val="00235103"/>
    <w:rsid w:val="00235382"/>
    <w:rsid w:val="00236AE1"/>
    <w:rsid w:val="00237213"/>
    <w:rsid w:val="00237EC1"/>
    <w:rsid w:val="002403AD"/>
    <w:rsid w:val="002406D8"/>
    <w:rsid w:val="00241512"/>
    <w:rsid w:val="0024168A"/>
    <w:rsid w:val="0024329F"/>
    <w:rsid w:val="00243853"/>
    <w:rsid w:val="0024525C"/>
    <w:rsid w:val="00245F64"/>
    <w:rsid w:val="00246228"/>
    <w:rsid w:val="002465DD"/>
    <w:rsid w:val="00246F85"/>
    <w:rsid w:val="0025060C"/>
    <w:rsid w:val="00250854"/>
    <w:rsid w:val="0025095E"/>
    <w:rsid w:val="00250A9C"/>
    <w:rsid w:val="00250BA3"/>
    <w:rsid w:val="00251C74"/>
    <w:rsid w:val="002535B1"/>
    <w:rsid w:val="00255E2D"/>
    <w:rsid w:val="002571A6"/>
    <w:rsid w:val="00257FF7"/>
    <w:rsid w:val="002610B6"/>
    <w:rsid w:val="00261395"/>
    <w:rsid w:val="002626CB"/>
    <w:rsid w:val="00262716"/>
    <w:rsid w:val="00265454"/>
    <w:rsid w:val="00265A54"/>
    <w:rsid w:val="002665ED"/>
    <w:rsid w:val="0026660D"/>
    <w:rsid w:val="00271690"/>
    <w:rsid w:val="00271881"/>
    <w:rsid w:val="00271C7C"/>
    <w:rsid w:val="00272EC4"/>
    <w:rsid w:val="002739C0"/>
    <w:rsid w:val="00274425"/>
    <w:rsid w:val="0027463F"/>
    <w:rsid w:val="0027593E"/>
    <w:rsid w:val="00275988"/>
    <w:rsid w:val="00277EFD"/>
    <w:rsid w:val="00280A06"/>
    <w:rsid w:val="00280B41"/>
    <w:rsid w:val="00282A29"/>
    <w:rsid w:val="00282BFA"/>
    <w:rsid w:val="002844CD"/>
    <w:rsid w:val="00284DCA"/>
    <w:rsid w:val="00285D51"/>
    <w:rsid w:val="0029085A"/>
    <w:rsid w:val="002913A5"/>
    <w:rsid w:val="00291698"/>
    <w:rsid w:val="0029214F"/>
    <w:rsid w:val="00294235"/>
    <w:rsid w:val="0029558B"/>
    <w:rsid w:val="00295718"/>
    <w:rsid w:val="00295F0B"/>
    <w:rsid w:val="00296526"/>
    <w:rsid w:val="002A073D"/>
    <w:rsid w:val="002A0CE6"/>
    <w:rsid w:val="002A1EAB"/>
    <w:rsid w:val="002A4381"/>
    <w:rsid w:val="002A6A83"/>
    <w:rsid w:val="002A6DE1"/>
    <w:rsid w:val="002A73C5"/>
    <w:rsid w:val="002A7786"/>
    <w:rsid w:val="002B02D0"/>
    <w:rsid w:val="002B10B1"/>
    <w:rsid w:val="002B10EE"/>
    <w:rsid w:val="002B25D7"/>
    <w:rsid w:val="002B3314"/>
    <w:rsid w:val="002B37C6"/>
    <w:rsid w:val="002B59AE"/>
    <w:rsid w:val="002B7C05"/>
    <w:rsid w:val="002B7D96"/>
    <w:rsid w:val="002C2BC3"/>
    <w:rsid w:val="002C401B"/>
    <w:rsid w:val="002C6D7B"/>
    <w:rsid w:val="002D0491"/>
    <w:rsid w:val="002D11AB"/>
    <w:rsid w:val="002D3D4C"/>
    <w:rsid w:val="002D44B5"/>
    <w:rsid w:val="002D4504"/>
    <w:rsid w:val="002D4E6A"/>
    <w:rsid w:val="002D540F"/>
    <w:rsid w:val="002D7A59"/>
    <w:rsid w:val="002E092F"/>
    <w:rsid w:val="002E2EC9"/>
    <w:rsid w:val="002F1411"/>
    <w:rsid w:val="002F171C"/>
    <w:rsid w:val="002F36F1"/>
    <w:rsid w:val="002F3E17"/>
    <w:rsid w:val="002F51CB"/>
    <w:rsid w:val="002F558F"/>
    <w:rsid w:val="002F5C77"/>
    <w:rsid w:val="002F5D27"/>
    <w:rsid w:val="002F5E46"/>
    <w:rsid w:val="002F6938"/>
    <w:rsid w:val="002F6B6F"/>
    <w:rsid w:val="002F718E"/>
    <w:rsid w:val="002F749D"/>
    <w:rsid w:val="003005E5"/>
    <w:rsid w:val="00301866"/>
    <w:rsid w:val="003023AB"/>
    <w:rsid w:val="00304173"/>
    <w:rsid w:val="00305B04"/>
    <w:rsid w:val="0030670D"/>
    <w:rsid w:val="0030738B"/>
    <w:rsid w:val="00307782"/>
    <w:rsid w:val="0031059C"/>
    <w:rsid w:val="00311481"/>
    <w:rsid w:val="0031173F"/>
    <w:rsid w:val="00311BDE"/>
    <w:rsid w:val="00311CF8"/>
    <w:rsid w:val="00311D54"/>
    <w:rsid w:val="003120B3"/>
    <w:rsid w:val="00312107"/>
    <w:rsid w:val="00312457"/>
    <w:rsid w:val="00312C1B"/>
    <w:rsid w:val="003131D9"/>
    <w:rsid w:val="00314376"/>
    <w:rsid w:val="003148D3"/>
    <w:rsid w:val="0031490B"/>
    <w:rsid w:val="00314CD4"/>
    <w:rsid w:val="00317818"/>
    <w:rsid w:val="00321610"/>
    <w:rsid w:val="00322918"/>
    <w:rsid w:val="00324A31"/>
    <w:rsid w:val="00325440"/>
    <w:rsid w:val="00325699"/>
    <w:rsid w:val="00325962"/>
    <w:rsid w:val="00325AFE"/>
    <w:rsid w:val="00327DA4"/>
    <w:rsid w:val="00330668"/>
    <w:rsid w:val="00331911"/>
    <w:rsid w:val="00331DDA"/>
    <w:rsid w:val="00332146"/>
    <w:rsid w:val="00332E75"/>
    <w:rsid w:val="00333045"/>
    <w:rsid w:val="0033341F"/>
    <w:rsid w:val="00333AED"/>
    <w:rsid w:val="00334578"/>
    <w:rsid w:val="003348FE"/>
    <w:rsid w:val="00334A83"/>
    <w:rsid w:val="00334E5F"/>
    <w:rsid w:val="00334F13"/>
    <w:rsid w:val="00335AA9"/>
    <w:rsid w:val="003361AA"/>
    <w:rsid w:val="00337715"/>
    <w:rsid w:val="00340838"/>
    <w:rsid w:val="00341597"/>
    <w:rsid w:val="00341F93"/>
    <w:rsid w:val="00343867"/>
    <w:rsid w:val="00344094"/>
    <w:rsid w:val="00345659"/>
    <w:rsid w:val="00346215"/>
    <w:rsid w:val="0034649A"/>
    <w:rsid w:val="00347336"/>
    <w:rsid w:val="0035173D"/>
    <w:rsid w:val="00352C83"/>
    <w:rsid w:val="0035480A"/>
    <w:rsid w:val="003552FA"/>
    <w:rsid w:val="00355636"/>
    <w:rsid w:val="00356692"/>
    <w:rsid w:val="003566CB"/>
    <w:rsid w:val="0035740F"/>
    <w:rsid w:val="00357994"/>
    <w:rsid w:val="00360257"/>
    <w:rsid w:val="003617C3"/>
    <w:rsid w:val="0036279C"/>
    <w:rsid w:val="00362FDD"/>
    <w:rsid w:val="00363462"/>
    <w:rsid w:val="00363924"/>
    <w:rsid w:val="00364383"/>
    <w:rsid w:val="00365640"/>
    <w:rsid w:val="00366C6E"/>
    <w:rsid w:val="003703F3"/>
    <w:rsid w:val="003706F3"/>
    <w:rsid w:val="00370804"/>
    <w:rsid w:val="00371534"/>
    <w:rsid w:val="00371B9A"/>
    <w:rsid w:val="0037382A"/>
    <w:rsid w:val="003761D9"/>
    <w:rsid w:val="00377B6B"/>
    <w:rsid w:val="003802C4"/>
    <w:rsid w:val="00382774"/>
    <w:rsid w:val="0038473F"/>
    <w:rsid w:val="00385ACB"/>
    <w:rsid w:val="0039006A"/>
    <w:rsid w:val="0039062B"/>
    <w:rsid w:val="003907D6"/>
    <w:rsid w:val="00390860"/>
    <w:rsid w:val="00391912"/>
    <w:rsid w:val="003920A6"/>
    <w:rsid w:val="003A08F1"/>
    <w:rsid w:val="003A09DF"/>
    <w:rsid w:val="003A0E55"/>
    <w:rsid w:val="003A13BF"/>
    <w:rsid w:val="003A152C"/>
    <w:rsid w:val="003A1C75"/>
    <w:rsid w:val="003A2301"/>
    <w:rsid w:val="003A2AAF"/>
    <w:rsid w:val="003A2CAB"/>
    <w:rsid w:val="003A30CB"/>
    <w:rsid w:val="003A320A"/>
    <w:rsid w:val="003A37D7"/>
    <w:rsid w:val="003A3D12"/>
    <w:rsid w:val="003A53FA"/>
    <w:rsid w:val="003A5780"/>
    <w:rsid w:val="003A634F"/>
    <w:rsid w:val="003A63C3"/>
    <w:rsid w:val="003B07B9"/>
    <w:rsid w:val="003B1418"/>
    <w:rsid w:val="003B1551"/>
    <w:rsid w:val="003B1A2B"/>
    <w:rsid w:val="003B1D8A"/>
    <w:rsid w:val="003B268F"/>
    <w:rsid w:val="003B3829"/>
    <w:rsid w:val="003B3A41"/>
    <w:rsid w:val="003B4E85"/>
    <w:rsid w:val="003B559D"/>
    <w:rsid w:val="003B5FBE"/>
    <w:rsid w:val="003B6433"/>
    <w:rsid w:val="003B655B"/>
    <w:rsid w:val="003B69A0"/>
    <w:rsid w:val="003B6C56"/>
    <w:rsid w:val="003B7A15"/>
    <w:rsid w:val="003C0563"/>
    <w:rsid w:val="003C0602"/>
    <w:rsid w:val="003C37D8"/>
    <w:rsid w:val="003C536C"/>
    <w:rsid w:val="003C5647"/>
    <w:rsid w:val="003C7106"/>
    <w:rsid w:val="003C7B33"/>
    <w:rsid w:val="003D083E"/>
    <w:rsid w:val="003D224D"/>
    <w:rsid w:val="003D2B44"/>
    <w:rsid w:val="003D56A2"/>
    <w:rsid w:val="003D587B"/>
    <w:rsid w:val="003D7EA4"/>
    <w:rsid w:val="003E12F7"/>
    <w:rsid w:val="003E1AEB"/>
    <w:rsid w:val="003E1B1B"/>
    <w:rsid w:val="003E2F53"/>
    <w:rsid w:val="003E3BE7"/>
    <w:rsid w:val="003E4018"/>
    <w:rsid w:val="003E75D3"/>
    <w:rsid w:val="003F05FD"/>
    <w:rsid w:val="003F07A7"/>
    <w:rsid w:val="003F389D"/>
    <w:rsid w:val="003F44C5"/>
    <w:rsid w:val="003F56E2"/>
    <w:rsid w:val="003F79F4"/>
    <w:rsid w:val="003F7E06"/>
    <w:rsid w:val="003F7ECC"/>
    <w:rsid w:val="003F7F55"/>
    <w:rsid w:val="00401729"/>
    <w:rsid w:val="00402AFB"/>
    <w:rsid w:val="0040375B"/>
    <w:rsid w:val="00403920"/>
    <w:rsid w:val="0040399F"/>
    <w:rsid w:val="00403A48"/>
    <w:rsid w:val="004041BC"/>
    <w:rsid w:val="00404992"/>
    <w:rsid w:val="00404FA1"/>
    <w:rsid w:val="00405015"/>
    <w:rsid w:val="004050D0"/>
    <w:rsid w:val="00405762"/>
    <w:rsid w:val="00406A73"/>
    <w:rsid w:val="00406DCB"/>
    <w:rsid w:val="0040703B"/>
    <w:rsid w:val="00407069"/>
    <w:rsid w:val="00410212"/>
    <w:rsid w:val="00411ED8"/>
    <w:rsid w:val="00412639"/>
    <w:rsid w:val="00413129"/>
    <w:rsid w:val="0041333E"/>
    <w:rsid w:val="0041347C"/>
    <w:rsid w:val="004147FF"/>
    <w:rsid w:val="00414D80"/>
    <w:rsid w:val="00415FEC"/>
    <w:rsid w:val="00416045"/>
    <w:rsid w:val="00416175"/>
    <w:rsid w:val="00416712"/>
    <w:rsid w:val="00416C07"/>
    <w:rsid w:val="004173C5"/>
    <w:rsid w:val="00417999"/>
    <w:rsid w:val="00417DA8"/>
    <w:rsid w:val="004205E9"/>
    <w:rsid w:val="00420F9F"/>
    <w:rsid w:val="00421A2A"/>
    <w:rsid w:val="00421C47"/>
    <w:rsid w:val="004228FF"/>
    <w:rsid w:val="004241A9"/>
    <w:rsid w:val="00424A9E"/>
    <w:rsid w:val="0042732E"/>
    <w:rsid w:val="004278FB"/>
    <w:rsid w:val="00431D6E"/>
    <w:rsid w:val="00432EFA"/>
    <w:rsid w:val="004332E3"/>
    <w:rsid w:val="00435A81"/>
    <w:rsid w:val="00435DAF"/>
    <w:rsid w:val="004365FF"/>
    <w:rsid w:val="004411FD"/>
    <w:rsid w:val="00441650"/>
    <w:rsid w:val="00441D7F"/>
    <w:rsid w:val="004426AB"/>
    <w:rsid w:val="00442DF3"/>
    <w:rsid w:val="0044338B"/>
    <w:rsid w:val="004443CB"/>
    <w:rsid w:val="00447061"/>
    <w:rsid w:val="004512C6"/>
    <w:rsid w:val="00451342"/>
    <w:rsid w:val="004513B5"/>
    <w:rsid w:val="0045282B"/>
    <w:rsid w:val="004535A0"/>
    <w:rsid w:val="004551A0"/>
    <w:rsid w:val="00455518"/>
    <w:rsid w:val="0045667E"/>
    <w:rsid w:val="0045714E"/>
    <w:rsid w:val="0046107D"/>
    <w:rsid w:val="00461B23"/>
    <w:rsid w:val="00461BD1"/>
    <w:rsid w:val="00463CAB"/>
    <w:rsid w:val="0046468B"/>
    <w:rsid w:val="00464FE2"/>
    <w:rsid w:val="004658DB"/>
    <w:rsid w:val="00466D44"/>
    <w:rsid w:val="0047095D"/>
    <w:rsid w:val="00470AD9"/>
    <w:rsid w:val="0047237B"/>
    <w:rsid w:val="0047274D"/>
    <w:rsid w:val="00473251"/>
    <w:rsid w:val="00473825"/>
    <w:rsid w:val="00474522"/>
    <w:rsid w:val="00476D71"/>
    <w:rsid w:val="004802E0"/>
    <w:rsid w:val="00480763"/>
    <w:rsid w:val="00480B81"/>
    <w:rsid w:val="004827B7"/>
    <w:rsid w:val="0048324C"/>
    <w:rsid w:val="004833E3"/>
    <w:rsid w:val="0048399B"/>
    <w:rsid w:val="00484407"/>
    <w:rsid w:val="00484A22"/>
    <w:rsid w:val="00484BA2"/>
    <w:rsid w:val="00485235"/>
    <w:rsid w:val="0048578C"/>
    <w:rsid w:val="00485AA5"/>
    <w:rsid w:val="00486F7F"/>
    <w:rsid w:val="00490B13"/>
    <w:rsid w:val="00490D94"/>
    <w:rsid w:val="0049136E"/>
    <w:rsid w:val="0049291F"/>
    <w:rsid w:val="004961DA"/>
    <w:rsid w:val="004969EC"/>
    <w:rsid w:val="00496DB6"/>
    <w:rsid w:val="0049701E"/>
    <w:rsid w:val="00497B36"/>
    <w:rsid w:val="00497BD8"/>
    <w:rsid w:val="00497CA8"/>
    <w:rsid w:val="00497D17"/>
    <w:rsid w:val="004A15B1"/>
    <w:rsid w:val="004A189D"/>
    <w:rsid w:val="004A1D7B"/>
    <w:rsid w:val="004A3B13"/>
    <w:rsid w:val="004A4D91"/>
    <w:rsid w:val="004A5604"/>
    <w:rsid w:val="004A6A31"/>
    <w:rsid w:val="004A7307"/>
    <w:rsid w:val="004A779B"/>
    <w:rsid w:val="004B234C"/>
    <w:rsid w:val="004B2A52"/>
    <w:rsid w:val="004B2C2E"/>
    <w:rsid w:val="004B3320"/>
    <w:rsid w:val="004B3464"/>
    <w:rsid w:val="004B36D9"/>
    <w:rsid w:val="004B3743"/>
    <w:rsid w:val="004B52B0"/>
    <w:rsid w:val="004B65F5"/>
    <w:rsid w:val="004B6AC8"/>
    <w:rsid w:val="004B6F05"/>
    <w:rsid w:val="004B7BDC"/>
    <w:rsid w:val="004C3460"/>
    <w:rsid w:val="004C46A9"/>
    <w:rsid w:val="004C5D33"/>
    <w:rsid w:val="004C694F"/>
    <w:rsid w:val="004D1232"/>
    <w:rsid w:val="004D133F"/>
    <w:rsid w:val="004D3932"/>
    <w:rsid w:val="004D55D7"/>
    <w:rsid w:val="004D57E0"/>
    <w:rsid w:val="004D6118"/>
    <w:rsid w:val="004D6E96"/>
    <w:rsid w:val="004E2B9D"/>
    <w:rsid w:val="004E377A"/>
    <w:rsid w:val="004E3ECA"/>
    <w:rsid w:val="004E3F67"/>
    <w:rsid w:val="004E5A12"/>
    <w:rsid w:val="004E5D28"/>
    <w:rsid w:val="004E6399"/>
    <w:rsid w:val="004E704C"/>
    <w:rsid w:val="004E71C5"/>
    <w:rsid w:val="004F04E1"/>
    <w:rsid w:val="004F2C4D"/>
    <w:rsid w:val="004F31BB"/>
    <w:rsid w:val="004F3216"/>
    <w:rsid w:val="004F3624"/>
    <w:rsid w:val="004F3F0B"/>
    <w:rsid w:val="004F51DE"/>
    <w:rsid w:val="004F5213"/>
    <w:rsid w:val="004F6FB1"/>
    <w:rsid w:val="005004B4"/>
    <w:rsid w:val="00500D89"/>
    <w:rsid w:val="00501B70"/>
    <w:rsid w:val="00501BDB"/>
    <w:rsid w:val="00502B90"/>
    <w:rsid w:val="00502E27"/>
    <w:rsid w:val="005032DF"/>
    <w:rsid w:val="005032EF"/>
    <w:rsid w:val="005038EF"/>
    <w:rsid w:val="00504020"/>
    <w:rsid w:val="005044FB"/>
    <w:rsid w:val="0050563D"/>
    <w:rsid w:val="00505AE6"/>
    <w:rsid w:val="0050639A"/>
    <w:rsid w:val="005069EB"/>
    <w:rsid w:val="005075AB"/>
    <w:rsid w:val="005078F8"/>
    <w:rsid w:val="00507EC3"/>
    <w:rsid w:val="00511D18"/>
    <w:rsid w:val="00513939"/>
    <w:rsid w:val="00514788"/>
    <w:rsid w:val="005154A2"/>
    <w:rsid w:val="0051718C"/>
    <w:rsid w:val="00520F6A"/>
    <w:rsid w:val="00520F78"/>
    <w:rsid w:val="0052251C"/>
    <w:rsid w:val="005227A5"/>
    <w:rsid w:val="005270DB"/>
    <w:rsid w:val="005274C4"/>
    <w:rsid w:val="005274D0"/>
    <w:rsid w:val="00530522"/>
    <w:rsid w:val="00532E15"/>
    <w:rsid w:val="005332D7"/>
    <w:rsid w:val="005344EC"/>
    <w:rsid w:val="00534AD2"/>
    <w:rsid w:val="00535811"/>
    <w:rsid w:val="00535D18"/>
    <w:rsid w:val="00536723"/>
    <w:rsid w:val="00536D4F"/>
    <w:rsid w:val="00536E92"/>
    <w:rsid w:val="00541CEC"/>
    <w:rsid w:val="005428FE"/>
    <w:rsid w:val="0054433C"/>
    <w:rsid w:val="005451C5"/>
    <w:rsid w:val="005464A0"/>
    <w:rsid w:val="00546B54"/>
    <w:rsid w:val="00547245"/>
    <w:rsid w:val="0054783B"/>
    <w:rsid w:val="00550414"/>
    <w:rsid w:val="005511B8"/>
    <w:rsid w:val="00551DEA"/>
    <w:rsid w:val="00552026"/>
    <w:rsid w:val="00552F52"/>
    <w:rsid w:val="0055359D"/>
    <w:rsid w:val="00553712"/>
    <w:rsid w:val="00553806"/>
    <w:rsid w:val="00553FFD"/>
    <w:rsid w:val="005540F6"/>
    <w:rsid w:val="00554154"/>
    <w:rsid w:val="00555126"/>
    <w:rsid w:val="00556AC7"/>
    <w:rsid w:val="00560F71"/>
    <w:rsid w:val="0056115D"/>
    <w:rsid w:val="00561CE5"/>
    <w:rsid w:val="005620C8"/>
    <w:rsid w:val="005667D0"/>
    <w:rsid w:val="005669A7"/>
    <w:rsid w:val="00567933"/>
    <w:rsid w:val="00567AE2"/>
    <w:rsid w:val="005702F0"/>
    <w:rsid w:val="00570408"/>
    <w:rsid w:val="0057060E"/>
    <w:rsid w:val="00570B36"/>
    <w:rsid w:val="00570D1A"/>
    <w:rsid w:val="00571341"/>
    <w:rsid w:val="00571891"/>
    <w:rsid w:val="0057199A"/>
    <w:rsid w:val="00573624"/>
    <w:rsid w:val="0057389B"/>
    <w:rsid w:val="00573E2D"/>
    <w:rsid w:val="00574175"/>
    <w:rsid w:val="0057428F"/>
    <w:rsid w:val="00577406"/>
    <w:rsid w:val="005774F1"/>
    <w:rsid w:val="00581563"/>
    <w:rsid w:val="00581C2E"/>
    <w:rsid w:val="00581E4D"/>
    <w:rsid w:val="005840E7"/>
    <w:rsid w:val="0058412D"/>
    <w:rsid w:val="00584CD0"/>
    <w:rsid w:val="00584D7F"/>
    <w:rsid w:val="00585797"/>
    <w:rsid w:val="00586EE1"/>
    <w:rsid w:val="00590211"/>
    <w:rsid w:val="005902F8"/>
    <w:rsid w:val="00590DA8"/>
    <w:rsid w:val="00591931"/>
    <w:rsid w:val="00592333"/>
    <w:rsid w:val="005927C5"/>
    <w:rsid w:val="00592B03"/>
    <w:rsid w:val="0059398D"/>
    <w:rsid w:val="00594263"/>
    <w:rsid w:val="00594D00"/>
    <w:rsid w:val="0059554A"/>
    <w:rsid w:val="00595D26"/>
    <w:rsid w:val="0059704E"/>
    <w:rsid w:val="00597796"/>
    <w:rsid w:val="005A1DE1"/>
    <w:rsid w:val="005A2019"/>
    <w:rsid w:val="005A232E"/>
    <w:rsid w:val="005A2D5E"/>
    <w:rsid w:val="005A3CE8"/>
    <w:rsid w:val="005A4037"/>
    <w:rsid w:val="005A4B5B"/>
    <w:rsid w:val="005A4BAA"/>
    <w:rsid w:val="005A5F86"/>
    <w:rsid w:val="005B0BEC"/>
    <w:rsid w:val="005B2FA6"/>
    <w:rsid w:val="005B30EE"/>
    <w:rsid w:val="005B332C"/>
    <w:rsid w:val="005B3F62"/>
    <w:rsid w:val="005B44F9"/>
    <w:rsid w:val="005B4760"/>
    <w:rsid w:val="005B4F65"/>
    <w:rsid w:val="005B4F88"/>
    <w:rsid w:val="005B5818"/>
    <w:rsid w:val="005B5E17"/>
    <w:rsid w:val="005B6121"/>
    <w:rsid w:val="005B6147"/>
    <w:rsid w:val="005B7FD2"/>
    <w:rsid w:val="005C004A"/>
    <w:rsid w:val="005C010D"/>
    <w:rsid w:val="005C0379"/>
    <w:rsid w:val="005C04C6"/>
    <w:rsid w:val="005C05E6"/>
    <w:rsid w:val="005C0EF3"/>
    <w:rsid w:val="005C137F"/>
    <w:rsid w:val="005C1CC2"/>
    <w:rsid w:val="005C1CFE"/>
    <w:rsid w:val="005C293B"/>
    <w:rsid w:val="005C2C48"/>
    <w:rsid w:val="005C31F4"/>
    <w:rsid w:val="005C3931"/>
    <w:rsid w:val="005C4328"/>
    <w:rsid w:val="005C4E91"/>
    <w:rsid w:val="005C54FB"/>
    <w:rsid w:val="005C6A7E"/>
    <w:rsid w:val="005C728D"/>
    <w:rsid w:val="005D1BCD"/>
    <w:rsid w:val="005D1D70"/>
    <w:rsid w:val="005D2236"/>
    <w:rsid w:val="005D2F7A"/>
    <w:rsid w:val="005D3194"/>
    <w:rsid w:val="005D34A1"/>
    <w:rsid w:val="005D3917"/>
    <w:rsid w:val="005D3E74"/>
    <w:rsid w:val="005D4CBB"/>
    <w:rsid w:val="005D6169"/>
    <w:rsid w:val="005D62AB"/>
    <w:rsid w:val="005D6B8B"/>
    <w:rsid w:val="005D7312"/>
    <w:rsid w:val="005D76C1"/>
    <w:rsid w:val="005E0948"/>
    <w:rsid w:val="005E18DC"/>
    <w:rsid w:val="005E19CF"/>
    <w:rsid w:val="005E2244"/>
    <w:rsid w:val="005E25DD"/>
    <w:rsid w:val="005E3BC5"/>
    <w:rsid w:val="005E4EF9"/>
    <w:rsid w:val="005E5C59"/>
    <w:rsid w:val="005E5EA8"/>
    <w:rsid w:val="005E671F"/>
    <w:rsid w:val="005E6C9F"/>
    <w:rsid w:val="005F1583"/>
    <w:rsid w:val="005F20D2"/>
    <w:rsid w:val="005F2A82"/>
    <w:rsid w:val="005F3081"/>
    <w:rsid w:val="005F4761"/>
    <w:rsid w:val="005F5007"/>
    <w:rsid w:val="005F5FB9"/>
    <w:rsid w:val="005F79A3"/>
    <w:rsid w:val="00600777"/>
    <w:rsid w:val="00600955"/>
    <w:rsid w:val="006016A0"/>
    <w:rsid w:val="00602C8B"/>
    <w:rsid w:val="00603183"/>
    <w:rsid w:val="006037FF"/>
    <w:rsid w:val="00603B58"/>
    <w:rsid w:val="00604831"/>
    <w:rsid w:val="00604B83"/>
    <w:rsid w:val="006072BB"/>
    <w:rsid w:val="006111CA"/>
    <w:rsid w:val="00611223"/>
    <w:rsid w:val="006113D7"/>
    <w:rsid w:val="006121D3"/>
    <w:rsid w:val="006124F9"/>
    <w:rsid w:val="00614CB5"/>
    <w:rsid w:val="0061505C"/>
    <w:rsid w:val="0061554B"/>
    <w:rsid w:val="00616E2B"/>
    <w:rsid w:val="006219FE"/>
    <w:rsid w:val="006223C7"/>
    <w:rsid w:val="00622423"/>
    <w:rsid w:val="00622BD7"/>
    <w:rsid w:val="00623510"/>
    <w:rsid w:val="006254C3"/>
    <w:rsid w:val="00625985"/>
    <w:rsid w:val="00626614"/>
    <w:rsid w:val="00626A66"/>
    <w:rsid w:val="00627A27"/>
    <w:rsid w:val="00631053"/>
    <w:rsid w:val="0063172C"/>
    <w:rsid w:val="006317DF"/>
    <w:rsid w:val="00631BE4"/>
    <w:rsid w:val="0063214F"/>
    <w:rsid w:val="0063261A"/>
    <w:rsid w:val="00632AE1"/>
    <w:rsid w:val="00632B3D"/>
    <w:rsid w:val="006336BB"/>
    <w:rsid w:val="00633F55"/>
    <w:rsid w:val="00634AED"/>
    <w:rsid w:val="00635B7B"/>
    <w:rsid w:val="006361EF"/>
    <w:rsid w:val="0063668D"/>
    <w:rsid w:val="00637387"/>
    <w:rsid w:val="006406FF"/>
    <w:rsid w:val="00640EFB"/>
    <w:rsid w:val="00640F1B"/>
    <w:rsid w:val="00641B0D"/>
    <w:rsid w:val="00642CCD"/>
    <w:rsid w:val="0064302E"/>
    <w:rsid w:val="00643F87"/>
    <w:rsid w:val="00644019"/>
    <w:rsid w:val="00645100"/>
    <w:rsid w:val="006451F8"/>
    <w:rsid w:val="00646C20"/>
    <w:rsid w:val="00646D95"/>
    <w:rsid w:val="00646DF7"/>
    <w:rsid w:val="00647662"/>
    <w:rsid w:val="006477FD"/>
    <w:rsid w:val="00650175"/>
    <w:rsid w:val="006504A5"/>
    <w:rsid w:val="00650515"/>
    <w:rsid w:val="00651FC3"/>
    <w:rsid w:val="00652CCE"/>
    <w:rsid w:val="006532E1"/>
    <w:rsid w:val="006534FC"/>
    <w:rsid w:val="0065366F"/>
    <w:rsid w:val="00653F3C"/>
    <w:rsid w:val="0065488F"/>
    <w:rsid w:val="006562FE"/>
    <w:rsid w:val="00656576"/>
    <w:rsid w:val="00656709"/>
    <w:rsid w:val="006575D4"/>
    <w:rsid w:val="00660C85"/>
    <w:rsid w:val="00661700"/>
    <w:rsid w:val="00662327"/>
    <w:rsid w:val="00662583"/>
    <w:rsid w:val="00662644"/>
    <w:rsid w:val="00663927"/>
    <w:rsid w:val="00663CE5"/>
    <w:rsid w:val="006655A6"/>
    <w:rsid w:val="00665855"/>
    <w:rsid w:val="0066602A"/>
    <w:rsid w:val="006666FE"/>
    <w:rsid w:val="00666D20"/>
    <w:rsid w:val="00670406"/>
    <w:rsid w:val="00672004"/>
    <w:rsid w:val="00672A96"/>
    <w:rsid w:val="006745EC"/>
    <w:rsid w:val="006755E6"/>
    <w:rsid w:val="00676003"/>
    <w:rsid w:val="00676460"/>
    <w:rsid w:val="00676F21"/>
    <w:rsid w:val="00676F3B"/>
    <w:rsid w:val="00680AAA"/>
    <w:rsid w:val="00681695"/>
    <w:rsid w:val="0068198C"/>
    <w:rsid w:val="006822EC"/>
    <w:rsid w:val="00684145"/>
    <w:rsid w:val="00685696"/>
    <w:rsid w:val="00685919"/>
    <w:rsid w:val="00686A52"/>
    <w:rsid w:val="006874C5"/>
    <w:rsid w:val="00687EEE"/>
    <w:rsid w:val="006901C1"/>
    <w:rsid w:val="0069155F"/>
    <w:rsid w:val="006917CC"/>
    <w:rsid w:val="00691A1F"/>
    <w:rsid w:val="00694301"/>
    <w:rsid w:val="00694589"/>
    <w:rsid w:val="0069503B"/>
    <w:rsid w:val="0069576A"/>
    <w:rsid w:val="006973B6"/>
    <w:rsid w:val="006973D8"/>
    <w:rsid w:val="006A0981"/>
    <w:rsid w:val="006A0FA1"/>
    <w:rsid w:val="006A43AE"/>
    <w:rsid w:val="006A4C92"/>
    <w:rsid w:val="006A5166"/>
    <w:rsid w:val="006A5B94"/>
    <w:rsid w:val="006A7139"/>
    <w:rsid w:val="006B3647"/>
    <w:rsid w:val="006B376E"/>
    <w:rsid w:val="006B44B8"/>
    <w:rsid w:val="006B602E"/>
    <w:rsid w:val="006B618A"/>
    <w:rsid w:val="006C2B77"/>
    <w:rsid w:val="006C6368"/>
    <w:rsid w:val="006C7427"/>
    <w:rsid w:val="006C763C"/>
    <w:rsid w:val="006D0452"/>
    <w:rsid w:val="006D04FA"/>
    <w:rsid w:val="006D11AC"/>
    <w:rsid w:val="006D123B"/>
    <w:rsid w:val="006D1700"/>
    <w:rsid w:val="006D1E9A"/>
    <w:rsid w:val="006D2EE0"/>
    <w:rsid w:val="006D3568"/>
    <w:rsid w:val="006D3831"/>
    <w:rsid w:val="006E04D5"/>
    <w:rsid w:val="006E05CF"/>
    <w:rsid w:val="006E09D0"/>
    <w:rsid w:val="006E4011"/>
    <w:rsid w:val="006E4744"/>
    <w:rsid w:val="006E4910"/>
    <w:rsid w:val="006E5C91"/>
    <w:rsid w:val="006E7BB8"/>
    <w:rsid w:val="006E7CA6"/>
    <w:rsid w:val="006F0530"/>
    <w:rsid w:val="006F126B"/>
    <w:rsid w:val="006F276A"/>
    <w:rsid w:val="006F3798"/>
    <w:rsid w:val="006F443A"/>
    <w:rsid w:val="006F5574"/>
    <w:rsid w:val="006F5FA6"/>
    <w:rsid w:val="006F7D73"/>
    <w:rsid w:val="00700106"/>
    <w:rsid w:val="00700387"/>
    <w:rsid w:val="00700627"/>
    <w:rsid w:val="0070072B"/>
    <w:rsid w:val="00700CBC"/>
    <w:rsid w:val="007016CD"/>
    <w:rsid w:val="007028CD"/>
    <w:rsid w:val="00702F05"/>
    <w:rsid w:val="00703C7F"/>
    <w:rsid w:val="007045A6"/>
    <w:rsid w:val="0070483D"/>
    <w:rsid w:val="00704FD7"/>
    <w:rsid w:val="007052C3"/>
    <w:rsid w:val="00705EE0"/>
    <w:rsid w:val="007065FE"/>
    <w:rsid w:val="00710F65"/>
    <w:rsid w:val="00712F39"/>
    <w:rsid w:val="007138C5"/>
    <w:rsid w:val="0071487B"/>
    <w:rsid w:val="007150BE"/>
    <w:rsid w:val="00715A02"/>
    <w:rsid w:val="00715F8A"/>
    <w:rsid w:val="007161E4"/>
    <w:rsid w:val="00716DB2"/>
    <w:rsid w:val="00717E47"/>
    <w:rsid w:val="0072272B"/>
    <w:rsid w:val="00726DD0"/>
    <w:rsid w:val="007271B9"/>
    <w:rsid w:val="00727AE1"/>
    <w:rsid w:val="00731499"/>
    <w:rsid w:val="00731B35"/>
    <w:rsid w:val="00731CD2"/>
    <w:rsid w:val="00734823"/>
    <w:rsid w:val="00736BDD"/>
    <w:rsid w:val="00740892"/>
    <w:rsid w:val="007420BC"/>
    <w:rsid w:val="007435BC"/>
    <w:rsid w:val="007440CF"/>
    <w:rsid w:val="007447C3"/>
    <w:rsid w:val="007448EF"/>
    <w:rsid w:val="007470CA"/>
    <w:rsid w:val="007476F7"/>
    <w:rsid w:val="00750399"/>
    <w:rsid w:val="007506D4"/>
    <w:rsid w:val="00750986"/>
    <w:rsid w:val="0075102F"/>
    <w:rsid w:val="0075229E"/>
    <w:rsid w:val="00752CB0"/>
    <w:rsid w:val="007541E7"/>
    <w:rsid w:val="00754421"/>
    <w:rsid w:val="007556FA"/>
    <w:rsid w:val="00756B3C"/>
    <w:rsid w:val="00756D45"/>
    <w:rsid w:val="007570FE"/>
    <w:rsid w:val="00760227"/>
    <w:rsid w:val="0076143F"/>
    <w:rsid w:val="00761960"/>
    <w:rsid w:val="007619FB"/>
    <w:rsid w:val="00763225"/>
    <w:rsid w:val="007637E8"/>
    <w:rsid w:val="00763E5E"/>
    <w:rsid w:val="00763EAD"/>
    <w:rsid w:val="0076453B"/>
    <w:rsid w:val="00764984"/>
    <w:rsid w:val="00766D98"/>
    <w:rsid w:val="00767203"/>
    <w:rsid w:val="007673A5"/>
    <w:rsid w:val="00767B6E"/>
    <w:rsid w:val="00770611"/>
    <w:rsid w:val="00770752"/>
    <w:rsid w:val="00770DB3"/>
    <w:rsid w:val="0077105E"/>
    <w:rsid w:val="007712BA"/>
    <w:rsid w:val="00774F5A"/>
    <w:rsid w:val="00775A41"/>
    <w:rsid w:val="00777765"/>
    <w:rsid w:val="00777CC6"/>
    <w:rsid w:val="00780262"/>
    <w:rsid w:val="00780F92"/>
    <w:rsid w:val="007817E0"/>
    <w:rsid w:val="00781F74"/>
    <w:rsid w:val="00782259"/>
    <w:rsid w:val="00784002"/>
    <w:rsid w:val="00784BB7"/>
    <w:rsid w:val="007853E6"/>
    <w:rsid w:val="00786867"/>
    <w:rsid w:val="00786BDC"/>
    <w:rsid w:val="00786C4F"/>
    <w:rsid w:val="00787371"/>
    <w:rsid w:val="007873DF"/>
    <w:rsid w:val="00787C58"/>
    <w:rsid w:val="00787D67"/>
    <w:rsid w:val="007919C6"/>
    <w:rsid w:val="00791A76"/>
    <w:rsid w:val="00791FA8"/>
    <w:rsid w:val="00792168"/>
    <w:rsid w:val="00793D4F"/>
    <w:rsid w:val="007967D5"/>
    <w:rsid w:val="00796BC4"/>
    <w:rsid w:val="007973FC"/>
    <w:rsid w:val="007A0117"/>
    <w:rsid w:val="007A09C8"/>
    <w:rsid w:val="007A09E8"/>
    <w:rsid w:val="007A1483"/>
    <w:rsid w:val="007A1AE4"/>
    <w:rsid w:val="007A29E7"/>
    <w:rsid w:val="007A2A53"/>
    <w:rsid w:val="007A4215"/>
    <w:rsid w:val="007A4578"/>
    <w:rsid w:val="007A531E"/>
    <w:rsid w:val="007A5AA0"/>
    <w:rsid w:val="007A647D"/>
    <w:rsid w:val="007A74AE"/>
    <w:rsid w:val="007B11EA"/>
    <w:rsid w:val="007B1CD6"/>
    <w:rsid w:val="007B251D"/>
    <w:rsid w:val="007B35D2"/>
    <w:rsid w:val="007B38C3"/>
    <w:rsid w:val="007B3C98"/>
    <w:rsid w:val="007B621C"/>
    <w:rsid w:val="007B778F"/>
    <w:rsid w:val="007B7BD2"/>
    <w:rsid w:val="007B7FD5"/>
    <w:rsid w:val="007C215A"/>
    <w:rsid w:val="007C25C9"/>
    <w:rsid w:val="007C2AC5"/>
    <w:rsid w:val="007C2B52"/>
    <w:rsid w:val="007C3241"/>
    <w:rsid w:val="007C33DF"/>
    <w:rsid w:val="007C3E36"/>
    <w:rsid w:val="007C5DE2"/>
    <w:rsid w:val="007C6065"/>
    <w:rsid w:val="007C634A"/>
    <w:rsid w:val="007D2E6D"/>
    <w:rsid w:val="007D63AE"/>
    <w:rsid w:val="007D66DC"/>
    <w:rsid w:val="007E25E0"/>
    <w:rsid w:val="007E48DD"/>
    <w:rsid w:val="007E525F"/>
    <w:rsid w:val="007E526C"/>
    <w:rsid w:val="007E6122"/>
    <w:rsid w:val="007F03C8"/>
    <w:rsid w:val="007F0F86"/>
    <w:rsid w:val="007F133E"/>
    <w:rsid w:val="007F230F"/>
    <w:rsid w:val="007F2783"/>
    <w:rsid w:val="007F2D9A"/>
    <w:rsid w:val="007F3042"/>
    <w:rsid w:val="007F3234"/>
    <w:rsid w:val="007F3A4A"/>
    <w:rsid w:val="007F3EF6"/>
    <w:rsid w:val="007F40B3"/>
    <w:rsid w:val="007F4BB7"/>
    <w:rsid w:val="007F5132"/>
    <w:rsid w:val="007F55B1"/>
    <w:rsid w:val="00802024"/>
    <w:rsid w:val="00802E40"/>
    <w:rsid w:val="00803C75"/>
    <w:rsid w:val="00803CBB"/>
    <w:rsid w:val="00804292"/>
    <w:rsid w:val="0080444C"/>
    <w:rsid w:val="00806089"/>
    <w:rsid w:val="00806A1C"/>
    <w:rsid w:val="00807169"/>
    <w:rsid w:val="00810D46"/>
    <w:rsid w:val="00811B7A"/>
    <w:rsid w:val="00811E23"/>
    <w:rsid w:val="008135FB"/>
    <w:rsid w:val="00813EDD"/>
    <w:rsid w:val="00814CAF"/>
    <w:rsid w:val="00815038"/>
    <w:rsid w:val="008154F6"/>
    <w:rsid w:val="00815528"/>
    <w:rsid w:val="00815651"/>
    <w:rsid w:val="008159F3"/>
    <w:rsid w:val="00815F38"/>
    <w:rsid w:val="008160A1"/>
    <w:rsid w:val="008205C2"/>
    <w:rsid w:val="00820DC1"/>
    <w:rsid w:val="008227A4"/>
    <w:rsid w:val="00822F81"/>
    <w:rsid w:val="00823E33"/>
    <w:rsid w:val="00825EDD"/>
    <w:rsid w:val="0082654F"/>
    <w:rsid w:val="008266D0"/>
    <w:rsid w:val="00830138"/>
    <w:rsid w:val="00831781"/>
    <w:rsid w:val="00833D65"/>
    <w:rsid w:val="0083541E"/>
    <w:rsid w:val="00836C4B"/>
    <w:rsid w:val="008373DD"/>
    <w:rsid w:val="008408C1"/>
    <w:rsid w:val="00840DAD"/>
    <w:rsid w:val="00841315"/>
    <w:rsid w:val="00841661"/>
    <w:rsid w:val="00842B89"/>
    <w:rsid w:val="00844475"/>
    <w:rsid w:val="00845B5E"/>
    <w:rsid w:val="00847C88"/>
    <w:rsid w:val="00850096"/>
    <w:rsid w:val="00850F96"/>
    <w:rsid w:val="0085106B"/>
    <w:rsid w:val="00851DD7"/>
    <w:rsid w:val="00852B89"/>
    <w:rsid w:val="00853E18"/>
    <w:rsid w:val="00854D7B"/>
    <w:rsid w:val="008550C0"/>
    <w:rsid w:val="008557D8"/>
    <w:rsid w:val="00862F2C"/>
    <w:rsid w:val="0086400C"/>
    <w:rsid w:val="0086466C"/>
    <w:rsid w:val="00866033"/>
    <w:rsid w:val="008665BD"/>
    <w:rsid w:val="008666C3"/>
    <w:rsid w:val="00866ACC"/>
    <w:rsid w:val="00866DFF"/>
    <w:rsid w:val="008673C3"/>
    <w:rsid w:val="00867745"/>
    <w:rsid w:val="00867924"/>
    <w:rsid w:val="00870F3C"/>
    <w:rsid w:val="00871217"/>
    <w:rsid w:val="00876DD1"/>
    <w:rsid w:val="008774B8"/>
    <w:rsid w:val="008809A6"/>
    <w:rsid w:val="008816F3"/>
    <w:rsid w:val="00882660"/>
    <w:rsid w:val="00882ADC"/>
    <w:rsid w:val="00882C40"/>
    <w:rsid w:val="00883871"/>
    <w:rsid w:val="008857BF"/>
    <w:rsid w:val="008857F9"/>
    <w:rsid w:val="00886CFA"/>
    <w:rsid w:val="00887829"/>
    <w:rsid w:val="008906A4"/>
    <w:rsid w:val="008910C1"/>
    <w:rsid w:val="00891405"/>
    <w:rsid w:val="00891A15"/>
    <w:rsid w:val="00891DBA"/>
    <w:rsid w:val="00892454"/>
    <w:rsid w:val="00892E52"/>
    <w:rsid w:val="008933C2"/>
    <w:rsid w:val="00894E38"/>
    <w:rsid w:val="008952AA"/>
    <w:rsid w:val="00895ED5"/>
    <w:rsid w:val="00896782"/>
    <w:rsid w:val="0089698A"/>
    <w:rsid w:val="008974C7"/>
    <w:rsid w:val="0089779E"/>
    <w:rsid w:val="00897D97"/>
    <w:rsid w:val="008A312D"/>
    <w:rsid w:val="008A4268"/>
    <w:rsid w:val="008A58ED"/>
    <w:rsid w:val="008A670D"/>
    <w:rsid w:val="008A7AEE"/>
    <w:rsid w:val="008B0E25"/>
    <w:rsid w:val="008B2B73"/>
    <w:rsid w:val="008B32B2"/>
    <w:rsid w:val="008B36AD"/>
    <w:rsid w:val="008B46BE"/>
    <w:rsid w:val="008B53F1"/>
    <w:rsid w:val="008B7688"/>
    <w:rsid w:val="008C1556"/>
    <w:rsid w:val="008C28C1"/>
    <w:rsid w:val="008C2FA4"/>
    <w:rsid w:val="008C35DF"/>
    <w:rsid w:val="008C3D0A"/>
    <w:rsid w:val="008C3F5E"/>
    <w:rsid w:val="008C412E"/>
    <w:rsid w:val="008C47B7"/>
    <w:rsid w:val="008C4EB0"/>
    <w:rsid w:val="008C5645"/>
    <w:rsid w:val="008C5B66"/>
    <w:rsid w:val="008C66B9"/>
    <w:rsid w:val="008D1098"/>
    <w:rsid w:val="008D190E"/>
    <w:rsid w:val="008D1B45"/>
    <w:rsid w:val="008D1D8B"/>
    <w:rsid w:val="008D4D2A"/>
    <w:rsid w:val="008D5155"/>
    <w:rsid w:val="008D537F"/>
    <w:rsid w:val="008D5BCD"/>
    <w:rsid w:val="008D5FE8"/>
    <w:rsid w:val="008D600E"/>
    <w:rsid w:val="008D611F"/>
    <w:rsid w:val="008D6A74"/>
    <w:rsid w:val="008E09EB"/>
    <w:rsid w:val="008E22C3"/>
    <w:rsid w:val="008E22FF"/>
    <w:rsid w:val="008E29A5"/>
    <w:rsid w:val="008E4085"/>
    <w:rsid w:val="008E4B71"/>
    <w:rsid w:val="008E5071"/>
    <w:rsid w:val="008E637F"/>
    <w:rsid w:val="008E63C6"/>
    <w:rsid w:val="008E6C5E"/>
    <w:rsid w:val="008E73C7"/>
    <w:rsid w:val="008E7831"/>
    <w:rsid w:val="008E79D5"/>
    <w:rsid w:val="008F02F6"/>
    <w:rsid w:val="008F144A"/>
    <w:rsid w:val="008F16A4"/>
    <w:rsid w:val="008F22AC"/>
    <w:rsid w:val="008F290E"/>
    <w:rsid w:val="008F3E79"/>
    <w:rsid w:val="008F4FD8"/>
    <w:rsid w:val="008F711B"/>
    <w:rsid w:val="008F737D"/>
    <w:rsid w:val="008F7800"/>
    <w:rsid w:val="008F7C13"/>
    <w:rsid w:val="00900C8F"/>
    <w:rsid w:val="009010E6"/>
    <w:rsid w:val="00903842"/>
    <w:rsid w:val="009044E4"/>
    <w:rsid w:val="009048D3"/>
    <w:rsid w:val="00905B0B"/>
    <w:rsid w:val="0090673D"/>
    <w:rsid w:val="009073DB"/>
    <w:rsid w:val="00913276"/>
    <w:rsid w:val="00913889"/>
    <w:rsid w:val="0091412C"/>
    <w:rsid w:val="009152CB"/>
    <w:rsid w:val="009159E5"/>
    <w:rsid w:val="00917D5F"/>
    <w:rsid w:val="00920B3D"/>
    <w:rsid w:val="00920D7F"/>
    <w:rsid w:val="009214C1"/>
    <w:rsid w:val="00923FB1"/>
    <w:rsid w:val="009245BD"/>
    <w:rsid w:val="00925192"/>
    <w:rsid w:val="00925514"/>
    <w:rsid w:val="00926BC7"/>
    <w:rsid w:val="00927339"/>
    <w:rsid w:val="0093066A"/>
    <w:rsid w:val="00933122"/>
    <w:rsid w:val="009332C1"/>
    <w:rsid w:val="009332DA"/>
    <w:rsid w:val="009341CE"/>
    <w:rsid w:val="00934277"/>
    <w:rsid w:val="00934E3B"/>
    <w:rsid w:val="009377CA"/>
    <w:rsid w:val="00937C86"/>
    <w:rsid w:val="009404C2"/>
    <w:rsid w:val="00940E04"/>
    <w:rsid w:val="00941819"/>
    <w:rsid w:val="009429E2"/>
    <w:rsid w:val="00942EAB"/>
    <w:rsid w:val="00942F27"/>
    <w:rsid w:val="009431BD"/>
    <w:rsid w:val="009445AF"/>
    <w:rsid w:val="0094566E"/>
    <w:rsid w:val="009456F6"/>
    <w:rsid w:val="009463EB"/>
    <w:rsid w:val="00946A51"/>
    <w:rsid w:val="009477DA"/>
    <w:rsid w:val="00950015"/>
    <w:rsid w:val="00951198"/>
    <w:rsid w:val="00952013"/>
    <w:rsid w:val="00952600"/>
    <w:rsid w:val="00952933"/>
    <w:rsid w:val="00953559"/>
    <w:rsid w:val="00953692"/>
    <w:rsid w:val="00954CC8"/>
    <w:rsid w:val="00955A35"/>
    <w:rsid w:val="00956967"/>
    <w:rsid w:val="0095720A"/>
    <w:rsid w:val="009600A2"/>
    <w:rsid w:val="00961941"/>
    <w:rsid w:val="00961CA4"/>
    <w:rsid w:val="00961D72"/>
    <w:rsid w:val="009631E6"/>
    <w:rsid w:val="00964DCC"/>
    <w:rsid w:val="00965062"/>
    <w:rsid w:val="009658C3"/>
    <w:rsid w:val="00966C00"/>
    <w:rsid w:val="00967841"/>
    <w:rsid w:val="00972948"/>
    <w:rsid w:val="00972C7D"/>
    <w:rsid w:val="00972F12"/>
    <w:rsid w:val="00973EA3"/>
    <w:rsid w:val="00974735"/>
    <w:rsid w:val="00974A2B"/>
    <w:rsid w:val="00975112"/>
    <w:rsid w:val="0097585E"/>
    <w:rsid w:val="00977580"/>
    <w:rsid w:val="00977DAE"/>
    <w:rsid w:val="0098072D"/>
    <w:rsid w:val="0098084B"/>
    <w:rsid w:val="00980EDD"/>
    <w:rsid w:val="00980FC9"/>
    <w:rsid w:val="009823B8"/>
    <w:rsid w:val="009833DE"/>
    <w:rsid w:val="00985231"/>
    <w:rsid w:val="0098556C"/>
    <w:rsid w:val="00985809"/>
    <w:rsid w:val="00985C90"/>
    <w:rsid w:val="009864BD"/>
    <w:rsid w:val="009868EF"/>
    <w:rsid w:val="0098759B"/>
    <w:rsid w:val="0098763B"/>
    <w:rsid w:val="009876AB"/>
    <w:rsid w:val="00991EB1"/>
    <w:rsid w:val="00992C1A"/>
    <w:rsid w:val="00992C5B"/>
    <w:rsid w:val="00993979"/>
    <w:rsid w:val="00994159"/>
    <w:rsid w:val="00994A1D"/>
    <w:rsid w:val="00995372"/>
    <w:rsid w:val="00995BF7"/>
    <w:rsid w:val="00995E5D"/>
    <w:rsid w:val="009964DD"/>
    <w:rsid w:val="0099679C"/>
    <w:rsid w:val="009A18C3"/>
    <w:rsid w:val="009A1E9C"/>
    <w:rsid w:val="009A1EC8"/>
    <w:rsid w:val="009A226C"/>
    <w:rsid w:val="009A229D"/>
    <w:rsid w:val="009A2434"/>
    <w:rsid w:val="009A2A35"/>
    <w:rsid w:val="009A2AD0"/>
    <w:rsid w:val="009A2F17"/>
    <w:rsid w:val="009A3EE2"/>
    <w:rsid w:val="009A6F07"/>
    <w:rsid w:val="009A7DFD"/>
    <w:rsid w:val="009B16F5"/>
    <w:rsid w:val="009B1835"/>
    <w:rsid w:val="009B2C7E"/>
    <w:rsid w:val="009B2F5F"/>
    <w:rsid w:val="009B2FF5"/>
    <w:rsid w:val="009B33BB"/>
    <w:rsid w:val="009B4673"/>
    <w:rsid w:val="009B5BC0"/>
    <w:rsid w:val="009B7037"/>
    <w:rsid w:val="009B75A9"/>
    <w:rsid w:val="009C02D1"/>
    <w:rsid w:val="009C0669"/>
    <w:rsid w:val="009C0D87"/>
    <w:rsid w:val="009C358C"/>
    <w:rsid w:val="009C3F4D"/>
    <w:rsid w:val="009C3FA1"/>
    <w:rsid w:val="009C450B"/>
    <w:rsid w:val="009C75B2"/>
    <w:rsid w:val="009C767B"/>
    <w:rsid w:val="009C78C9"/>
    <w:rsid w:val="009D0971"/>
    <w:rsid w:val="009D19C2"/>
    <w:rsid w:val="009D1FF6"/>
    <w:rsid w:val="009D4A91"/>
    <w:rsid w:val="009D5E7D"/>
    <w:rsid w:val="009D6EE9"/>
    <w:rsid w:val="009D717B"/>
    <w:rsid w:val="009D7C09"/>
    <w:rsid w:val="009E0B9C"/>
    <w:rsid w:val="009E224C"/>
    <w:rsid w:val="009E2BC3"/>
    <w:rsid w:val="009E2C34"/>
    <w:rsid w:val="009E3BB0"/>
    <w:rsid w:val="009E4E61"/>
    <w:rsid w:val="009E6DBF"/>
    <w:rsid w:val="009E6EAD"/>
    <w:rsid w:val="009E7575"/>
    <w:rsid w:val="009E7DF9"/>
    <w:rsid w:val="009F0BD7"/>
    <w:rsid w:val="009F4781"/>
    <w:rsid w:val="009F50C6"/>
    <w:rsid w:val="009F592F"/>
    <w:rsid w:val="009F671A"/>
    <w:rsid w:val="009F6BB2"/>
    <w:rsid w:val="009F79B7"/>
    <w:rsid w:val="00A0007F"/>
    <w:rsid w:val="00A01418"/>
    <w:rsid w:val="00A015C0"/>
    <w:rsid w:val="00A02332"/>
    <w:rsid w:val="00A03410"/>
    <w:rsid w:val="00A03D8C"/>
    <w:rsid w:val="00A04148"/>
    <w:rsid w:val="00A04626"/>
    <w:rsid w:val="00A049DF"/>
    <w:rsid w:val="00A05249"/>
    <w:rsid w:val="00A06FEB"/>
    <w:rsid w:val="00A0716C"/>
    <w:rsid w:val="00A078E6"/>
    <w:rsid w:val="00A10C5B"/>
    <w:rsid w:val="00A117D6"/>
    <w:rsid w:val="00A1213D"/>
    <w:rsid w:val="00A12C79"/>
    <w:rsid w:val="00A20933"/>
    <w:rsid w:val="00A21B88"/>
    <w:rsid w:val="00A21FA3"/>
    <w:rsid w:val="00A225FF"/>
    <w:rsid w:val="00A226F1"/>
    <w:rsid w:val="00A230D8"/>
    <w:rsid w:val="00A237B8"/>
    <w:rsid w:val="00A25BC3"/>
    <w:rsid w:val="00A26AE1"/>
    <w:rsid w:val="00A27503"/>
    <w:rsid w:val="00A27BEB"/>
    <w:rsid w:val="00A310A2"/>
    <w:rsid w:val="00A313F7"/>
    <w:rsid w:val="00A31618"/>
    <w:rsid w:val="00A31F3E"/>
    <w:rsid w:val="00A32087"/>
    <w:rsid w:val="00A32BB2"/>
    <w:rsid w:val="00A32F24"/>
    <w:rsid w:val="00A33DF3"/>
    <w:rsid w:val="00A35A60"/>
    <w:rsid w:val="00A375EC"/>
    <w:rsid w:val="00A37C65"/>
    <w:rsid w:val="00A40427"/>
    <w:rsid w:val="00A41D61"/>
    <w:rsid w:val="00A41E68"/>
    <w:rsid w:val="00A425CE"/>
    <w:rsid w:val="00A42723"/>
    <w:rsid w:val="00A4288F"/>
    <w:rsid w:val="00A42B24"/>
    <w:rsid w:val="00A42E62"/>
    <w:rsid w:val="00A432D9"/>
    <w:rsid w:val="00A43B38"/>
    <w:rsid w:val="00A4405B"/>
    <w:rsid w:val="00A444F7"/>
    <w:rsid w:val="00A44B33"/>
    <w:rsid w:val="00A45373"/>
    <w:rsid w:val="00A471BC"/>
    <w:rsid w:val="00A51782"/>
    <w:rsid w:val="00A52705"/>
    <w:rsid w:val="00A52B73"/>
    <w:rsid w:val="00A53B4C"/>
    <w:rsid w:val="00A542A8"/>
    <w:rsid w:val="00A54317"/>
    <w:rsid w:val="00A54B54"/>
    <w:rsid w:val="00A55768"/>
    <w:rsid w:val="00A55AFA"/>
    <w:rsid w:val="00A5609E"/>
    <w:rsid w:val="00A5687A"/>
    <w:rsid w:val="00A611A1"/>
    <w:rsid w:val="00A6292A"/>
    <w:rsid w:val="00A62B45"/>
    <w:rsid w:val="00A639BB"/>
    <w:rsid w:val="00A64107"/>
    <w:rsid w:val="00A6436D"/>
    <w:rsid w:val="00A6439A"/>
    <w:rsid w:val="00A65E03"/>
    <w:rsid w:val="00A65E0E"/>
    <w:rsid w:val="00A70296"/>
    <w:rsid w:val="00A71966"/>
    <w:rsid w:val="00A71C21"/>
    <w:rsid w:val="00A754D3"/>
    <w:rsid w:val="00A77596"/>
    <w:rsid w:val="00A777B0"/>
    <w:rsid w:val="00A80119"/>
    <w:rsid w:val="00A80B3D"/>
    <w:rsid w:val="00A81000"/>
    <w:rsid w:val="00A8132A"/>
    <w:rsid w:val="00A814F7"/>
    <w:rsid w:val="00A8190F"/>
    <w:rsid w:val="00A82214"/>
    <w:rsid w:val="00A822A5"/>
    <w:rsid w:val="00A82E28"/>
    <w:rsid w:val="00A83F7B"/>
    <w:rsid w:val="00A8650B"/>
    <w:rsid w:val="00A86D1E"/>
    <w:rsid w:val="00A87F55"/>
    <w:rsid w:val="00A900C9"/>
    <w:rsid w:val="00A9098C"/>
    <w:rsid w:val="00A91091"/>
    <w:rsid w:val="00A91637"/>
    <w:rsid w:val="00A943AE"/>
    <w:rsid w:val="00A95546"/>
    <w:rsid w:val="00A9655B"/>
    <w:rsid w:val="00A96F74"/>
    <w:rsid w:val="00AA0039"/>
    <w:rsid w:val="00AA05AA"/>
    <w:rsid w:val="00AA09CC"/>
    <w:rsid w:val="00AA1715"/>
    <w:rsid w:val="00AA2691"/>
    <w:rsid w:val="00AA28E6"/>
    <w:rsid w:val="00AA2B21"/>
    <w:rsid w:val="00AA2F1B"/>
    <w:rsid w:val="00AA332B"/>
    <w:rsid w:val="00AA4A7E"/>
    <w:rsid w:val="00AA558E"/>
    <w:rsid w:val="00AA6D57"/>
    <w:rsid w:val="00AB0080"/>
    <w:rsid w:val="00AB0615"/>
    <w:rsid w:val="00AB2D9B"/>
    <w:rsid w:val="00AB3435"/>
    <w:rsid w:val="00AB374A"/>
    <w:rsid w:val="00AB3836"/>
    <w:rsid w:val="00AB4934"/>
    <w:rsid w:val="00AB501B"/>
    <w:rsid w:val="00AB5A48"/>
    <w:rsid w:val="00AB77FC"/>
    <w:rsid w:val="00AB7968"/>
    <w:rsid w:val="00AB7E55"/>
    <w:rsid w:val="00AC0391"/>
    <w:rsid w:val="00AC06AB"/>
    <w:rsid w:val="00AC0EA8"/>
    <w:rsid w:val="00AC0F41"/>
    <w:rsid w:val="00AC1742"/>
    <w:rsid w:val="00AC3399"/>
    <w:rsid w:val="00AC39A5"/>
    <w:rsid w:val="00AC42F3"/>
    <w:rsid w:val="00AC5E21"/>
    <w:rsid w:val="00AC611B"/>
    <w:rsid w:val="00AC6320"/>
    <w:rsid w:val="00AC64A3"/>
    <w:rsid w:val="00AC6B66"/>
    <w:rsid w:val="00AC71DD"/>
    <w:rsid w:val="00AC791A"/>
    <w:rsid w:val="00AD01AB"/>
    <w:rsid w:val="00AD15BC"/>
    <w:rsid w:val="00AD3018"/>
    <w:rsid w:val="00AD408B"/>
    <w:rsid w:val="00AD6250"/>
    <w:rsid w:val="00AD6447"/>
    <w:rsid w:val="00AD6654"/>
    <w:rsid w:val="00AE19C4"/>
    <w:rsid w:val="00AE1BE8"/>
    <w:rsid w:val="00AE1E41"/>
    <w:rsid w:val="00AE1FFA"/>
    <w:rsid w:val="00AE21B8"/>
    <w:rsid w:val="00AE2265"/>
    <w:rsid w:val="00AE2865"/>
    <w:rsid w:val="00AE2B44"/>
    <w:rsid w:val="00AE361D"/>
    <w:rsid w:val="00AE3D47"/>
    <w:rsid w:val="00AE5870"/>
    <w:rsid w:val="00AE5925"/>
    <w:rsid w:val="00AF00C1"/>
    <w:rsid w:val="00AF0B47"/>
    <w:rsid w:val="00AF0E86"/>
    <w:rsid w:val="00AF10F6"/>
    <w:rsid w:val="00AF1848"/>
    <w:rsid w:val="00AF19BB"/>
    <w:rsid w:val="00AF2AF6"/>
    <w:rsid w:val="00AF2CD8"/>
    <w:rsid w:val="00AF3BD1"/>
    <w:rsid w:val="00AF41E7"/>
    <w:rsid w:val="00AF48D6"/>
    <w:rsid w:val="00AF4DD6"/>
    <w:rsid w:val="00AF62E7"/>
    <w:rsid w:val="00AF63AD"/>
    <w:rsid w:val="00AF6530"/>
    <w:rsid w:val="00AF6DFC"/>
    <w:rsid w:val="00AF6E71"/>
    <w:rsid w:val="00AF75E2"/>
    <w:rsid w:val="00AF7909"/>
    <w:rsid w:val="00B00BF7"/>
    <w:rsid w:val="00B00C45"/>
    <w:rsid w:val="00B0106B"/>
    <w:rsid w:val="00B01104"/>
    <w:rsid w:val="00B01E32"/>
    <w:rsid w:val="00B0302D"/>
    <w:rsid w:val="00B03E68"/>
    <w:rsid w:val="00B0403A"/>
    <w:rsid w:val="00B046BB"/>
    <w:rsid w:val="00B04784"/>
    <w:rsid w:val="00B05309"/>
    <w:rsid w:val="00B07187"/>
    <w:rsid w:val="00B07A2D"/>
    <w:rsid w:val="00B07D84"/>
    <w:rsid w:val="00B101C4"/>
    <w:rsid w:val="00B10270"/>
    <w:rsid w:val="00B1472C"/>
    <w:rsid w:val="00B16D33"/>
    <w:rsid w:val="00B17392"/>
    <w:rsid w:val="00B17BC5"/>
    <w:rsid w:val="00B21118"/>
    <w:rsid w:val="00B2298C"/>
    <w:rsid w:val="00B23C1E"/>
    <w:rsid w:val="00B23E9F"/>
    <w:rsid w:val="00B23F21"/>
    <w:rsid w:val="00B24D9D"/>
    <w:rsid w:val="00B24E13"/>
    <w:rsid w:val="00B266A7"/>
    <w:rsid w:val="00B27109"/>
    <w:rsid w:val="00B27424"/>
    <w:rsid w:val="00B278A4"/>
    <w:rsid w:val="00B33E24"/>
    <w:rsid w:val="00B34BC3"/>
    <w:rsid w:val="00B34D01"/>
    <w:rsid w:val="00B35BCA"/>
    <w:rsid w:val="00B36C21"/>
    <w:rsid w:val="00B40F5E"/>
    <w:rsid w:val="00B426B0"/>
    <w:rsid w:val="00B45167"/>
    <w:rsid w:val="00B455EF"/>
    <w:rsid w:val="00B47A32"/>
    <w:rsid w:val="00B47D14"/>
    <w:rsid w:val="00B50819"/>
    <w:rsid w:val="00B50AA5"/>
    <w:rsid w:val="00B51263"/>
    <w:rsid w:val="00B51292"/>
    <w:rsid w:val="00B51998"/>
    <w:rsid w:val="00B52F7B"/>
    <w:rsid w:val="00B535A2"/>
    <w:rsid w:val="00B538E7"/>
    <w:rsid w:val="00B55A14"/>
    <w:rsid w:val="00B56070"/>
    <w:rsid w:val="00B604D3"/>
    <w:rsid w:val="00B61292"/>
    <w:rsid w:val="00B6237A"/>
    <w:rsid w:val="00B632F5"/>
    <w:rsid w:val="00B636EF"/>
    <w:rsid w:val="00B638F6"/>
    <w:rsid w:val="00B64B3D"/>
    <w:rsid w:val="00B65C18"/>
    <w:rsid w:val="00B6650D"/>
    <w:rsid w:val="00B67DCC"/>
    <w:rsid w:val="00B70095"/>
    <w:rsid w:val="00B70301"/>
    <w:rsid w:val="00B709E0"/>
    <w:rsid w:val="00B70D8D"/>
    <w:rsid w:val="00B71544"/>
    <w:rsid w:val="00B71808"/>
    <w:rsid w:val="00B71E06"/>
    <w:rsid w:val="00B72414"/>
    <w:rsid w:val="00B72FD8"/>
    <w:rsid w:val="00B73DE2"/>
    <w:rsid w:val="00B73EEB"/>
    <w:rsid w:val="00B76B66"/>
    <w:rsid w:val="00B76F22"/>
    <w:rsid w:val="00B76F97"/>
    <w:rsid w:val="00B77128"/>
    <w:rsid w:val="00B77201"/>
    <w:rsid w:val="00B774B1"/>
    <w:rsid w:val="00B7758C"/>
    <w:rsid w:val="00B801FA"/>
    <w:rsid w:val="00B8025F"/>
    <w:rsid w:val="00B809D3"/>
    <w:rsid w:val="00B81EEC"/>
    <w:rsid w:val="00B830D8"/>
    <w:rsid w:val="00B85D65"/>
    <w:rsid w:val="00B860BE"/>
    <w:rsid w:val="00B86275"/>
    <w:rsid w:val="00B8630B"/>
    <w:rsid w:val="00B9063F"/>
    <w:rsid w:val="00B90FE9"/>
    <w:rsid w:val="00B91A10"/>
    <w:rsid w:val="00B922C5"/>
    <w:rsid w:val="00B9384A"/>
    <w:rsid w:val="00B944DA"/>
    <w:rsid w:val="00B951AF"/>
    <w:rsid w:val="00B95213"/>
    <w:rsid w:val="00B9571A"/>
    <w:rsid w:val="00B95C8F"/>
    <w:rsid w:val="00B95CD4"/>
    <w:rsid w:val="00B962A0"/>
    <w:rsid w:val="00BA0523"/>
    <w:rsid w:val="00BA2767"/>
    <w:rsid w:val="00BA33D9"/>
    <w:rsid w:val="00BA3A70"/>
    <w:rsid w:val="00BA3D1F"/>
    <w:rsid w:val="00BA4F18"/>
    <w:rsid w:val="00BA52A9"/>
    <w:rsid w:val="00BA56D6"/>
    <w:rsid w:val="00BA5A01"/>
    <w:rsid w:val="00BA6AE3"/>
    <w:rsid w:val="00BA7267"/>
    <w:rsid w:val="00BA7323"/>
    <w:rsid w:val="00BA7996"/>
    <w:rsid w:val="00BA7BE2"/>
    <w:rsid w:val="00BA7D86"/>
    <w:rsid w:val="00BB093B"/>
    <w:rsid w:val="00BB095A"/>
    <w:rsid w:val="00BB1F9D"/>
    <w:rsid w:val="00BB2244"/>
    <w:rsid w:val="00BB24AA"/>
    <w:rsid w:val="00BB5132"/>
    <w:rsid w:val="00BB7838"/>
    <w:rsid w:val="00BB7C5D"/>
    <w:rsid w:val="00BC1967"/>
    <w:rsid w:val="00BC1CB7"/>
    <w:rsid w:val="00BC22F3"/>
    <w:rsid w:val="00BC2F02"/>
    <w:rsid w:val="00BC36B3"/>
    <w:rsid w:val="00BC37F3"/>
    <w:rsid w:val="00BC3B4F"/>
    <w:rsid w:val="00BC6D81"/>
    <w:rsid w:val="00BD009D"/>
    <w:rsid w:val="00BD1E50"/>
    <w:rsid w:val="00BD203A"/>
    <w:rsid w:val="00BD3640"/>
    <w:rsid w:val="00BD36AD"/>
    <w:rsid w:val="00BD4F73"/>
    <w:rsid w:val="00BD6474"/>
    <w:rsid w:val="00BD668A"/>
    <w:rsid w:val="00BD689E"/>
    <w:rsid w:val="00BD7A68"/>
    <w:rsid w:val="00BE021A"/>
    <w:rsid w:val="00BE0966"/>
    <w:rsid w:val="00BE2346"/>
    <w:rsid w:val="00BE249D"/>
    <w:rsid w:val="00BE36D1"/>
    <w:rsid w:val="00BE3755"/>
    <w:rsid w:val="00BE46CD"/>
    <w:rsid w:val="00BE4753"/>
    <w:rsid w:val="00BE488D"/>
    <w:rsid w:val="00BE5095"/>
    <w:rsid w:val="00BE583D"/>
    <w:rsid w:val="00BE658A"/>
    <w:rsid w:val="00BE7922"/>
    <w:rsid w:val="00BE7951"/>
    <w:rsid w:val="00BF0388"/>
    <w:rsid w:val="00BF03E6"/>
    <w:rsid w:val="00BF10A4"/>
    <w:rsid w:val="00BF10A9"/>
    <w:rsid w:val="00BF1BF1"/>
    <w:rsid w:val="00BF4FD9"/>
    <w:rsid w:val="00BF61DA"/>
    <w:rsid w:val="00BF6C36"/>
    <w:rsid w:val="00C02892"/>
    <w:rsid w:val="00C033BD"/>
    <w:rsid w:val="00C03C87"/>
    <w:rsid w:val="00C03D59"/>
    <w:rsid w:val="00C03E33"/>
    <w:rsid w:val="00C0710E"/>
    <w:rsid w:val="00C10AEB"/>
    <w:rsid w:val="00C10C75"/>
    <w:rsid w:val="00C11A91"/>
    <w:rsid w:val="00C1206B"/>
    <w:rsid w:val="00C1345D"/>
    <w:rsid w:val="00C13FF4"/>
    <w:rsid w:val="00C14070"/>
    <w:rsid w:val="00C1491B"/>
    <w:rsid w:val="00C14D2A"/>
    <w:rsid w:val="00C1510F"/>
    <w:rsid w:val="00C151A6"/>
    <w:rsid w:val="00C152DF"/>
    <w:rsid w:val="00C16FA6"/>
    <w:rsid w:val="00C2023E"/>
    <w:rsid w:val="00C20A48"/>
    <w:rsid w:val="00C20C07"/>
    <w:rsid w:val="00C21DE4"/>
    <w:rsid w:val="00C236FE"/>
    <w:rsid w:val="00C24076"/>
    <w:rsid w:val="00C2609B"/>
    <w:rsid w:val="00C26503"/>
    <w:rsid w:val="00C2701F"/>
    <w:rsid w:val="00C2774F"/>
    <w:rsid w:val="00C27C0D"/>
    <w:rsid w:val="00C30D0E"/>
    <w:rsid w:val="00C310CA"/>
    <w:rsid w:val="00C3213B"/>
    <w:rsid w:val="00C324C9"/>
    <w:rsid w:val="00C33E88"/>
    <w:rsid w:val="00C36E6B"/>
    <w:rsid w:val="00C40881"/>
    <w:rsid w:val="00C40C94"/>
    <w:rsid w:val="00C4379E"/>
    <w:rsid w:val="00C44A4A"/>
    <w:rsid w:val="00C44F90"/>
    <w:rsid w:val="00C465F5"/>
    <w:rsid w:val="00C46A72"/>
    <w:rsid w:val="00C46DE4"/>
    <w:rsid w:val="00C46E00"/>
    <w:rsid w:val="00C4718E"/>
    <w:rsid w:val="00C476A1"/>
    <w:rsid w:val="00C47943"/>
    <w:rsid w:val="00C47A44"/>
    <w:rsid w:val="00C504BB"/>
    <w:rsid w:val="00C521EB"/>
    <w:rsid w:val="00C52991"/>
    <w:rsid w:val="00C54747"/>
    <w:rsid w:val="00C54883"/>
    <w:rsid w:val="00C557A9"/>
    <w:rsid w:val="00C5594A"/>
    <w:rsid w:val="00C561E2"/>
    <w:rsid w:val="00C611A3"/>
    <w:rsid w:val="00C615CC"/>
    <w:rsid w:val="00C618F1"/>
    <w:rsid w:val="00C62947"/>
    <w:rsid w:val="00C62FE7"/>
    <w:rsid w:val="00C662FC"/>
    <w:rsid w:val="00C6640B"/>
    <w:rsid w:val="00C67ED1"/>
    <w:rsid w:val="00C701BD"/>
    <w:rsid w:val="00C70F0A"/>
    <w:rsid w:val="00C715EE"/>
    <w:rsid w:val="00C716BF"/>
    <w:rsid w:val="00C71737"/>
    <w:rsid w:val="00C73402"/>
    <w:rsid w:val="00C73EB2"/>
    <w:rsid w:val="00C74963"/>
    <w:rsid w:val="00C74C02"/>
    <w:rsid w:val="00C75A11"/>
    <w:rsid w:val="00C75DB6"/>
    <w:rsid w:val="00C77175"/>
    <w:rsid w:val="00C775CC"/>
    <w:rsid w:val="00C77852"/>
    <w:rsid w:val="00C77E33"/>
    <w:rsid w:val="00C80FE3"/>
    <w:rsid w:val="00C81473"/>
    <w:rsid w:val="00C817E7"/>
    <w:rsid w:val="00C82A68"/>
    <w:rsid w:val="00C832F9"/>
    <w:rsid w:val="00C833FF"/>
    <w:rsid w:val="00C8415A"/>
    <w:rsid w:val="00C84950"/>
    <w:rsid w:val="00C84D59"/>
    <w:rsid w:val="00C84DC4"/>
    <w:rsid w:val="00C85870"/>
    <w:rsid w:val="00C86B6F"/>
    <w:rsid w:val="00C870B0"/>
    <w:rsid w:val="00C875F5"/>
    <w:rsid w:val="00C87895"/>
    <w:rsid w:val="00C900C1"/>
    <w:rsid w:val="00C902A2"/>
    <w:rsid w:val="00C908D7"/>
    <w:rsid w:val="00C916CC"/>
    <w:rsid w:val="00C933EC"/>
    <w:rsid w:val="00C9381C"/>
    <w:rsid w:val="00C9546D"/>
    <w:rsid w:val="00C96714"/>
    <w:rsid w:val="00C968E0"/>
    <w:rsid w:val="00C96BBB"/>
    <w:rsid w:val="00C978F3"/>
    <w:rsid w:val="00CA001F"/>
    <w:rsid w:val="00CA0621"/>
    <w:rsid w:val="00CA09D2"/>
    <w:rsid w:val="00CA12D3"/>
    <w:rsid w:val="00CA13FF"/>
    <w:rsid w:val="00CA18AD"/>
    <w:rsid w:val="00CA1F93"/>
    <w:rsid w:val="00CA2AA8"/>
    <w:rsid w:val="00CA2C69"/>
    <w:rsid w:val="00CA2D4A"/>
    <w:rsid w:val="00CA314B"/>
    <w:rsid w:val="00CA37F8"/>
    <w:rsid w:val="00CA4540"/>
    <w:rsid w:val="00CA4899"/>
    <w:rsid w:val="00CA667D"/>
    <w:rsid w:val="00CA7071"/>
    <w:rsid w:val="00CA7EB7"/>
    <w:rsid w:val="00CB0111"/>
    <w:rsid w:val="00CB2B1D"/>
    <w:rsid w:val="00CB31CB"/>
    <w:rsid w:val="00CB3EA1"/>
    <w:rsid w:val="00CB53B3"/>
    <w:rsid w:val="00CB6464"/>
    <w:rsid w:val="00CB6EFF"/>
    <w:rsid w:val="00CB6F34"/>
    <w:rsid w:val="00CB742E"/>
    <w:rsid w:val="00CB74F5"/>
    <w:rsid w:val="00CC14DC"/>
    <w:rsid w:val="00CC2640"/>
    <w:rsid w:val="00CC3A76"/>
    <w:rsid w:val="00CC43C9"/>
    <w:rsid w:val="00CC53C2"/>
    <w:rsid w:val="00CC60F2"/>
    <w:rsid w:val="00CC66AB"/>
    <w:rsid w:val="00CC763A"/>
    <w:rsid w:val="00CD06AB"/>
    <w:rsid w:val="00CD0C33"/>
    <w:rsid w:val="00CD0F68"/>
    <w:rsid w:val="00CD1694"/>
    <w:rsid w:val="00CD17E8"/>
    <w:rsid w:val="00CD4B46"/>
    <w:rsid w:val="00CD54E6"/>
    <w:rsid w:val="00CD5797"/>
    <w:rsid w:val="00CD5F31"/>
    <w:rsid w:val="00CD60AA"/>
    <w:rsid w:val="00CD697B"/>
    <w:rsid w:val="00CD70B2"/>
    <w:rsid w:val="00CD7876"/>
    <w:rsid w:val="00CE0DA3"/>
    <w:rsid w:val="00CE3E28"/>
    <w:rsid w:val="00CE4CB1"/>
    <w:rsid w:val="00CE528A"/>
    <w:rsid w:val="00CE5EBE"/>
    <w:rsid w:val="00CE7085"/>
    <w:rsid w:val="00CE7349"/>
    <w:rsid w:val="00CE7495"/>
    <w:rsid w:val="00CE76B8"/>
    <w:rsid w:val="00CF082F"/>
    <w:rsid w:val="00CF14B6"/>
    <w:rsid w:val="00CF4CBC"/>
    <w:rsid w:val="00CF5519"/>
    <w:rsid w:val="00D010B7"/>
    <w:rsid w:val="00D01DBF"/>
    <w:rsid w:val="00D02192"/>
    <w:rsid w:val="00D0377A"/>
    <w:rsid w:val="00D057FF"/>
    <w:rsid w:val="00D06495"/>
    <w:rsid w:val="00D07C42"/>
    <w:rsid w:val="00D1036F"/>
    <w:rsid w:val="00D10435"/>
    <w:rsid w:val="00D11214"/>
    <w:rsid w:val="00D124A4"/>
    <w:rsid w:val="00D12A6B"/>
    <w:rsid w:val="00D12C48"/>
    <w:rsid w:val="00D13057"/>
    <w:rsid w:val="00D13724"/>
    <w:rsid w:val="00D14445"/>
    <w:rsid w:val="00D15877"/>
    <w:rsid w:val="00D16220"/>
    <w:rsid w:val="00D16DA7"/>
    <w:rsid w:val="00D21445"/>
    <w:rsid w:val="00D216EB"/>
    <w:rsid w:val="00D21F5D"/>
    <w:rsid w:val="00D224B4"/>
    <w:rsid w:val="00D22D78"/>
    <w:rsid w:val="00D22E3C"/>
    <w:rsid w:val="00D2374A"/>
    <w:rsid w:val="00D246AC"/>
    <w:rsid w:val="00D24CED"/>
    <w:rsid w:val="00D2559D"/>
    <w:rsid w:val="00D2718B"/>
    <w:rsid w:val="00D278B4"/>
    <w:rsid w:val="00D306F0"/>
    <w:rsid w:val="00D31DE7"/>
    <w:rsid w:val="00D3281A"/>
    <w:rsid w:val="00D332EC"/>
    <w:rsid w:val="00D34B07"/>
    <w:rsid w:val="00D34E16"/>
    <w:rsid w:val="00D35759"/>
    <w:rsid w:val="00D35BE7"/>
    <w:rsid w:val="00D40794"/>
    <w:rsid w:val="00D41AC5"/>
    <w:rsid w:val="00D42B00"/>
    <w:rsid w:val="00D42BAE"/>
    <w:rsid w:val="00D42E40"/>
    <w:rsid w:val="00D4565E"/>
    <w:rsid w:val="00D47AB1"/>
    <w:rsid w:val="00D506D8"/>
    <w:rsid w:val="00D51407"/>
    <w:rsid w:val="00D51B9B"/>
    <w:rsid w:val="00D53170"/>
    <w:rsid w:val="00D536A4"/>
    <w:rsid w:val="00D54591"/>
    <w:rsid w:val="00D55199"/>
    <w:rsid w:val="00D5551E"/>
    <w:rsid w:val="00D55823"/>
    <w:rsid w:val="00D57EAA"/>
    <w:rsid w:val="00D611B3"/>
    <w:rsid w:val="00D623D0"/>
    <w:rsid w:val="00D63124"/>
    <w:rsid w:val="00D643D7"/>
    <w:rsid w:val="00D65BD7"/>
    <w:rsid w:val="00D6606E"/>
    <w:rsid w:val="00D66171"/>
    <w:rsid w:val="00D677E6"/>
    <w:rsid w:val="00D67C5C"/>
    <w:rsid w:val="00D70A3B"/>
    <w:rsid w:val="00D70ACD"/>
    <w:rsid w:val="00D72A7E"/>
    <w:rsid w:val="00D73D50"/>
    <w:rsid w:val="00D748DA"/>
    <w:rsid w:val="00D75052"/>
    <w:rsid w:val="00D75C50"/>
    <w:rsid w:val="00D775ED"/>
    <w:rsid w:val="00D77F26"/>
    <w:rsid w:val="00D8028F"/>
    <w:rsid w:val="00D80E54"/>
    <w:rsid w:val="00D81825"/>
    <w:rsid w:val="00D81F79"/>
    <w:rsid w:val="00D82097"/>
    <w:rsid w:val="00D835F1"/>
    <w:rsid w:val="00D83B59"/>
    <w:rsid w:val="00D8593B"/>
    <w:rsid w:val="00D85A62"/>
    <w:rsid w:val="00D85C1E"/>
    <w:rsid w:val="00D86006"/>
    <w:rsid w:val="00D86F58"/>
    <w:rsid w:val="00D8724F"/>
    <w:rsid w:val="00D87F66"/>
    <w:rsid w:val="00D90897"/>
    <w:rsid w:val="00D90E81"/>
    <w:rsid w:val="00D9173C"/>
    <w:rsid w:val="00D9534C"/>
    <w:rsid w:val="00D95379"/>
    <w:rsid w:val="00D96EC6"/>
    <w:rsid w:val="00DA1A55"/>
    <w:rsid w:val="00DA223C"/>
    <w:rsid w:val="00DA2351"/>
    <w:rsid w:val="00DA2A83"/>
    <w:rsid w:val="00DA364D"/>
    <w:rsid w:val="00DA3A32"/>
    <w:rsid w:val="00DA495B"/>
    <w:rsid w:val="00DA53AC"/>
    <w:rsid w:val="00DA5BE2"/>
    <w:rsid w:val="00DB08D3"/>
    <w:rsid w:val="00DB1807"/>
    <w:rsid w:val="00DB26D2"/>
    <w:rsid w:val="00DB2D8B"/>
    <w:rsid w:val="00DB465F"/>
    <w:rsid w:val="00DB4743"/>
    <w:rsid w:val="00DB4BDE"/>
    <w:rsid w:val="00DB4CB4"/>
    <w:rsid w:val="00DB4EC5"/>
    <w:rsid w:val="00DB5641"/>
    <w:rsid w:val="00DB56FD"/>
    <w:rsid w:val="00DB6F2D"/>
    <w:rsid w:val="00DC06C8"/>
    <w:rsid w:val="00DC0AAA"/>
    <w:rsid w:val="00DC0D17"/>
    <w:rsid w:val="00DC0DC4"/>
    <w:rsid w:val="00DC0E1E"/>
    <w:rsid w:val="00DC1419"/>
    <w:rsid w:val="00DC24C8"/>
    <w:rsid w:val="00DC275E"/>
    <w:rsid w:val="00DC2E92"/>
    <w:rsid w:val="00DC31E8"/>
    <w:rsid w:val="00DC3507"/>
    <w:rsid w:val="00DC43AA"/>
    <w:rsid w:val="00DC44A1"/>
    <w:rsid w:val="00DC48E8"/>
    <w:rsid w:val="00DC5F27"/>
    <w:rsid w:val="00DC7648"/>
    <w:rsid w:val="00DD1A67"/>
    <w:rsid w:val="00DD1FC3"/>
    <w:rsid w:val="00DD1FE2"/>
    <w:rsid w:val="00DD2446"/>
    <w:rsid w:val="00DD2B83"/>
    <w:rsid w:val="00DD2E9E"/>
    <w:rsid w:val="00DD3329"/>
    <w:rsid w:val="00DD36BB"/>
    <w:rsid w:val="00DD4931"/>
    <w:rsid w:val="00DD4952"/>
    <w:rsid w:val="00DD71EC"/>
    <w:rsid w:val="00DE0A4C"/>
    <w:rsid w:val="00DE57B8"/>
    <w:rsid w:val="00DE5A86"/>
    <w:rsid w:val="00DE5E5F"/>
    <w:rsid w:val="00DE705B"/>
    <w:rsid w:val="00DE75FB"/>
    <w:rsid w:val="00DE7BAB"/>
    <w:rsid w:val="00DF0FA2"/>
    <w:rsid w:val="00DF119B"/>
    <w:rsid w:val="00DF2247"/>
    <w:rsid w:val="00DF340D"/>
    <w:rsid w:val="00DF3C30"/>
    <w:rsid w:val="00DF4CA3"/>
    <w:rsid w:val="00DF5002"/>
    <w:rsid w:val="00DF5A7D"/>
    <w:rsid w:val="00DF5DD7"/>
    <w:rsid w:val="00DF6043"/>
    <w:rsid w:val="00DF621C"/>
    <w:rsid w:val="00E0042F"/>
    <w:rsid w:val="00E00A70"/>
    <w:rsid w:val="00E00D14"/>
    <w:rsid w:val="00E00E30"/>
    <w:rsid w:val="00E0178B"/>
    <w:rsid w:val="00E02E75"/>
    <w:rsid w:val="00E04A0D"/>
    <w:rsid w:val="00E05B01"/>
    <w:rsid w:val="00E06662"/>
    <w:rsid w:val="00E06EAC"/>
    <w:rsid w:val="00E06F32"/>
    <w:rsid w:val="00E1083F"/>
    <w:rsid w:val="00E1115F"/>
    <w:rsid w:val="00E120C3"/>
    <w:rsid w:val="00E12A54"/>
    <w:rsid w:val="00E1307C"/>
    <w:rsid w:val="00E13DCF"/>
    <w:rsid w:val="00E15123"/>
    <w:rsid w:val="00E152E1"/>
    <w:rsid w:val="00E15316"/>
    <w:rsid w:val="00E15333"/>
    <w:rsid w:val="00E16CA0"/>
    <w:rsid w:val="00E20F37"/>
    <w:rsid w:val="00E2318D"/>
    <w:rsid w:val="00E2359D"/>
    <w:rsid w:val="00E2487D"/>
    <w:rsid w:val="00E249D3"/>
    <w:rsid w:val="00E26199"/>
    <w:rsid w:val="00E2710A"/>
    <w:rsid w:val="00E30940"/>
    <w:rsid w:val="00E31D28"/>
    <w:rsid w:val="00E32464"/>
    <w:rsid w:val="00E33197"/>
    <w:rsid w:val="00E3376A"/>
    <w:rsid w:val="00E35DD1"/>
    <w:rsid w:val="00E36FEF"/>
    <w:rsid w:val="00E37620"/>
    <w:rsid w:val="00E3766E"/>
    <w:rsid w:val="00E4046F"/>
    <w:rsid w:val="00E404C4"/>
    <w:rsid w:val="00E41650"/>
    <w:rsid w:val="00E42A32"/>
    <w:rsid w:val="00E43DA2"/>
    <w:rsid w:val="00E455FD"/>
    <w:rsid w:val="00E45C55"/>
    <w:rsid w:val="00E46237"/>
    <w:rsid w:val="00E508C9"/>
    <w:rsid w:val="00E524CE"/>
    <w:rsid w:val="00E541A9"/>
    <w:rsid w:val="00E549ED"/>
    <w:rsid w:val="00E56E9F"/>
    <w:rsid w:val="00E57B3E"/>
    <w:rsid w:val="00E60B1B"/>
    <w:rsid w:val="00E61AF0"/>
    <w:rsid w:val="00E62BF8"/>
    <w:rsid w:val="00E6566F"/>
    <w:rsid w:val="00E6604A"/>
    <w:rsid w:val="00E678D9"/>
    <w:rsid w:val="00E67A4E"/>
    <w:rsid w:val="00E7011C"/>
    <w:rsid w:val="00E70C38"/>
    <w:rsid w:val="00E710D7"/>
    <w:rsid w:val="00E723FA"/>
    <w:rsid w:val="00E724D0"/>
    <w:rsid w:val="00E727C5"/>
    <w:rsid w:val="00E72BCA"/>
    <w:rsid w:val="00E73C36"/>
    <w:rsid w:val="00E744F2"/>
    <w:rsid w:val="00E746F5"/>
    <w:rsid w:val="00E75412"/>
    <w:rsid w:val="00E76136"/>
    <w:rsid w:val="00E76B45"/>
    <w:rsid w:val="00E77E1C"/>
    <w:rsid w:val="00E8024B"/>
    <w:rsid w:val="00E80A73"/>
    <w:rsid w:val="00E81290"/>
    <w:rsid w:val="00E81800"/>
    <w:rsid w:val="00E82216"/>
    <w:rsid w:val="00E825B7"/>
    <w:rsid w:val="00E852AB"/>
    <w:rsid w:val="00E855F4"/>
    <w:rsid w:val="00E86277"/>
    <w:rsid w:val="00E86425"/>
    <w:rsid w:val="00E87109"/>
    <w:rsid w:val="00E903C5"/>
    <w:rsid w:val="00E92689"/>
    <w:rsid w:val="00E92F4F"/>
    <w:rsid w:val="00E930FA"/>
    <w:rsid w:val="00E94DB2"/>
    <w:rsid w:val="00E94FFF"/>
    <w:rsid w:val="00E953CC"/>
    <w:rsid w:val="00E95B36"/>
    <w:rsid w:val="00E960C7"/>
    <w:rsid w:val="00E96CA6"/>
    <w:rsid w:val="00EA0924"/>
    <w:rsid w:val="00EA406A"/>
    <w:rsid w:val="00EA5159"/>
    <w:rsid w:val="00EA6488"/>
    <w:rsid w:val="00EB027B"/>
    <w:rsid w:val="00EB051B"/>
    <w:rsid w:val="00EB09FA"/>
    <w:rsid w:val="00EB156B"/>
    <w:rsid w:val="00EB2B08"/>
    <w:rsid w:val="00EB2FC3"/>
    <w:rsid w:val="00EB3440"/>
    <w:rsid w:val="00EB3693"/>
    <w:rsid w:val="00EB37BC"/>
    <w:rsid w:val="00EB3B7B"/>
    <w:rsid w:val="00EB40BD"/>
    <w:rsid w:val="00EB49D8"/>
    <w:rsid w:val="00EB5015"/>
    <w:rsid w:val="00EB544D"/>
    <w:rsid w:val="00EB5B07"/>
    <w:rsid w:val="00EB6010"/>
    <w:rsid w:val="00EB605E"/>
    <w:rsid w:val="00EB7255"/>
    <w:rsid w:val="00EC1173"/>
    <w:rsid w:val="00EC3195"/>
    <w:rsid w:val="00EC497E"/>
    <w:rsid w:val="00EC5739"/>
    <w:rsid w:val="00EC59ED"/>
    <w:rsid w:val="00EC5B2A"/>
    <w:rsid w:val="00EC5DB7"/>
    <w:rsid w:val="00EC72CF"/>
    <w:rsid w:val="00ED07C3"/>
    <w:rsid w:val="00ED3182"/>
    <w:rsid w:val="00ED37FA"/>
    <w:rsid w:val="00ED4A95"/>
    <w:rsid w:val="00ED4DB9"/>
    <w:rsid w:val="00ED5A72"/>
    <w:rsid w:val="00ED602C"/>
    <w:rsid w:val="00ED667F"/>
    <w:rsid w:val="00ED6FB4"/>
    <w:rsid w:val="00ED7912"/>
    <w:rsid w:val="00EE0FEC"/>
    <w:rsid w:val="00EE1469"/>
    <w:rsid w:val="00EE32E2"/>
    <w:rsid w:val="00EE3C85"/>
    <w:rsid w:val="00EE48B6"/>
    <w:rsid w:val="00EE4BD6"/>
    <w:rsid w:val="00EE62DD"/>
    <w:rsid w:val="00EE67D5"/>
    <w:rsid w:val="00EE756C"/>
    <w:rsid w:val="00EE7ABE"/>
    <w:rsid w:val="00EE7E43"/>
    <w:rsid w:val="00EE7E74"/>
    <w:rsid w:val="00EF0855"/>
    <w:rsid w:val="00EF1035"/>
    <w:rsid w:val="00EF213F"/>
    <w:rsid w:val="00EF4CBC"/>
    <w:rsid w:val="00EF5320"/>
    <w:rsid w:val="00EF56D9"/>
    <w:rsid w:val="00EF5D4C"/>
    <w:rsid w:val="00EF5EAE"/>
    <w:rsid w:val="00EF73CC"/>
    <w:rsid w:val="00EF7770"/>
    <w:rsid w:val="00F00231"/>
    <w:rsid w:val="00F0052E"/>
    <w:rsid w:val="00F00CF2"/>
    <w:rsid w:val="00F01A2B"/>
    <w:rsid w:val="00F027A3"/>
    <w:rsid w:val="00F038BA"/>
    <w:rsid w:val="00F04F77"/>
    <w:rsid w:val="00F0562C"/>
    <w:rsid w:val="00F066B9"/>
    <w:rsid w:val="00F10B28"/>
    <w:rsid w:val="00F10E93"/>
    <w:rsid w:val="00F11527"/>
    <w:rsid w:val="00F115A0"/>
    <w:rsid w:val="00F12D86"/>
    <w:rsid w:val="00F13905"/>
    <w:rsid w:val="00F141A7"/>
    <w:rsid w:val="00F14267"/>
    <w:rsid w:val="00F1459C"/>
    <w:rsid w:val="00F152D4"/>
    <w:rsid w:val="00F15A85"/>
    <w:rsid w:val="00F16E4F"/>
    <w:rsid w:val="00F1776B"/>
    <w:rsid w:val="00F21A06"/>
    <w:rsid w:val="00F222A2"/>
    <w:rsid w:val="00F231E0"/>
    <w:rsid w:val="00F239D5"/>
    <w:rsid w:val="00F23D6C"/>
    <w:rsid w:val="00F2576B"/>
    <w:rsid w:val="00F26534"/>
    <w:rsid w:val="00F26786"/>
    <w:rsid w:val="00F31B91"/>
    <w:rsid w:val="00F31C16"/>
    <w:rsid w:val="00F32D8C"/>
    <w:rsid w:val="00F346C2"/>
    <w:rsid w:val="00F34B16"/>
    <w:rsid w:val="00F34CC6"/>
    <w:rsid w:val="00F360F6"/>
    <w:rsid w:val="00F37920"/>
    <w:rsid w:val="00F40C9A"/>
    <w:rsid w:val="00F4119E"/>
    <w:rsid w:val="00F41220"/>
    <w:rsid w:val="00F41BB7"/>
    <w:rsid w:val="00F42855"/>
    <w:rsid w:val="00F431B2"/>
    <w:rsid w:val="00F45A74"/>
    <w:rsid w:val="00F465F7"/>
    <w:rsid w:val="00F50DB8"/>
    <w:rsid w:val="00F51FA6"/>
    <w:rsid w:val="00F528D6"/>
    <w:rsid w:val="00F52C5A"/>
    <w:rsid w:val="00F53924"/>
    <w:rsid w:val="00F55232"/>
    <w:rsid w:val="00F552AD"/>
    <w:rsid w:val="00F55B98"/>
    <w:rsid w:val="00F5699D"/>
    <w:rsid w:val="00F56F63"/>
    <w:rsid w:val="00F57558"/>
    <w:rsid w:val="00F57AD5"/>
    <w:rsid w:val="00F606F8"/>
    <w:rsid w:val="00F61963"/>
    <w:rsid w:val="00F64A4F"/>
    <w:rsid w:val="00F66482"/>
    <w:rsid w:val="00F67E68"/>
    <w:rsid w:val="00F72BFB"/>
    <w:rsid w:val="00F74D4C"/>
    <w:rsid w:val="00F7551A"/>
    <w:rsid w:val="00F75775"/>
    <w:rsid w:val="00F7607E"/>
    <w:rsid w:val="00F81D6E"/>
    <w:rsid w:val="00F82ADC"/>
    <w:rsid w:val="00F82C68"/>
    <w:rsid w:val="00F82CD6"/>
    <w:rsid w:val="00F83233"/>
    <w:rsid w:val="00F835FD"/>
    <w:rsid w:val="00F83781"/>
    <w:rsid w:val="00F837A5"/>
    <w:rsid w:val="00F84440"/>
    <w:rsid w:val="00F8502A"/>
    <w:rsid w:val="00F85F51"/>
    <w:rsid w:val="00F85F75"/>
    <w:rsid w:val="00F90795"/>
    <w:rsid w:val="00F921AD"/>
    <w:rsid w:val="00F94780"/>
    <w:rsid w:val="00F94A19"/>
    <w:rsid w:val="00F95189"/>
    <w:rsid w:val="00F95E55"/>
    <w:rsid w:val="00F97AD3"/>
    <w:rsid w:val="00FA03E4"/>
    <w:rsid w:val="00FA0D4F"/>
    <w:rsid w:val="00FA2216"/>
    <w:rsid w:val="00FA265D"/>
    <w:rsid w:val="00FA29AA"/>
    <w:rsid w:val="00FA3194"/>
    <w:rsid w:val="00FA48EB"/>
    <w:rsid w:val="00FA64FE"/>
    <w:rsid w:val="00FA65E2"/>
    <w:rsid w:val="00FA7364"/>
    <w:rsid w:val="00FA744C"/>
    <w:rsid w:val="00FA7F50"/>
    <w:rsid w:val="00FB021B"/>
    <w:rsid w:val="00FB068C"/>
    <w:rsid w:val="00FB1B96"/>
    <w:rsid w:val="00FB37D3"/>
    <w:rsid w:val="00FB4356"/>
    <w:rsid w:val="00FB4420"/>
    <w:rsid w:val="00FB4747"/>
    <w:rsid w:val="00FB4DEC"/>
    <w:rsid w:val="00FB5F21"/>
    <w:rsid w:val="00FB6941"/>
    <w:rsid w:val="00FB6FB7"/>
    <w:rsid w:val="00FB7019"/>
    <w:rsid w:val="00FB749F"/>
    <w:rsid w:val="00FC05F9"/>
    <w:rsid w:val="00FC07E8"/>
    <w:rsid w:val="00FC15D3"/>
    <w:rsid w:val="00FC3624"/>
    <w:rsid w:val="00FC44A7"/>
    <w:rsid w:val="00FC4A2A"/>
    <w:rsid w:val="00FC5235"/>
    <w:rsid w:val="00FC5753"/>
    <w:rsid w:val="00FC62EE"/>
    <w:rsid w:val="00FC6760"/>
    <w:rsid w:val="00FD2C6A"/>
    <w:rsid w:val="00FD2D21"/>
    <w:rsid w:val="00FD2D3B"/>
    <w:rsid w:val="00FD3202"/>
    <w:rsid w:val="00FD3444"/>
    <w:rsid w:val="00FD39E9"/>
    <w:rsid w:val="00FD4150"/>
    <w:rsid w:val="00FD606F"/>
    <w:rsid w:val="00FD62B8"/>
    <w:rsid w:val="00FD7425"/>
    <w:rsid w:val="00FE2209"/>
    <w:rsid w:val="00FE2C29"/>
    <w:rsid w:val="00FE38E9"/>
    <w:rsid w:val="00FE3C9F"/>
    <w:rsid w:val="00FE43A6"/>
    <w:rsid w:val="00FE4597"/>
    <w:rsid w:val="00FE4EB3"/>
    <w:rsid w:val="00FE5C21"/>
    <w:rsid w:val="00FE6674"/>
    <w:rsid w:val="00FE73C6"/>
    <w:rsid w:val="00FE76D5"/>
    <w:rsid w:val="00FF0B77"/>
    <w:rsid w:val="00FF42CF"/>
    <w:rsid w:val="00FF4C89"/>
    <w:rsid w:val="00FF6468"/>
    <w:rsid w:val="00FF649E"/>
    <w:rsid w:val="00FF79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A4CE4"/>
  <w15:docId w15:val="{2BA73060-36A8-4639-9BB6-D83B963D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E5053" w:themeColor="text1"/>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795"/>
    <w:pPr>
      <w:spacing w:before="120" w:after="120"/>
    </w:pPr>
  </w:style>
  <w:style w:type="paragraph" w:styleId="Heading1">
    <w:name w:val="heading 1"/>
    <w:aliases w:val="Char Char Char Char Char Char Char,Char Char Char Char Char Char,Char Char Char Char Char Char Char Char Char Char Char Char Char"/>
    <w:basedOn w:val="Normal"/>
    <w:next w:val="Normal"/>
    <w:link w:val="Heading1Char"/>
    <w:uiPriority w:val="9"/>
    <w:qFormat/>
    <w:rsid w:val="009048D3"/>
    <w:pPr>
      <w:keepNext/>
      <w:keepLines/>
      <w:pageBreakBefore/>
      <w:numPr>
        <w:numId w:val="1"/>
      </w:numPr>
      <w:pBdr>
        <w:bottom w:val="single" w:sz="4" w:space="1" w:color="003569" w:themeColor="accent6"/>
      </w:pBdr>
      <w:spacing w:before="240" w:after="240" w:line="240" w:lineRule="auto"/>
      <w:jc w:val="left"/>
      <w:outlineLvl w:val="0"/>
    </w:pPr>
    <w:rPr>
      <w:rFonts w:ascii="Calibri" w:eastAsiaTheme="majorEastAsia" w:hAnsi="Calibri" w:cstheme="majorBidi"/>
      <w:b/>
      <w:bCs/>
      <w:color w:val="003569" w:themeColor="accent6"/>
      <w:sz w:val="48"/>
      <w:szCs w:val="28"/>
    </w:rPr>
  </w:style>
  <w:style w:type="paragraph" w:styleId="Heading2">
    <w:name w:val="heading 2"/>
    <w:basedOn w:val="Normal"/>
    <w:next w:val="Normal"/>
    <w:link w:val="Heading2Char"/>
    <w:uiPriority w:val="9"/>
    <w:unhideWhenUsed/>
    <w:qFormat/>
    <w:rsid w:val="00C611A3"/>
    <w:pPr>
      <w:keepNext/>
      <w:keepLines/>
      <w:numPr>
        <w:ilvl w:val="1"/>
        <w:numId w:val="1"/>
      </w:numPr>
      <w:spacing w:before="200" w:line="240" w:lineRule="auto"/>
      <w:ind w:left="709" w:hanging="709"/>
      <w:outlineLvl w:val="1"/>
    </w:pPr>
    <w:rPr>
      <w:rFonts w:ascii="Calibri" w:eastAsiaTheme="majorEastAsia" w:hAnsi="Calibri" w:cstheme="majorBidi"/>
      <w:b/>
      <w:bCs/>
      <w:color w:val="003569" w:themeColor="accent6"/>
      <w:sz w:val="32"/>
      <w:szCs w:val="26"/>
    </w:rPr>
  </w:style>
  <w:style w:type="paragraph" w:styleId="Heading3">
    <w:name w:val="heading 3"/>
    <w:basedOn w:val="Normal"/>
    <w:next w:val="Normal"/>
    <w:link w:val="Heading3Char"/>
    <w:uiPriority w:val="9"/>
    <w:unhideWhenUsed/>
    <w:qFormat/>
    <w:rsid w:val="006B3647"/>
    <w:pPr>
      <w:keepNext/>
      <w:keepLines/>
      <w:numPr>
        <w:ilvl w:val="2"/>
        <w:numId w:val="1"/>
      </w:numPr>
      <w:spacing w:before="200"/>
      <w:ind w:left="851" w:hanging="851"/>
      <w:outlineLvl w:val="2"/>
    </w:pPr>
    <w:rPr>
      <w:rFonts w:ascii="Calibri" w:eastAsiaTheme="majorEastAsia" w:hAnsi="Calibri" w:cstheme="majorBidi"/>
      <w:b/>
      <w:bCs/>
      <w:color w:val="003569" w:themeColor="accent6"/>
      <w:sz w:val="26"/>
      <w:szCs w:val="26"/>
    </w:rPr>
  </w:style>
  <w:style w:type="paragraph" w:styleId="Heading4">
    <w:name w:val="heading 4"/>
    <w:basedOn w:val="Normal"/>
    <w:next w:val="Normal"/>
    <w:link w:val="Heading4Char"/>
    <w:uiPriority w:val="9"/>
    <w:unhideWhenUsed/>
    <w:qFormat/>
    <w:rsid w:val="006B3647"/>
    <w:pPr>
      <w:keepNext/>
      <w:keepLines/>
      <w:numPr>
        <w:ilvl w:val="3"/>
        <w:numId w:val="1"/>
      </w:numPr>
      <w:spacing w:before="200"/>
      <w:ind w:left="993" w:hanging="993"/>
      <w:outlineLvl w:val="3"/>
    </w:pPr>
    <w:rPr>
      <w:rFonts w:ascii="Calibri" w:eastAsiaTheme="majorEastAsia" w:hAnsi="Calibri" w:cstheme="majorBidi"/>
      <w:b/>
      <w:bCs/>
      <w:i/>
      <w:iCs/>
      <w:color w:val="003569" w:themeColor="accent6"/>
    </w:rPr>
  </w:style>
  <w:style w:type="paragraph" w:styleId="Heading5">
    <w:name w:val="heading 5"/>
    <w:basedOn w:val="Normal"/>
    <w:next w:val="Normal"/>
    <w:link w:val="Heading5Char"/>
    <w:uiPriority w:val="9"/>
    <w:unhideWhenUsed/>
    <w:qFormat/>
    <w:rsid w:val="00AC0391"/>
    <w:pPr>
      <w:keepNext/>
      <w:keepLines/>
      <w:numPr>
        <w:ilvl w:val="4"/>
        <w:numId w:val="1"/>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AC0391"/>
    <w:pPr>
      <w:keepNext/>
      <w:keepLines/>
      <w:numPr>
        <w:ilvl w:val="5"/>
        <w:numId w:val="1"/>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semiHidden/>
    <w:unhideWhenUsed/>
    <w:qFormat/>
    <w:rsid w:val="00AC0391"/>
    <w:pPr>
      <w:keepNext/>
      <w:keepLines/>
      <w:numPr>
        <w:ilvl w:val="6"/>
        <w:numId w:val="1"/>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qFormat/>
    <w:rsid w:val="00AC0391"/>
    <w:pPr>
      <w:keepNext/>
      <w:keepLines/>
      <w:numPr>
        <w:ilvl w:val="7"/>
        <w:numId w:val="1"/>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qFormat/>
    <w:rsid w:val="00AC0391"/>
    <w:pPr>
      <w:keepNext/>
      <w:keepLines/>
      <w:numPr>
        <w:ilvl w:val="8"/>
        <w:numId w:val="1"/>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 Char Char,Char Char Char Char Char Char Char1,Char Char Char Char Char Char Char Char Char Char Char Char Char Char"/>
    <w:basedOn w:val="DefaultParagraphFont"/>
    <w:link w:val="Heading1"/>
    <w:uiPriority w:val="9"/>
    <w:rsid w:val="009048D3"/>
    <w:rPr>
      <w:rFonts w:ascii="Calibri" w:eastAsiaTheme="majorEastAsia" w:hAnsi="Calibri" w:cstheme="majorBidi"/>
      <w:b/>
      <w:bCs/>
      <w:color w:val="003569" w:themeColor="accent6"/>
      <w:sz w:val="48"/>
      <w:szCs w:val="28"/>
    </w:rPr>
  </w:style>
  <w:style w:type="character" w:customStyle="1" w:styleId="Heading2Char">
    <w:name w:val="Heading 2 Char"/>
    <w:basedOn w:val="DefaultParagraphFont"/>
    <w:link w:val="Heading2"/>
    <w:uiPriority w:val="9"/>
    <w:rsid w:val="00C611A3"/>
    <w:rPr>
      <w:rFonts w:ascii="Calibri" w:eastAsiaTheme="majorEastAsia" w:hAnsi="Calibri" w:cstheme="majorBidi"/>
      <w:b/>
      <w:bCs/>
      <w:color w:val="003569" w:themeColor="accent6"/>
      <w:sz w:val="32"/>
      <w:szCs w:val="26"/>
    </w:rPr>
  </w:style>
  <w:style w:type="character" w:customStyle="1" w:styleId="Heading3Char">
    <w:name w:val="Heading 3 Char"/>
    <w:basedOn w:val="DefaultParagraphFont"/>
    <w:link w:val="Heading3"/>
    <w:uiPriority w:val="9"/>
    <w:rsid w:val="006B3647"/>
    <w:rPr>
      <w:rFonts w:ascii="Calibri" w:eastAsiaTheme="majorEastAsia" w:hAnsi="Calibri" w:cstheme="majorBidi"/>
      <w:b/>
      <w:bCs/>
      <w:color w:val="003569" w:themeColor="accent6"/>
      <w:sz w:val="26"/>
      <w:szCs w:val="26"/>
    </w:rPr>
  </w:style>
  <w:style w:type="character" w:customStyle="1" w:styleId="Heading4Char">
    <w:name w:val="Heading 4 Char"/>
    <w:basedOn w:val="DefaultParagraphFont"/>
    <w:link w:val="Heading4"/>
    <w:uiPriority w:val="9"/>
    <w:rsid w:val="006B3647"/>
    <w:rPr>
      <w:rFonts w:ascii="Calibri" w:eastAsiaTheme="majorEastAsia" w:hAnsi="Calibri" w:cstheme="majorBidi"/>
      <w:b/>
      <w:bCs/>
      <w:i/>
      <w:iCs/>
      <w:color w:val="003569" w:themeColor="accent6"/>
    </w:rPr>
  </w:style>
  <w:style w:type="character" w:customStyle="1" w:styleId="Heading5Char">
    <w:name w:val="Heading 5 Char"/>
    <w:basedOn w:val="DefaultParagraphFont"/>
    <w:link w:val="Heading5"/>
    <w:uiPriority w:val="9"/>
    <w:rsid w:val="00AC0391"/>
    <w:rPr>
      <w:rFonts w:ascii="Calibri" w:eastAsiaTheme="majorEastAsia" w:hAnsi="Calibri" w:cstheme="majorBidi"/>
      <w:i/>
    </w:rPr>
  </w:style>
  <w:style w:type="character" w:customStyle="1" w:styleId="Heading6Char">
    <w:name w:val="Heading 6 Char"/>
    <w:basedOn w:val="DefaultParagraphFont"/>
    <w:link w:val="Heading6"/>
    <w:uiPriority w:val="9"/>
    <w:rsid w:val="00AC0391"/>
    <w:rPr>
      <w:rFonts w:ascii="Calibri" w:eastAsiaTheme="majorEastAsia" w:hAnsi="Calibri" w:cstheme="majorBidi"/>
      <w:i/>
      <w:iCs/>
    </w:rPr>
  </w:style>
  <w:style w:type="character" w:customStyle="1" w:styleId="Heading7Char">
    <w:name w:val="Heading 7 Char"/>
    <w:basedOn w:val="DefaultParagraphFont"/>
    <w:link w:val="Heading7"/>
    <w:uiPriority w:val="9"/>
    <w:semiHidden/>
    <w:rsid w:val="00AC0391"/>
    <w:rPr>
      <w:rFonts w:ascii="Calibri" w:eastAsiaTheme="majorEastAsia" w:hAnsi="Calibri" w:cstheme="majorBidi"/>
      <w:i/>
      <w:iCs/>
    </w:rPr>
  </w:style>
  <w:style w:type="character" w:customStyle="1" w:styleId="Heading8Char">
    <w:name w:val="Heading 8 Char"/>
    <w:basedOn w:val="DefaultParagraphFont"/>
    <w:link w:val="Heading8"/>
    <w:uiPriority w:val="9"/>
    <w:rsid w:val="00AC0391"/>
    <w:rPr>
      <w:rFonts w:ascii="Calibri" w:eastAsiaTheme="majorEastAsia" w:hAnsi="Calibri" w:cstheme="majorBidi"/>
      <w:sz w:val="20"/>
      <w:szCs w:val="20"/>
    </w:rPr>
  </w:style>
  <w:style w:type="character" w:customStyle="1" w:styleId="Heading9Char">
    <w:name w:val="Heading 9 Char"/>
    <w:basedOn w:val="DefaultParagraphFont"/>
    <w:link w:val="Heading9"/>
    <w:uiPriority w:val="9"/>
    <w:rsid w:val="00AC0391"/>
    <w:rPr>
      <w:rFonts w:ascii="Calibri" w:eastAsiaTheme="majorEastAsia" w:hAnsi="Calibri" w:cstheme="majorBidi"/>
      <w:i/>
      <w:iCs/>
      <w:color w:val="4E5053" w:themeColor="text2"/>
      <w:sz w:val="20"/>
      <w:szCs w:val="20"/>
    </w:rPr>
  </w:style>
  <w:style w:type="paragraph" w:styleId="TOCHeading">
    <w:name w:val="TOC Heading"/>
    <w:basedOn w:val="Heading1"/>
    <w:next w:val="Normal"/>
    <w:uiPriority w:val="39"/>
    <w:unhideWhenUsed/>
    <w:qFormat/>
    <w:rsid w:val="009048D3"/>
    <w:pPr>
      <w:pageBreakBefore w:val="0"/>
      <w:numPr>
        <w:numId w:val="0"/>
      </w:numPr>
      <w:outlineLvl w:val="9"/>
    </w:pPr>
    <w:rPr>
      <w:lang w:eastAsia="ja-JP"/>
    </w:rPr>
  </w:style>
  <w:style w:type="paragraph" w:styleId="Header">
    <w:name w:val="header"/>
    <w:basedOn w:val="Normal"/>
    <w:link w:val="HeaderChar"/>
    <w:uiPriority w:val="99"/>
    <w:unhideWhenUsed/>
    <w:rsid w:val="00AC0391"/>
    <w:pPr>
      <w:tabs>
        <w:tab w:val="center" w:pos="4680"/>
        <w:tab w:val="right" w:pos="9360"/>
      </w:tabs>
      <w:spacing w:line="240" w:lineRule="auto"/>
    </w:pPr>
  </w:style>
  <w:style w:type="character" w:customStyle="1" w:styleId="HeaderChar">
    <w:name w:val="Header Char"/>
    <w:basedOn w:val="DefaultParagraphFont"/>
    <w:link w:val="Header"/>
    <w:uiPriority w:val="99"/>
    <w:rsid w:val="00AC0391"/>
    <w:rPr>
      <w:rFonts w:eastAsiaTheme="minorEastAsia"/>
      <w:color w:val="4E5053" w:themeColor="text1"/>
    </w:rPr>
  </w:style>
  <w:style w:type="paragraph" w:styleId="Footer">
    <w:name w:val="footer"/>
    <w:basedOn w:val="Normal"/>
    <w:link w:val="FooterChar"/>
    <w:uiPriority w:val="99"/>
    <w:unhideWhenUsed/>
    <w:rsid w:val="00AC039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uiPriority w:val="99"/>
    <w:rsid w:val="00AC0391"/>
    <w:rPr>
      <w:rFonts w:ascii="Calibri" w:eastAsiaTheme="minorEastAsia" w:hAnsi="Calibri"/>
      <w:color w:val="4E5053" w:themeColor="text1"/>
      <w:sz w:val="18"/>
    </w:rPr>
  </w:style>
  <w:style w:type="paragraph" w:styleId="TOC1">
    <w:name w:val="toc 1"/>
    <w:basedOn w:val="Normal"/>
    <w:next w:val="Normal"/>
    <w:autoRedefine/>
    <w:uiPriority w:val="39"/>
    <w:unhideWhenUsed/>
    <w:rsid w:val="00B51292"/>
    <w:pPr>
      <w:tabs>
        <w:tab w:val="left" w:pos="440"/>
        <w:tab w:val="right" w:leader="dot" w:pos="9029"/>
      </w:tabs>
      <w:spacing w:before="0" w:after="0" w:line="240" w:lineRule="auto"/>
    </w:pPr>
    <w:rPr>
      <w:rFonts w:ascii="Calibri" w:hAnsi="Calibri"/>
      <w:color w:val="003569" w:themeColor="accent6"/>
    </w:rPr>
  </w:style>
  <w:style w:type="table" w:styleId="TableGrid">
    <w:name w:val="Table Grid"/>
    <w:basedOn w:val="TableNormal"/>
    <w:uiPriority w:val="39"/>
    <w:rsid w:val="00AC0391"/>
    <w:pPr>
      <w:spacing w:before="120" w:after="120" w:line="240" w:lineRule="auto"/>
    </w:pPr>
    <w:rPr>
      <w:lang w:val="en-US"/>
    </w:r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LightList">
    <w:name w:val="Light List"/>
    <w:basedOn w:val="TableNormal"/>
    <w:uiPriority w:val="61"/>
    <w:rsid w:val="006B618A"/>
    <w:pPr>
      <w:spacing w:after="0" w:line="240" w:lineRule="auto"/>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style>
  <w:style w:type="character" w:styleId="Hyperlink">
    <w:name w:val="Hyperlink"/>
    <w:basedOn w:val="DefaultParagraphFont"/>
    <w:uiPriority w:val="99"/>
    <w:unhideWhenUsed/>
    <w:rsid w:val="00AC0391"/>
    <w:rPr>
      <w:color w:val="0000FF" w:themeColor="hyperlink"/>
      <w:u w:val="single"/>
    </w:rPr>
  </w:style>
  <w:style w:type="table" w:styleId="LightList-Accent3">
    <w:name w:val="Light List Accent 3"/>
    <w:basedOn w:val="TableNormal"/>
    <w:uiPriority w:val="61"/>
    <w:rsid w:val="00AC0391"/>
    <w:pPr>
      <w:spacing w:before="120" w:after="120" w:line="240" w:lineRule="auto"/>
    </w:pPr>
    <w:rPr>
      <w:lang w:val="en-US"/>
    </w:rPr>
    <w:tblPr>
      <w:tblStyleRowBandSize w:val="1"/>
      <w:tblStyleColBandSize w:val="1"/>
      <w:tblBorders>
        <w:top w:val="single" w:sz="4" w:space="0" w:color="68B937" w:themeColor="accent3"/>
        <w:left w:val="single" w:sz="4" w:space="0" w:color="68B937" w:themeColor="accent3"/>
        <w:bottom w:val="single" w:sz="4" w:space="0" w:color="68B937" w:themeColor="accent3"/>
        <w:right w:val="single" w:sz="4" w:space="0" w:color="68B937" w:themeColor="accent3"/>
        <w:insideH w:val="single" w:sz="4" w:space="0" w:color="68B937" w:themeColor="accent3"/>
        <w:insideV w:val="single" w:sz="4" w:space="0" w:color="68B937"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1"/>
          <w:insideV w:val="single" w:sz="4" w:space="0" w:color="FFFFFF" w:themeColor="background1"/>
        </w:tcBorders>
        <w:shd w:val="clear" w:color="auto" w:fill="68B937" w:themeFill="accent3"/>
      </w:tcPr>
    </w:tblStylePr>
    <w:tblStylePr w:type="lastRow">
      <w:pPr>
        <w:spacing w:before="0" w:after="0" w:line="240" w:lineRule="auto"/>
      </w:pPr>
      <w:rPr>
        <w:b/>
        <w:bCs/>
      </w:rPr>
      <w:tblPr/>
      <w:tcPr>
        <w:tcBorders>
          <w:top w:val="double" w:sz="6" w:space="0" w:color="68B937" w:themeColor="accent3"/>
          <w:left w:val="single" w:sz="8" w:space="0" w:color="68B937" w:themeColor="accent3"/>
          <w:bottom w:val="single" w:sz="8" w:space="0" w:color="68B937" w:themeColor="accent3"/>
          <w:right w:val="single" w:sz="8" w:space="0" w:color="68B937" w:themeColor="accent3"/>
        </w:tcBorders>
      </w:tcPr>
    </w:tblStylePr>
    <w:tblStylePr w:type="firstCol">
      <w:rPr>
        <w:b w:val="0"/>
        <w:bCs/>
      </w:rPr>
    </w:tblStylePr>
    <w:tblStylePr w:type="lastCol">
      <w:rPr>
        <w:b w:val="0"/>
        <w:bCs/>
      </w:rPr>
    </w:tblStylePr>
    <w:tblStylePr w:type="band1Vert">
      <w:tblPr/>
      <w:tcPr>
        <w:tcBorders>
          <w:top w:val="single" w:sz="8" w:space="0" w:color="68B937" w:themeColor="accent3"/>
          <w:left w:val="single" w:sz="8" w:space="0" w:color="68B937" w:themeColor="accent3"/>
          <w:bottom w:val="single" w:sz="8" w:space="0" w:color="68B937" w:themeColor="accent3"/>
          <w:right w:val="single" w:sz="8" w:space="0" w:color="68B937" w:themeColor="accent3"/>
        </w:tcBorders>
      </w:tcPr>
    </w:tblStylePr>
    <w:tblStylePr w:type="band1Horz">
      <w:tblPr/>
      <w:tcPr>
        <w:tcBorders>
          <w:top w:val="single" w:sz="8" w:space="0" w:color="68B937" w:themeColor="accent3"/>
          <w:left w:val="single" w:sz="8" w:space="0" w:color="68B937" w:themeColor="accent3"/>
          <w:bottom w:val="single" w:sz="8" w:space="0" w:color="68B937" w:themeColor="accent3"/>
          <w:right w:val="single" w:sz="8" w:space="0" w:color="68B937" w:themeColor="accent3"/>
        </w:tcBorders>
      </w:tcPr>
    </w:tblStylePr>
    <w:tblStylePr w:type="nwCell">
      <w:tblPr/>
      <w:tcPr>
        <w:tcBorders>
          <w:top w:val="nil"/>
          <w:left w:val="single" w:sz="4" w:space="0" w:color="68B937" w:themeColor="accent3"/>
          <w:bottom w:val="nil"/>
          <w:right w:val="nil"/>
          <w:insideH w:val="nil"/>
          <w:insideV w:val="nil"/>
        </w:tcBorders>
      </w:tcPr>
    </w:tblStylePr>
  </w:style>
  <w:style w:type="paragraph" w:customStyle="1" w:styleId="BasicParagraph">
    <w:name w:val="[Basic Paragraph]"/>
    <w:basedOn w:val="Normal"/>
    <w:uiPriority w:val="99"/>
    <w:rsid w:val="00AC0391"/>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Table-Normal">
    <w:name w:val="Table - Normal"/>
    <w:basedOn w:val="Normal"/>
    <w:link w:val="Table-NormalChar"/>
    <w:qFormat/>
    <w:rsid w:val="00AC0391"/>
    <w:pPr>
      <w:spacing w:before="0" w:after="0" w:line="240" w:lineRule="auto"/>
      <w:jc w:val="left"/>
    </w:pPr>
    <w:rPr>
      <w:bCs/>
    </w:rPr>
  </w:style>
  <w:style w:type="paragraph" w:styleId="EndnoteText">
    <w:name w:val="endnote text"/>
    <w:basedOn w:val="Normal"/>
    <w:link w:val="EndnoteTextChar"/>
    <w:uiPriority w:val="99"/>
    <w:unhideWhenUsed/>
    <w:qFormat/>
    <w:rsid w:val="00AC0391"/>
    <w:pPr>
      <w:spacing w:before="0" w:after="0" w:line="240" w:lineRule="auto"/>
    </w:pPr>
    <w:rPr>
      <w:sz w:val="18"/>
      <w:szCs w:val="20"/>
    </w:rPr>
  </w:style>
  <w:style w:type="character" w:customStyle="1" w:styleId="EndnoteTextChar">
    <w:name w:val="Endnote Text Char"/>
    <w:basedOn w:val="DefaultParagraphFont"/>
    <w:link w:val="EndnoteText"/>
    <w:uiPriority w:val="99"/>
    <w:rsid w:val="00AC0391"/>
    <w:rPr>
      <w:sz w:val="18"/>
      <w:szCs w:val="20"/>
    </w:rPr>
  </w:style>
  <w:style w:type="paragraph" w:customStyle="1" w:styleId="Footertext">
    <w:name w:val="Footer text"/>
    <w:basedOn w:val="Footer"/>
    <w:link w:val="FootertextChar"/>
    <w:rsid w:val="00AC0391"/>
    <w:rPr>
      <w:color w:val="4E5053"/>
    </w:rPr>
  </w:style>
  <w:style w:type="character" w:customStyle="1" w:styleId="FootertextChar">
    <w:name w:val="Footer text Char"/>
    <w:basedOn w:val="FooterChar"/>
    <w:link w:val="Footertext"/>
    <w:rsid w:val="00AC0391"/>
    <w:rPr>
      <w:rFonts w:ascii="Calibri" w:eastAsiaTheme="minorEastAsia" w:hAnsi="Calibri"/>
      <w:color w:val="4E5053"/>
      <w:sz w:val="18"/>
    </w:rPr>
  </w:style>
  <w:style w:type="paragraph" w:customStyle="1" w:styleId="Heading1nonumbering">
    <w:name w:val="Heading 1 no numbering"/>
    <w:basedOn w:val="Heading1"/>
    <w:next w:val="Normal"/>
    <w:rsid w:val="00AC0391"/>
    <w:pPr>
      <w:numPr>
        <w:numId w:val="0"/>
      </w:numPr>
      <w:pBdr>
        <w:bottom w:val="single" w:sz="4" w:space="1" w:color="68B937" w:themeColor="accent3"/>
      </w:pBdr>
    </w:pPr>
  </w:style>
  <w:style w:type="paragraph" w:customStyle="1" w:styleId="AbbreviationList">
    <w:name w:val="Abbreviation List"/>
    <w:basedOn w:val="Normal"/>
    <w:rsid w:val="00AC0391"/>
    <w:pPr>
      <w:ind w:left="1440" w:hanging="1440"/>
    </w:pPr>
  </w:style>
  <w:style w:type="paragraph" w:customStyle="1" w:styleId="AdministrativePage">
    <w:name w:val="Administrative Page"/>
    <w:basedOn w:val="Normal"/>
    <w:rsid w:val="00AC0391"/>
    <w:pPr>
      <w:ind w:left="2880" w:hanging="2880"/>
    </w:pPr>
  </w:style>
  <w:style w:type="paragraph" w:styleId="BalloonText">
    <w:name w:val="Balloon Text"/>
    <w:basedOn w:val="Normal"/>
    <w:link w:val="BalloonTextChar"/>
    <w:uiPriority w:val="99"/>
    <w:semiHidden/>
    <w:unhideWhenUsed/>
    <w:rsid w:val="00AC039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391"/>
    <w:rPr>
      <w:rFonts w:ascii="Tahoma" w:eastAsiaTheme="minorEastAsia" w:hAnsi="Tahoma" w:cs="Tahoma"/>
      <w:color w:val="4E5053" w:themeColor="text1"/>
      <w:sz w:val="16"/>
      <w:szCs w:val="16"/>
    </w:rPr>
  </w:style>
  <w:style w:type="paragraph" w:customStyle="1" w:styleId="Bullet20">
    <w:name w:val="Bullet2"/>
    <w:basedOn w:val="Normal"/>
    <w:link w:val="Bullet2Char"/>
    <w:uiPriority w:val="10"/>
    <w:qFormat/>
    <w:rsid w:val="006B3647"/>
    <w:pPr>
      <w:numPr>
        <w:numId w:val="2"/>
      </w:numPr>
      <w:ind w:left="1134" w:hanging="283"/>
    </w:pPr>
    <w:rPr>
      <w:lang w:eastAsia="ja-JP"/>
    </w:rPr>
  </w:style>
  <w:style w:type="character" w:customStyle="1" w:styleId="Bullet2Char">
    <w:name w:val="Bullet2 Char"/>
    <w:basedOn w:val="DefaultParagraphFont"/>
    <w:link w:val="Bullet20"/>
    <w:uiPriority w:val="10"/>
    <w:rsid w:val="006B3647"/>
    <w:rPr>
      <w:lang w:eastAsia="ja-JP"/>
    </w:rPr>
  </w:style>
  <w:style w:type="paragraph" w:customStyle="1" w:styleId="Bullet3">
    <w:name w:val="Bullet3"/>
    <w:basedOn w:val="Bullet20"/>
    <w:link w:val="Bullet3Char"/>
    <w:uiPriority w:val="10"/>
    <w:qFormat/>
    <w:rsid w:val="006B3647"/>
    <w:pPr>
      <w:numPr>
        <w:numId w:val="3"/>
      </w:numPr>
    </w:pPr>
  </w:style>
  <w:style w:type="character" w:customStyle="1" w:styleId="Bullet3Char">
    <w:name w:val="Bullet3 Char"/>
    <w:basedOn w:val="Bullet2Char"/>
    <w:link w:val="Bullet3"/>
    <w:uiPriority w:val="10"/>
    <w:rsid w:val="006B3647"/>
    <w:rPr>
      <w:lang w:eastAsia="ja-JP"/>
    </w:rPr>
  </w:style>
  <w:style w:type="paragraph" w:customStyle="1" w:styleId="Bullet4">
    <w:name w:val="Bullet4"/>
    <w:basedOn w:val="Bullet3"/>
    <w:link w:val="Bullet4Char"/>
    <w:uiPriority w:val="10"/>
    <w:qFormat/>
    <w:rsid w:val="006B3647"/>
    <w:pPr>
      <w:numPr>
        <w:numId w:val="4"/>
      </w:numPr>
      <w:ind w:left="1701" w:hanging="283"/>
    </w:pPr>
  </w:style>
  <w:style w:type="character" w:customStyle="1" w:styleId="Bullet4Char">
    <w:name w:val="Bullet4 Char"/>
    <w:basedOn w:val="Bullet3Char"/>
    <w:link w:val="Bullet4"/>
    <w:uiPriority w:val="10"/>
    <w:rsid w:val="006B3647"/>
    <w:rPr>
      <w:lang w:eastAsia="ja-JP"/>
    </w:rPr>
  </w:style>
  <w:style w:type="paragraph" w:customStyle="1" w:styleId="Table-Bullet2">
    <w:name w:val="Table-Bullet2"/>
    <w:basedOn w:val="Bullet20"/>
    <w:qFormat/>
    <w:rsid w:val="0065488F"/>
    <w:pPr>
      <w:numPr>
        <w:numId w:val="6"/>
      </w:numPr>
      <w:spacing w:before="0" w:after="0" w:line="240" w:lineRule="auto"/>
      <w:ind w:left="402" w:hanging="154"/>
      <w:jc w:val="left"/>
    </w:pPr>
    <w:rPr>
      <w:bCs/>
      <w:lang w:val="en-US"/>
    </w:rPr>
  </w:style>
  <w:style w:type="paragraph" w:customStyle="1" w:styleId="Table-Bullet1">
    <w:name w:val="Table-Bullet1"/>
    <w:basedOn w:val="Table-Bullet2"/>
    <w:qFormat/>
    <w:rsid w:val="0065488F"/>
    <w:pPr>
      <w:numPr>
        <w:numId w:val="5"/>
      </w:numPr>
    </w:pPr>
  </w:style>
  <w:style w:type="paragraph" w:styleId="Caption">
    <w:name w:val="caption"/>
    <w:aliases w:val="PHE Caption,Bayer Caption,IB Caption,Medical Caption,- H17"/>
    <w:basedOn w:val="Normal"/>
    <w:next w:val="Normal"/>
    <w:link w:val="CaptionChar"/>
    <w:uiPriority w:val="35"/>
    <w:unhideWhenUsed/>
    <w:qFormat/>
    <w:rsid w:val="00AC0391"/>
    <w:pPr>
      <w:keepNext/>
      <w:spacing w:before="0" w:after="0" w:line="240" w:lineRule="auto"/>
    </w:pPr>
    <w:rPr>
      <w:b/>
      <w:bCs/>
    </w:rPr>
  </w:style>
  <w:style w:type="paragraph" w:styleId="ListParagraph">
    <w:name w:val="List Paragraph"/>
    <w:aliases w:val="Bullet1,Bullet 1,Bullet List,Section 5,List Paragraph CCT minutes,_CC_Bullet,List Paragraph after 2,Questions,List Paragraph1,Styl moj,Akapit z listą1,Akapit z listą11,Bullets Points,Table Legend,Table Bullets,Bullet list1,ListNumber"/>
    <w:basedOn w:val="Normal"/>
    <w:link w:val="ListParagraphChar"/>
    <w:uiPriority w:val="34"/>
    <w:qFormat/>
    <w:rsid w:val="006B3647"/>
    <w:pPr>
      <w:numPr>
        <w:numId w:val="7"/>
      </w:numPr>
      <w:ind w:left="851" w:hanging="425"/>
    </w:pPr>
    <w:rPr>
      <w:rFonts w:eastAsiaTheme="majorEastAsia"/>
      <w:lang w:eastAsia="ja-JP"/>
    </w:rPr>
  </w:style>
  <w:style w:type="character" w:customStyle="1" w:styleId="ListParagraphChar">
    <w:name w:val="List Paragraph Char"/>
    <w:aliases w:val="Bullet1 Char,Bullet 1 Char,Bullet List Char,Section 5 Char,List Paragraph CCT minutes Char,_CC_Bullet Char,List Paragraph after 2 Char,Questions Char,List Paragraph1 Char,Styl moj Char,Akapit z listą1 Char,Akapit z listą11 Char"/>
    <w:basedOn w:val="DefaultParagraphFont"/>
    <w:link w:val="ListParagraph"/>
    <w:uiPriority w:val="34"/>
    <w:rsid w:val="006B3647"/>
    <w:rPr>
      <w:rFonts w:eastAsiaTheme="majorEastAsia"/>
      <w:lang w:eastAsia="ja-JP"/>
    </w:rPr>
  </w:style>
  <w:style w:type="table" w:styleId="LightList-Accent6">
    <w:name w:val="Light List Accent 6"/>
    <w:basedOn w:val="TableNormal"/>
    <w:uiPriority w:val="61"/>
    <w:rsid w:val="00BF6C36"/>
    <w:pPr>
      <w:spacing w:after="0" w:line="240" w:lineRule="auto"/>
      <w:jc w:val="left"/>
    </w:pPr>
    <w:tblPr>
      <w:tblStyleRowBandSize w:val="1"/>
      <w:tblStyleColBandSize w:val="1"/>
      <w:tbl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blBorders>
    </w:tblPr>
    <w:trPr>
      <w:cantSplit/>
    </w:trPr>
    <w:tcPr>
      <w:shd w:val="clear" w:color="auto" w:fill="auto"/>
    </w:tcPr>
    <w:tblStylePr w:type="firstRow">
      <w:pPr>
        <w:spacing w:before="0" w:after="0" w:line="240" w:lineRule="auto"/>
      </w:pPr>
      <w:rPr>
        <w:b/>
        <w:bCs/>
        <w:color w:val="FFFFFF" w:themeColor="background1"/>
      </w:rPr>
      <w:tblPr/>
      <w:trPr>
        <w:cantSplit w:val="0"/>
        <w:tblHeader/>
      </w:trPr>
      <w:tcPr>
        <w:tcBorders>
          <w:insideH w:val="single" w:sz="4" w:space="0" w:color="FFFFFF" w:themeColor="background2"/>
          <w:insideV w:val="single" w:sz="4" w:space="0" w:color="FFFFFF" w:themeColor="background2"/>
        </w:tcBorders>
        <w:shd w:val="clear" w:color="auto" w:fill="003569" w:themeFill="accent6"/>
      </w:tcPr>
    </w:tblStylePr>
    <w:tblStylePr w:type="lastRow">
      <w:pPr>
        <w:spacing w:before="0" w:after="0" w:line="240" w:lineRule="auto"/>
      </w:pPr>
      <w:rPr>
        <w:b/>
        <w:bCs/>
      </w:rPr>
      <w:tblPr/>
      <w:tcPr>
        <w:tcBorders>
          <w:top w:val="double" w:sz="6" w:space="0" w:color="003569" w:themeColor="accent6"/>
          <w:left w:val="single" w:sz="8" w:space="0" w:color="003569" w:themeColor="accent6"/>
          <w:bottom w:val="single" w:sz="8" w:space="0" w:color="003569" w:themeColor="accent6"/>
          <w:right w:val="single" w:sz="8" w:space="0" w:color="003569" w:themeColor="accent6"/>
        </w:tcBorders>
      </w:tcPr>
    </w:tblStylePr>
    <w:tblStylePr w:type="firstCol">
      <w:rPr>
        <w:b w:val="0"/>
        <w:bCs/>
      </w:rPr>
    </w:tblStylePr>
    <w:tblStylePr w:type="lastCol">
      <w:rPr>
        <w:b/>
        <w:bCs/>
      </w:rPr>
    </w:tblStylePr>
    <w:tblStylePr w:type="band1Vert">
      <w:tblPr/>
      <w:tcPr>
        <w:tcBorders>
          <w:top w:val="single" w:sz="8" w:space="0" w:color="003569" w:themeColor="accent6"/>
          <w:left w:val="single" w:sz="8" w:space="0" w:color="003569" w:themeColor="accent6"/>
          <w:bottom w:val="single" w:sz="8" w:space="0" w:color="003569" w:themeColor="accent6"/>
          <w:right w:val="single" w:sz="8" w:space="0" w:color="003569" w:themeColor="accent6"/>
        </w:tcBorders>
      </w:tcPr>
    </w:tblStylePr>
    <w:tblStylePr w:type="band1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tblStylePr w:type="band2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style>
  <w:style w:type="table" w:styleId="LightList-Accent4">
    <w:name w:val="Light List Accent 4"/>
    <w:basedOn w:val="TableNormal"/>
    <w:uiPriority w:val="61"/>
    <w:rsid w:val="006B618A"/>
    <w:pPr>
      <w:spacing w:after="0" w:line="240" w:lineRule="auto"/>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style>
  <w:style w:type="table" w:styleId="LightList-Accent5">
    <w:name w:val="Light List Accent 5"/>
    <w:basedOn w:val="TableNormal"/>
    <w:uiPriority w:val="61"/>
    <w:rsid w:val="006B618A"/>
    <w:pPr>
      <w:spacing w:after="0" w:line="240" w:lineRule="auto"/>
    </w:pPr>
    <w:tblPr>
      <w:tblStyleRowBandSize w:val="1"/>
      <w:tblStyleColBandSize w:val="1"/>
      <w:tblBorders>
        <w:top w:val="single" w:sz="4" w:space="0" w:color="FFBB2D" w:themeColor="accent5"/>
        <w:left w:val="single" w:sz="4" w:space="0" w:color="FFBB2D" w:themeColor="accent5"/>
        <w:bottom w:val="single" w:sz="4" w:space="0" w:color="FFBB2D" w:themeColor="accent5"/>
        <w:right w:val="single" w:sz="4" w:space="0" w:color="FFBB2D" w:themeColor="accent5"/>
        <w:insideH w:val="single" w:sz="4" w:space="0" w:color="FFBB2D" w:themeColor="accent5"/>
        <w:insideV w:val="single" w:sz="4" w:space="0" w:color="FFBB2D" w:themeColor="accent5"/>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FFBB2D" w:themeFill="accent5"/>
      </w:tcPr>
    </w:tblStylePr>
    <w:tblStylePr w:type="lastRow">
      <w:pPr>
        <w:spacing w:before="0" w:after="0" w:line="240" w:lineRule="auto"/>
      </w:pPr>
      <w:rPr>
        <w:b/>
        <w:bCs/>
      </w:rPr>
      <w:tblPr/>
      <w:tcPr>
        <w:tcBorders>
          <w:top w:val="double" w:sz="6" w:space="0" w:color="FFBB2D" w:themeColor="accent5"/>
          <w:left w:val="single" w:sz="8" w:space="0" w:color="FFBB2D" w:themeColor="accent5"/>
          <w:bottom w:val="single" w:sz="8" w:space="0" w:color="FFBB2D" w:themeColor="accent5"/>
          <w:right w:val="single" w:sz="8" w:space="0" w:color="FFBB2D" w:themeColor="accent5"/>
        </w:tcBorders>
      </w:tcPr>
    </w:tblStylePr>
    <w:tblStylePr w:type="firstCol">
      <w:rPr>
        <w:b w:val="0"/>
        <w:bCs/>
      </w:rPr>
    </w:tblStylePr>
    <w:tblStylePr w:type="lastCol">
      <w:rPr>
        <w:b/>
        <w:bCs/>
      </w:rPr>
    </w:tblStylePr>
    <w:tblStylePr w:type="band1Vert">
      <w:tblPr/>
      <w:tcPr>
        <w:tcBorders>
          <w:top w:val="single" w:sz="8" w:space="0" w:color="FFBB2D" w:themeColor="accent5"/>
          <w:left w:val="single" w:sz="8" w:space="0" w:color="FFBB2D" w:themeColor="accent5"/>
          <w:bottom w:val="single" w:sz="8" w:space="0" w:color="FFBB2D" w:themeColor="accent5"/>
          <w:right w:val="single" w:sz="8" w:space="0" w:color="FFBB2D" w:themeColor="accent5"/>
        </w:tcBorders>
      </w:tcPr>
    </w:tblStylePr>
    <w:tblStylePr w:type="band1Horz">
      <w:tblPr/>
      <w:tcPr>
        <w:tcBorders>
          <w:top w:val="single" w:sz="8" w:space="0" w:color="FFBB2D" w:themeColor="accent5"/>
          <w:left w:val="single" w:sz="8" w:space="0" w:color="FFBB2D" w:themeColor="accent5"/>
          <w:bottom w:val="single" w:sz="8" w:space="0" w:color="FFBB2D" w:themeColor="accent5"/>
          <w:right w:val="single" w:sz="8" w:space="0" w:color="FFBB2D" w:themeColor="accent5"/>
        </w:tcBorders>
      </w:tcPr>
    </w:tblStylePr>
  </w:style>
  <w:style w:type="table" w:styleId="LightList-Accent2">
    <w:name w:val="Light List Accent 2"/>
    <w:basedOn w:val="TableNormal"/>
    <w:uiPriority w:val="61"/>
    <w:rsid w:val="006B618A"/>
    <w:pPr>
      <w:spacing w:after="0" w:line="240" w:lineRule="auto"/>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blStylePr w:type="firstRow">
      <w:pPr>
        <w:spacing w:before="0" w:after="0" w:line="240" w:lineRule="auto"/>
      </w:pPr>
      <w:rPr>
        <w:b/>
        <w:bCs/>
        <w:color w:val="FFFFFF" w:themeColor="background1"/>
      </w:rPr>
      <w:tblPr/>
      <w:tcPr>
        <w:tcBorders>
          <w:insideH w:val="single" w:sz="4" w:space="0" w:color="FFFFFF" w:themeColor="background2"/>
          <w:insideV w:val="single" w:sz="4" w:space="0" w:color="FFFFFF" w:themeColor="background2"/>
        </w:tcBorders>
        <w:shd w:val="clear" w:color="auto" w:fill="00A6CB" w:themeFill="accent2"/>
      </w:tcPr>
    </w:tblStylePr>
    <w:tblStylePr w:type="lastRow">
      <w:pPr>
        <w:spacing w:before="0" w:after="0" w:line="240" w:lineRule="auto"/>
      </w:pPr>
      <w:rPr>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tcBorders>
      </w:tcPr>
    </w:tblStylePr>
    <w:tblStylePr w:type="firstCol">
      <w:rPr>
        <w:b w:val="0"/>
        <w:bCs/>
      </w:rPr>
    </w:tblStylePr>
    <w:tblStylePr w:type="lastCol">
      <w:rPr>
        <w:b/>
        <w:bCs/>
      </w:r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style>
  <w:style w:type="table" w:styleId="LightList-Accent1">
    <w:name w:val="Light List Accent 1"/>
    <w:basedOn w:val="TableNormal"/>
    <w:uiPriority w:val="61"/>
    <w:rsid w:val="006B618A"/>
    <w:pPr>
      <w:spacing w:after="0" w:line="240" w:lineRule="auto"/>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4E5053" w:themeFill="accent1"/>
      </w:tcPr>
    </w:tblStylePr>
    <w:tblStylePr w:type="lastRow">
      <w:pPr>
        <w:spacing w:before="0" w:after="0" w:line="240" w:lineRule="auto"/>
      </w:pPr>
      <w:rPr>
        <w:b/>
        <w:bCs/>
      </w:rPr>
      <w:tblPr/>
      <w:tcPr>
        <w:tcBorders>
          <w:top w:val="double" w:sz="6" w:space="0" w:color="4E5053" w:themeColor="accent1"/>
          <w:left w:val="single" w:sz="8" w:space="0" w:color="4E5053" w:themeColor="accent1"/>
          <w:bottom w:val="single" w:sz="8" w:space="0" w:color="4E5053" w:themeColor="accent1"/>
          <w:right w:val="single" w:sz="8" w:space="0" w:color="4E5053" w:themeColor="accent1"/>
        </w:tcBorders>
      </w:tcPr>
    </w:tblStylePr>
    <w:tblStylePr w:type="firstCol">
      <w:rPr>
        <w:b w:val="0"/>
        <w:bCs/>
      </w:rPr>
    </w:tblStylePr>
    <w:tblStylePr w:type="lastCol">
      <w:rPr>
        <w:b/>
        <w:bCs/>
      </w:rPr>
    </w:tblStylePr>
    <w:tblStylePr w:type="band1Vert">
      <w:tblPr/>
      <w:tcPr>
        <w:tcBorders>
          <w:top w:val="single" w:sz="8" w:space="0" w:color="4E5053" w:themeColor="accent1"/>
          <w:left w:val="single" w:sz="8" w:space="0" w:color="4E5053" w:themeColor="accent1"/>
          <w:bottom w:val="single" w:sz="8" w:space="0" w:color="4E5053" w:themeColor="accent1"/>
          <w:right w:val="single" w:sz="8" w:space="0" w:color="4E5053" w:themeColor="accent1"/>
        </w:tcBorders>
      </w:tcPr>
    </w:tblStylePr>
    <w:tblStylePr w:type="band1Horz">
      <w:tblPr/>
      <w:tcPr>
        <w:tcBorders>
          <w:top w:val="single" w:sz="8" w:space="0" w:color="4E5053" w:themeColor="accent1"/>
          <w:left w:val="single" w:sz="8" w:space="0" w:color="4E5053" w:themeColor="accent1"/>
          <w:bottom w:val="single" w:sz="8" w:space="0" w:color="4E5053" w:themeColor="accent1"/>
          <w:right w:val="single" w:sz="8" w:space="0" w:color="4E5053" w:themeColor="accent1"/>
        </w:tcBorders>
      </w:tcPr>
    </w:tblStylePr>
  </w:style>
  <w:style w:type="paragraph" w:styleId="TOC2">
    <w:name w:val="toc 2"/>
    <w:basedOn w:val="Normal"/>
    <w:next w:val="Normal"/>
    <w:autoRedefine/>
    <w:uiPriority w:val="39"/>
    <w:unhideWhenUsed/>
    <w:rsid w:val="00B51292"/>
    <w:pPr>
      <w:tabs>
        <w:tab w:val="left" w:leader="dot" w:pos="1100"/>
        <w:tab w:val="right" w:leader="dot" w:pos="9040"/>
      </w:tabs>
      <w:spacing w:before="15" w:after="10" w:line="240" w:lineRule="auto"/>
      <w:ind w:left="851" w:right="454" w:hanging="397"/>
    </w:pPr>
    <w:rPr>
      <w:color w:val="003569" w:themeColor="accent6"/>
    </w:rPr>
  </w:style>
  <w:style w:type="character" w:styleId="CommentReference">
    <w:name w:val="annotation reference"/>
    <w:basedOn w:val="DefaultParagraphFont"/>
    <w:semiHidden/>
    <w:unhideWhenUsed/>
    <w:rsid w:val="00B426B0"/>
    <w:rPr>
      <w:sz w:val="16"/>
      <w:szCs w:val="16"/>
    </w:rPr>
  </w:style>
  <w:style w:type="paragraph" w:styleId="CommentText">
    <w:name w:val="annotation text"/>
    <w:basedOn w:val="Normal"/>
    <w:link w:val="CommentTextChar"/>
    <w:unhideWhenUsed/>
    <w:rsid w:val="00B426B0"/>
    <w:pPr>
      <w:spacing w:line="240" w:lineRule="auto"/>
    </w:pPr>
    <w:rPr>
      <w:color w:val="4E5053"/>
      <w:sz w:val="20"/>
      <w:szCs w:val="20"/>
    </w:rPr>
  </w:style>
  <w:style w:type="character" w:customStyle="1" w:styleId="CommentTextChar">
    <w:name w:val="Comment Text Char"/>
    <w:basedOn w:val="DefaultParagraphFont"/>
    <w:link w:val="CommentText"/>
    <w:rsid w:val="00B426B0"/>
    <w:rPr>
      <w:color w:val="4E5053"/>
      <w:sz w:val="20"/>
      <w:szCs w:val="20"/>
    </w:rPr>
  </w:style>
  <w:style w:type="table" w:styleId="MediumShading1-Accent3">
    <w:name w:val="Medium Shading 1 Accent 3"/>
    <w:basedOn w:val="TableNormal"/>
    <w:uiPriority w:val="63"/>
    <w:rsid w:val="006B618A"/>
    <w:pPr>
      <w:spacing w:after="0" w:line="240" w:lineRule="auto"/>
    </w:pPr>
    <w:tblPr>
      <w:tblStyleRowBandSize w:val="1"/>
      <w:tblStyleColBandSize w:val="1"/>
      <w:tblBorders>
        <w:top w:val="single" w:sz="8"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single" w:sz="8" w:space="0" w:color="8CD063" w:themeColor="accent3" w:themeTint="BF"/>
      </w:tblBorders>
    </w:tblPr>
    <w:tblStylePr w:type="firstRow">
      <w:pPr>
        <w:spacing w:before="0" w:after="0" w:line="240" w:lineRule="auto"/>
      </w:pPr>
      <w:rPr>
        <w:b/>
        <w:bCs/>
        <w:color w:val="FFFFFF" w:themeColor="background1"/>
      </w:rPr>
      <w:tblPr/>
      <w:tcPr>
        <w:tcBorders>
          <w:top w:val="single" w:sz="8"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nil"/>
          <w:insideV w:val="nil"/>
        </w:tcBorders>
        <w:shd w:val="clear" w:color="auto" w:fill="68B937" w:themeFill="accent3"/>
      </w:tcPr>
    </w:tblStylePr>
    <w:tblStylePr w:type="lastRow">
      <w:pPr>
        <w:spacing w:before="0" w:after="0" w:line="240" w:lineRule="auto"/>
      </w:pPr>
      <w:rPr>
        <w:b/>
        <w:bCs/>
      </w:rPr>
      <w:tblPr/>
      <w:tcPr>
        <w:tcBorders>
          <w:top w:val="double" w:sz="6"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EFCB" w:themeFill="accent3" w:themeFillTint="3F"/>
      </w:tcPr>
    </w:tblStylePr>
    <w:tblStylePr w:type="band1Horz">
      <w:tblPr/>
      <w:tcPr>
        <w:tcBorders>
          <w:insideH w:val="nil"/>
          <w:insideV w:val="nil"/>
        </w:tcBorders>
        <w:shd w:val="clear" w:color="auto" w:fill="D9EFCB" w:themeFill="accent3" w:themeFillTint="3F"/>
      </w:tcPr>
    </w:tblStylePr>
    <w:tblStylePr w:type="band2Horz">
      <w:tblPr/>
      <w:tcPr>
        <w:tcBorders>
          <w:insideH w:val="nil"/>
          <w:insideV w:val="nil"/>
        </w:tcBorders>
      </w:tcPr>
    </w:tblStylePr>
  </w:style>
  <w:style w:type="paragraph" w:styleId="TOC3">
    <w:name w:val="toc 3"/>
    <w:basedOn w:val="Normal"/>
    <w:next w:val="Normal"/>
    <w:autoRedefine/>
    <w:uiPriority w:val="39"/>
    <w:unhideWhenUsed/>
    <w:rsid w:val="0077105E"/>
    <w:pPr>
      <w:spacing w:before="40" w:after="10" w:line="240" w:lineRule="auto"/>
      <w:ind w:left="454" w:right="284"/>
    </w:pPr>
    <w:rPr>
      <w:color w:val="003569" w:themeColor="accent6"/>
    </w:rPr>
  </w:style>
  <w:style w:type="paragraph" w:styleId="TOC4">
    <w:name w:val="toc 4"/>
    <w:basedOn w:val="Normal"/>
    <w:next w:val="Normal"/>
    <w:autoRedefine/>
    <w:uiPriority w:val="39"/>
    <w:semiHidden/>
    <w:unhideWhenUsed/>
    <w:rsid w:val="0077105E"/>
    <w:pPr>
      <w:spacing w:before="0" w:after="0"/>
      <w:ind w:left="658"/>
    </w:pPr>
    <w:rPr>
      <w:color w:val="003569" w:themeColor="accent6"/>
    </w:rPr>
  </w:style>
  <w:style w:type="paragraph" w:styleId="TOC5">
    <w:name w:val="toc 5"/>
    <w:basedOn w:val="Normal"/>
    <w:next w:val="Normal"/>
    <w:autoRedefine/>
    <w:uiPriority w:val="39"/>
    <w:semiHidden/>
    <w:unhideWhenUsed/>
    <w:rsid w:val="0077105E"/>
    <w:pPr>
      <w:spacing w:after="100"/>
      <w:ind w:left="880"/>
    </w:pPr>
    <w:rPr>
      <w:color w:val="003569" w:themeColor="accent6"/>
    </w:rPr>
  </w:style>
  <w:style w:type="table" w:styleId="LightShading-Accent3">
    <w:name w:val="Light Shading Accent 3"/>
    <w:basedOn w:val="TableNormal"/>
    <w:uiPriority w:val="60"/>
    <w:rsid w:val="0017459B"/>
    <w:pPr>
      <w:spacing w:before="120" w:after="120" w:line="240" w:lineRule="auto"/>
      <w:jc w:val="left"/>
    </w:pPr>
    <w:rPr>
      <w:lang w:val="en-US"/>
    </w:rPr>
    <w:tblPr>
      <w:tblStyleRowBandSize w:val="1"/>
      <w:tblStyleColBandSize w:val="1"/>
      <w:tblBorders>
        <w:top w:val="single" w:sz="4" w:space="0" w:color="68B937" w:themeColor="accent3"/>
        <w:left w:val="single" w:sz="4" w:space="0" w:color="68B937" w:themeColor="accent3"/>
        <w:bottom w:val="single" w:sz="4" w:space="0" w:color="68B937" w:themeColor="accent3"/>
        <w:right w:val="single" w:sz="4" w:space="0" w:color="68B937" w:themeColor="accent3"/>
        <w:insideH w:val="single" w:sz="4" w:space="0" w:color="68B937"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68B937" w:themeFill="accent3"/>
      </w:tcPr>
    </w:tblStylePr>
    <w:tblStylePr w:type="lastRow">
      <w:pPr>
        <w:spacing w:before="0" w:after="0" w:line="240" w:lineRule="auto"/>
      </w:pPr>
      <w:rPr>
        <w:b/>
        <w:bCs/>
      </w:rPr>
      <w:tblPr/>
      <w:tcPr>
        <w:tcBorders>
          <w:top w:val="single" w:sz="8" w:space="0" w:color="68B937" w:themeColor="accent3"/>
          <w:left w:val="nil"/>
          <w:bottom w:val="single" w:sz="8" w:space="0" w:color="68B937" w:themeColor="accent3"/>
          <w:right w:val="nil"/>
          <w:insideH w:val="nil"/>
          <w:insideV w:val="nil"/>
        </w:tcBorders>
      </w:tcPr>
    </w:tblStylePr>
    <w:tblStylePr w:type="firstCol">
      <w:rPr>
        <w:b w:val="0"/>
        <w:bCs/>
      </w:rPr>
    </w:tblStylePr>
    <w:tblStylePr w:type="lastCol">
      <w:rPr>
        <w:b w:val="0"/>
        <w:bCs/>
      </w:rPr>
    </w:tblStylePr>
  </w:style>
  <w:style w:type="paragraph" w:styleId="TableofFigures">
    <w:name w:val="table of figures"/>
    <w:basedOn w:val="Normal"/>
    <w:next w:val="Normal"/>
    <w:uiPriority w:val="99"/>
    <w:unhideWhenUsed/>
    <w:rsid w:val="00441D7F"/>
    <w:pPr>
      <w:spacing w:after="0"/>
    </w:pPr>
    <w:rPr>
      <w:color w:val="003569" w:themeColor="accent6"/>
    </w:rPr>
  </w:style>
  <w:style w:type="paragraph" w:customStyle="1" w:styleId="EndNoteBibliographyTitle">
    <w:name w:val="EndNote Bibliography Title"/>
    <w:basedOn w:val="Normal"/>
    <w:link w:val="EndNoteBibliographyTitleChar"/>
    <w:rsid w:val="00850096"/>
    <w:pPr>
      <w:spacing w:after="0"/>
      <w:jc w:val="center"/>
    </w:pPr>
    <w:rPr>
      <w:rFonts w:ascii="Arial" w:hAnsi="Arial" w:cs="Arial"/>
      <w:noProof/>
      <w:sz w:val="20"/>
      <w:lang w:val="en-US"/>
    </w:rPr>
  </w:style>
  <w:style w:type="character" w:customStyle="1" w:styleId="EndNoteBibliographyTitleChar">
    <w:name w:val="EndNote Bibliography Title Char"/>
    <w:basedOn w:val="DefaultParagraphFont"/>
    <w:link w:val="EndNoteBibliographyTitle"/>
    <w:rsid w:val="00850096"/>
    <w:rPr>
      <w:rFonts w:ascii="Arial" w:hAnsi="Arial" w:cs="Arial"/>
      <w:noProof/>
      <w:sz w:val="20"/>
      <w:lang w:val="en-US"/>
    </w:rPr>
  </w:style>
  <w:style w:type="paragraph" w:customStyle="1" w:styleId="EndNoteBibliography">
    <w:name w:val="EndNote Bibliography"/>
    <w:basedOn w:val="Normal"/>
    <w:link w:val="EndNoteBibliographyChar"/>
    <w:rsid w:val="00850096"/>
    <w:pPr>
      <w:spacing w:line="240" w:lineRule="auto"/>
    </w:pPr>
    <w:rPr>
      <w:rFonts w:ascii="Arial" w:hAnsi="Arial" w:cs="Arial"/>
      <w:noProof/>
      <w:sz w:val="20"/>
      <w:lang w:val="en-US"/>
    </w:rPr>
  </w:style>
  <w:style w:type="character" w:customStyle="1" w:styleId="EndNoteBibliographyChar">
    <w:name w:val="EndNote Bibliography Char"/>
    <w:basedOn w:val="DefaultParagraphFont"/>
    <w:link w:val="EndNoteBibliography"/>
    <w:rsid w:val="00850096"/>
    <w:rPr>
      <w:rFonts w:ascii="Arial" w:hAnsi="Arial" w:cs="Arial"/>
      <w:noProof/>
      <w:sz w:val="20"/>
      <w:lang w:val="en-US"/>
    </w:rPr>
  </w:style>
  <w:style w:type="table" w:customStyle="1" w:styleId="LightList-Accent61">
    <w:name w:val="Light List - Accent 61"/>
    <w:basedOn w:val="TableNormal"/>
    <w:next w:val="LightList-Accent6"/>
    <w:uiPriority w:val="61"/>
    <w:rsid w:val="00497BD8"/>
    <w:pPr>
      <w:spacing w:after="0" w:line="240" w:lineRule="auto"/>
      <w:jc w:val="left"/>
    </w:pPr>
    <w:tblPr>
      <w:tblStyleRowBandSize w:val="1"/>
      <w:tblStyleColBandSize w:val="1"/>
      <w:tbl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blBorders>
    </w:tblPr>
    <w:tcPr>
      <w:shd w:val="clear" w:color="auto" w:fill="auto"/>
    </w:tcPr>
    <w:tblStylePr w:type="firstRow">
      <w:pPr>
        <w:spacing w:before="0" w:after="0" w:line="240" w:lineRule="auto"/>
      </w:pPr>
      <w:rPr>
        <w:b/>
        <w:bCs/>
        <w:color w:val="FFFFFF" w:themeColor="background1"/>
      </w:rPr>
      <w:tblPr/>
      <w:tcPr>
        <w:tcBorders>
          <w:insideH w:val="single" w:sz="4" w:space="0" w:color="FFFFFF" w:themeColor="background2"/>
          <w:insideV w:val="single" w:sz="4" w:space="0" w:color="FFFFFF" w:themeColor="background2"/>
        </w:tcBorders>
        <w:shd w:val="clear" w:color="auto" w:fill="003569" w:themeFill="accent6"/>
      </w:tcPr>
    </w:tblStylePr>
    <w:tblStylePr w:type="lastRow">
      <w:pPr>
        <w:spacing w:before="0" w:after="0" w:line="240" w:lineRule="auto"/>
      </w:pPr>
      <w:rPr>
        <w:b/>
        <w:bCs/>
      </w:rPr>
      <w:tblPr/>
      <w:tcPr>
        <w:tcBorders>
          <w:top w:val="double" w:sz="6" w:space="0" w:color="003569" w:themeColor="accent6"/>
          <w:left w:val="single" w:sz="8" w:space="0" w:color="003569" w:themeColor="accent6"/>
          <w:bottom w:val="single" w:sz="8" w:space="0" w:color="003569" w:themeColor="accent6"/>
          <w:right w:val="single" w:sz="8" w:space="0" w:color="003569" w:themeColor="accent6"/>
        </w:tcBorders>
      </w:tcPr>
    </w:tblStylePr>
    <w:tblStylePr w:type="firstCol">
      <w:rPr>
        <w:b w:val="0"/>
        <w:bCs/>
      </w:rPr>
    </w:tblStylePr>
    <w:tblStylePr w:type="lastCol">
      <w:rPr>
        <w:b/>
        <w:bCs/>
      </w:rPr>
    </w:tblStylePr>
    <w:tblStylePr w:type="band1Vert">
      <w:tblPr/>
      <w:tcPr>
        <w:tcBorders>
          <w:top w:val="single" w:sz="8" w:space="0" w:color="003569" w:themeColor="accent6"/>
          <w:left w:val="single" w:sz="8" w:space="0" w:color="003569" w:themeColor="accent6"/>
          <w:bottom w:val="single" w:sz="8" w:space="0" w:color="003569" w:themeColor="accent6"/>
          <w:right w:val="single" w:sz="8" w:space="0" w:color="003569" w:themeColor="accent6"/>
        </w:tcBorders>
      </w:tcPr>
    </w:tblStylePr>
    <w:tblStylePr w:type="band1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tblStylePr w:type="band2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style>
  <w:style w:type="character" w:customStyle="1" w:styleId="Table-NormalChar">
    <w:name w:val="Table - Normal Char"/>
    <w:basedOn w:val="DefaultParagraphFont"/>
    <w:link w:val="Table-Normal"/>
    <w:locked/>
    <w:rsid w:val="005C31F4"/>
    <w:rPr>
      <w:bCs/>
    </w:rPr>
  </w:style>
  <w:style w:type="paragraph" w:customStyle="1" w:styleId="Default">
    <w:name w:val="Default"/>
    <w:rsid w:val="005C31F4"/>
    <w:pPr>
      <w:autoSpaceDE w:val="0"/>
      <w:autoSpaceDN w:val="0"/>
      <w:adjustRightInd w:val="0"/>
      <w:spacing w:after="0" w:line="240" w:lineRule="auto"/>
      <w:jc w:val="left"/>
    </w:pPr>
    <w:rPr>
      <w:rFonts w:ascii="Calibri" w:eastAsiaTheme="minorHAnsi" w:hAnsi="Calibri" w:cs="Calibri"/>
      <w:color w:val="000000"/>
      <w:sz w:val="24"/>
      <w:szCs w:val="24"/>
    </w:rPr>
  </w:style>
  <w:style w:type="table" w:customStyle="1" w:styleId="LightList-Accent611">
    <w:name w:val="Light List - Accent 611"/>
    <w:basedOn w:val="TableNormal"/>
    <w:uiPriority w:val="61"/>
    <w:rsid w:val="005C31F4"/>
    <w:pPr>
      <w:spacing w:after="0" w:line="240" w:lineRule="auto"/>
    </w:pPr>
    <w:rPr>
      <w:rFonts w:eastAsia="Times New Roman"/>
      <w:color w:val="4E5053"/>
    </w:rPr>
    <w:tblPr>
      <w:tblStyleRowBandSize w:val="1"/>
      <w:tblStyleColBandSize w:val="1"/>
      <w:tblInd w:w="0" w:type="nil"/>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Pr>
    <w:tblStylePr w:type="firstRow">
      <w:pPr>
        <w:spacing w:beforeLines="0" w:before="100" w:beforeAutospacing="1" w:afterLines="0" w:after="100" w:afterAutospacing="1" w:line="240" w:lineRule="auto"/>
      </w:pPr>
      <w:rPr>
        <w:b/>
        <w:bCs/>
        <w:color w:val="FFFFFF"/>
      </w:rPr>
      <w:tblPr/>
      <w:tcPr>
        <w:tcBorders>
          <w:insideH w:val="single" w:sz="4" w:space="0" w:color="FFFFFF"/>
          <w:insideV w:val="single" w:sz="4" w:space="0" w:color="FFFFFF"/>
        </w:tcBorders>
        <w:shd w:val="clear" w:color="auto" w:fill="003569"/>
      </w:tcPr>
    </w:tblStylePr>
    <w:tblStylePr w:type="lastRow">
      <w:pPr>
        <w:spacing w:beforeLines="0" w:before="100" w:beforeAutospacing="1" w:afterLines="0" w:after="100" w:afterAutospacing="1" w:line="240" w:lineRule="auto"/>
      </w:pPr>
      <w:rPr>
        <w:b/>
        <w:bCs/>
      </w:rPr>
      <w:tblPr/>
      <w:tcPr>
        <w:tcBorders>
          <w:top w:val="double" w:sz="6" w:space="0" w:color="003569"/>
          <w:left w:val="single" w:sz="8" w:space="0" w:color="003569"/>
          <w:bottom w:val="single" w:sz="8" w:space="0" w:color="003569"/>
          <w:right w:val="single" w:sz="8" w:space="0" w:color="003569"/>
        </w:tcBorders>
      </w:tcPr>
    </w:tblStylePr>
    <w:tblStylePr w:type="firstCol">
      <w:rPr>
        <w:b w:val="0"/>
        <w:bCs/>
      </w:rPr>
    </w:tblStylePr>
    <w:tblStylePr w:type="lastCol">
      <w:rPr>
        <w:b/>
        <w:bCs/>
      </w:rPr>
    </w:tblStylePr>
    <w:tblStylePr w:type="band1Vert">
      <w:tblPr/>
      <w:tcPr>
        <w:tcBorders>
          <w:top w:val="single" w:sz="8" w:space="0" w:color="003569"/>
          <w:left w:val="single" w:sz="8" w:space="0" w:color="003569"/>
          <w:bottom w:val="single" w:sz="8" w:space="0" w:color="003569"/>
          <w:right w:val="single" w:sz="8" w:space="0" w:color="003569"/>
        </w:tcBorders>
      </w:tcPr>
    </w:tblStylePr>
  </w:style>
  <w:style w:type="paragraph" w:styleId="CommentSubject">
    <w:name w:val="annotation subject"/>
    <w:basedOn w:val="CommentText"/>
    <w:next w:val="CommentText"/>
    <w:link w:val="CommentSubjectChar"/>
    <w:uiPriority w:val="99"/>
    <w:semiHidden/>
    <w:unhideWhenUsed/>
    <w:rsid w:val="00D5551E"/>
    <w:rPr>
      <w:b/>
      <w:bCs/>
      <w:color w:val="4E5053" w:themeColor="text1"/>
    </w:rPr>
  </w:style>
  <w:style w:type="character" w:customStyle="1" w:styleId="CommentSubjectChar">
    <w:name w:val="Comment Subject Char"/>
    <w:basedOn w:val="CommentTextChar"/>
    <w:link w:val="CommentSubject"/>
    <w:uiPriority w:val="99"/>
    <w:semiHidden/>
    <w:rsid w:val="00D5551E"/>
    <w:rPr>
      <w:b/>
      <w:bCs/>
      <w:color w:val="4E5053"/>
      <w:sz w:val="20"/>
      <w:szCs w:val="20"/>
    </w:rPr>
  </w:style>
  <w:style w:type="table" w:styleId="PlainTable1">
    <w:name w:val="Plain Table 1"/>
    <w:basedOn w:val="TableNormal"/>
    <w:uiPriority w:val="41"/>
    <w:rsid w:val="00676F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71891"/>
    <w:rPr>
      <w:color w:val="605E5C"/>
      <w:shd w:val="clear" w:color="auto" w:fill="E1DFDD"/>
    </w:rPr>
  </w:style>
  <w:style w:type="paragraph" w:customStyle="1" w:styleId="Bullet2">
    <w:name w:val="Bullet 2"/>
    <w:basedOn w:val="ListParagraph"/>
    <w:qFormat/>
    <w:rsid w:val="00BA6AE3"/>
    <w:pPr>
      <w:numPr>
        <w:numId w:val="9"/>
      </w:numPr>
      <w:tabs>
        <w:tab w:val="clear" w:pos="720"/>
      </w:tabs>
      <w:spacing w:after="0" w:line="300" w:lineRule="exact"/>
      <w:jc w:val="left"/>
    </w:pPr>
    <w:rPr>
      <w:rFonts w:ascii="Verdana" w:eastAsia="Times New Roman" w:hAnsi="Verdana" w:cs="Times New Roman"/>
      <w:color w:val="auto"/>
      <w:sz w:val="20"/>
      <w:szCs w:val="20"/>
      <w:lang w:val="en-US" w:eastAsia="zh-CN"/>
    </w:rPr>
  </w:style>
  <w:style w:type="paragraph" w:styleId="Revision">
    <w:name w:val="Revision"/>
    <w:hidden/>
    <w:uiPriority w:val="99"/>
    <w:semiHidden/>
    <w:rsid w:val="0027463F"/>
    <w:pPr>
      <w:spacing w:after="0" w:line="240" w:lineRule="auto"/>
      <w:jc w:val="left"/>
    </w:pPr>
  </w:style>
  <w:style w:type="character" w:styleId="FollowedHyperlink">
    <w:name w:val="FollowedHyperlink"/>
    <w:basedOn w:val="DefaultParagraphFont"/>
    <w:uiPriority w:val="99"/>
    <w:semiHidden/>
    <w:unhideWhenUsed/>
    <w:rsid w:val="009E3BB0"/>
    <w:rPr>
      <w:color w:val="800080" w:themeColor="followedHyperlink"/>
      <w:u w:val="single"/>
    </w:rPr>
  </w:style>
  <w:style w:type="paragraph" w:styleId="NormalWeb">
    <w:name w:val="Normal (Web)"/>
    <w:basedOn w:val="Normal"/>
    <w:uiPriority w:val="99"/>
    <w:semiHidden/>
    <w:unhideWhenUsed/>
    <w:rsid w:val="003D083E"/>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aptionChar">
    <w:name w:val="Caption Char"/>
    <w:aliases w:val="PHE Caption Char,Bayer Caption Char,IB Caption Char,Medical Caption Char,- H17 Char"/>
    <w:basedOn w:val="DefaultParagraphFont"/>
    <w:link w:val="Caption"/>
    <w:uiPriority w:val="35"/>
    <w:locked/>
    <w:rsid w:val="00C46DE4"/>
    <w:rPr>
      <w:b/>
      <w:bCs/>
    </w:rPr>
  </w:style>
  <w:style w:type="character" w:styleId="EndnoteReference">
    <w:name w:val="endnote reference"/>
    <w:basedOn w:val="DefaultParagraphFont"/>
    <w:uiPriority w:val="99"/>
    <w:semiHidden/>
    <w:unhideWhenUsed/>
    <w:rsid w:val="009F671A"/>
    <w:rPr>
      <w:vertAlign w:val="superscript"/>
    </w:rPr>
  </w:style>
  <w:style w:type="character" w:styleId="Strong">
    <w:name w:val="Strong"/>
    <w:basedOn w:val="DefaultParagraphFont"/>
    <w:uiPriority w:val="22"/>
    <w:qFormat/>
    <w:rsid w:val="00DA49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2517">
      <w:bodyDiv w:val="1"/>
      <w:marLeft w:val="0"/>
      <w:marRight w:val="0"/>
      <w:marTop w:val="0"/>
      <w:marBottom w:val="0"/>
      <w:divBdr>
        <w:top w:val="none" w:sz="0" w:space="0" w:color="auto"/>
        <w:left w:val="none" w:sz="0" w:space="0" w:color="auto"/>
        <w:bottom w:val="none" w:sz="0" w:space="0" w:color="auto"/>
        <w:right w:val="none" w:sz="0" w:space="0" w:color="auto"/>
      </w:divBdr>
    </w:div>
    <w:div w:id="68505299">
      <w:bodyDiv w:val="1"/>
      <w:marLeft w:val="0"/>
      <w:marRight w:val="0"/>
      <w:marTop w:val="0"/>
      <w:marBottom w:val="0"/>
      <w:divBdr>
        <w:top w:val="none" w:sz="0" w:space="0" w:color="auto"/>
        <w:left w:val="none" w:sz="0" w:space="0" w:color="auto"/>
        <w:bottom w:val="none" w:sz="0" w:space="0" w:color="auto"/>
        <w:right w:val="none" w:sz="0" w:space="0" w:color="auto"/>
      </w:divBdr>
    </w:div>
    <w:div w:id="81151520">
      <w:bodyDiv w:val="1"/>
      <w:marLeft w:val="0"/>
      <w:marRight w:val="0"/>
      <w:marTop w:val="0"/>
      <w:marBottom w:val="0"/>
      <w:divBdr>
        <w:top w:val="none" w:sz="0" w:space="0" w:color="auto"/>
        <w:left w:val="none" w:sz="0" w:space="0" w:color="auto"/>
        <w:bottom w:val="none" w:sz="0" w:space="0" w:color="auto"/>
        <w:right w:val="none" w:sz="0" w:space="0" w:color="auto"/>
      </w:divBdr>
      <w:divsChild>
        <w:div w:id="241567251">
          <w:marLeft w:val="562"/>
          <w:marRight w:val="0"/>
          <w:marTop w:val="120"/>
          <w:marBottom w:val="120"/>
          <w:divBdr>
            <w:top w:val="none" w:sz="0" w:space="0" w:color="auto"/>
            <w:left w:val="none" w:sz="0" w:space="0" w:color="auto"/>
            <w:bottom w:val="none" w:sz="0" w:space="0" w:color="auto"/>
            <w:right w:val="none" w:sz="0" w:space="0" w:color="auto"/>
          </w:divBdr>
        </w:div>
      </w:divsChild>
    </w:div>
    <w:div w:id="125710157">
      <w:bodyDiv w:val="1"/>
      <w:marLeft w:val="0"/>
      <w:marRight w:val="0"/>
      <w:marTop w:val="0"/>
      <w:marBottom w:val="0"/>
      <w:divBdr>
        <w:top w:val="none" w:sz="0" w:space="0" w:color="auto"/>
        <w:left w:val="none" w:sz="0" w:space="0" w:color="auto"/>
        <w:bottom w:val="none" w:sz="0" w:space="0" w:color="auto"/>
        <w:right w:val="none" w:sz="0" w:space="0" w:color="auto"/>
      </w:divBdr>
    </w:div>
    <w:div w:id="151794556">
      <w:bodyDiv w:val="1"/>
      <w:marLeft w:val="0"/>
      <w:marRight w:val="0"/>
      <w:marTop w:val="0"/>
      <w:marBottom w:val="0"/>
      <w:divBdr>
        <w:top w:val="none" w:sz="0" w:space="0" w:color="auto"/>
        <w:left w:val="none" w:sz="0" w:space="0" w:color="auto"/>
        <w:bottom w:val="none" w:sz="0" w:space="0" w:color="auto"/>
        <w:right w:val="none" w:sz="0" w:space="0" w:color="auto"/>
      </w:divBdr>
      <w:divsChild>
        <w:div w:id="159478">
          <w:marLeft w:val="547"/>
          <w:marRight w:val="0"/>
          <w:marTop w:val="365"/>
          <w:marBottom w:val="0"/>
          <w:divBdr>
            <w:top w:val="none" w:sz="0" w:space="0" w:color="auto"/>
            <w:left w:val="none" w:sz="0" w:space="0" w:color="auto"/>
            <w:bottom w:val="none" w:sz="0" w:space="0" w:color="auto"/>
            <w:right w:val="none" w:sz="0" w:space="0" w:color="auto"/>
          </w:divBdr>
        </w:div>
        <w:div w:id="140272306">
          <w:marLeft w:val="547"/>
          <w:marRight w:val="0"/>
          <w:marTop w:val="365"/>
          <w:marBottom w:val="0"/>
          <w:divBdr>
            <w:top w:val="none" w:sz="0" w:space="0" w:color="auto"/>
            <w:left w:val="none" w:sz="0" w:space="0" w:color="auto"/>
            <w:bottom w:val="none" w:sz="0" w:space="0" w:color="auto"/>
            <w:right w:val="none" w:sz="0" w:space="0" w:color="auto"/>
          </w:divBdr>
        </w:div>
        <w:div w:id="151213646">
          <w:marLeft w:val="547"/>
          <w:marRight w:val="0"/>
          <w:marTop w:val="365"/>
          <w:marBottom w:val="0"/>
          <w:divBdr>
            <w:top w:val="none" w:sz="0" w:space="0" w:color="auto"/>
            <w:left w:val="none" w:sz="0" w:space="0" w:color="auto"/>
            <w:bottom w:val="none" w:sz="0" w:space="0" w:color="auto"/>
            <w:right w:val="none" w:sz="0" w:space="0" w:color="auto"/>
          </w:divBdr>
        </w:div>
        <w:div w:id="437600519">
          <w:marLeft w:val="547"/>
          <w:marRight w:val="0"/>
          <w:marTop w:val="365"/>
          <w:marBottom w:val="0"/>
          <w:divBdr>
            <w:top w:val="none" w:sz="0" w:space="0" w:color="auto"/>
            <w:left w:val="none" w:sz="0" w:space="0" w:color="auto"/>
            <w:bottom w:val="none" w:sz="0" w:space="0" w:color="auto"/>
            <w:right w:val="none" w:sz="0" w:space="0" w:color="auto"/>
          </w:divBdr>
        </w:div>
        <w:div w:id="688218413">
          <w:marLeft w:val="547"/>
          <w:marRight w:val="0"/>
          <w:marTop w:val="365"/>
          <w:marBottom w:val="0"/>
          <w:divBdr>
            <w:top w:val="none" w:sz="0" w:space="0" w:color="auto"/>
            <w:left w:val="none" w:sz="0" w:space="0" w:color="auto"/>
            <w:bottom w:val="none" w:sz="0" w:space="0" w:color="auto"/>
            <w:right w:val="none" w:sz="0" w:space="0" w:color="auto"/>
          </w:divBdr>
        </w:div>
        <w:div w:id="797379600">
          <w:marLeft w:val="547"/>
          <w:marRight w:val="0"/>
          <w:marTop w:val="365"/>
          <w:marBottom w:val="0"/>
          <w:divBdr>
            <w:top w:val="none" w:sz="0" w:space="0" w:color="auto"/>
            <w:left w:val="none" w:sz="0" w:space="0" w:color="auto"/>
            <w:bottom w:val="none" w:sz="0" w:space="0" w:color="auto"/>
            <w:right w:val="none" w:sz="0" w:space="0" w:color="auto"/>
          </w:divBdr>
        </w:div>
        <w:div w:id="1438596744">
          <w:marLeft w:val="547"/>
          <w:marRight w:val="0"/>
          <w:marTop w:val="365"/>
          <w:marBottom w:val="0"/>
          <w:divBdr>
            <w:top w:val="none" w:sz="0" w:space="0" w:color="auto"/>
            <w:left w:val="none" w:sz="0" w:space="0" w:color="auto"/>
            <w:bottom w:val="none" w:sz="0" w:space="0" w:color="auto"/>
            <w:right w:val="none" w:sz="0" w:space="0" w:color="auto"/>
          </w:divBdr>
        </w:div>
      </w:divsChild>
    </w:div>
    <w:div w:id="186142286">
      <w:bodyDiv w:val="1"/>
      <w:marLeft w:val="0"/>
      <w:marRight w:val="0"/>
      <w:marTop w:val="0"/>
      <w:marBottom w:val="0"/>
      <w:divBdr>
        <w:top w:val="none" w:sz="0" w:space="0" w:color="auto"/>
        <w:left w:val="none" w:sz="0" w:space="0" w:color="auto"/>
        <w:bottom w:val="none" w:sz="0" w:space="0" w:color="auto"/>
        <w:right w:val="none" w:sz="0" w:space="0" w:color="auto"/>
      </w:divBdr>
    </w:div>
    <w:div w:id="231158990">
      <w:bodyDiv w:val="1"/>
      <w:marLeft w:val="0"/>
      <w:marRight w:val="0"/>
      <w:marTop w:val="0"/>
      <w:marBottom w:val="0"/>
      <w:divBdr>
        <w:top w:val="none" w:sz="0" w:space="0" w:color="auto"/>
        <w:left w:val="none" w:sz="0" w:space="0" w:color="auto"/>
        <w:bottom w:val="none" w:sz="0" w:space="0" w:color="auto"/>
        <w:right w:val="none" w:sz="0" w:space="0" w:color="auto"/>
      </w:divBdr>
    </w:div>
    <w:div w:id="259878506">
      <w:bodyDiv w:val="1"/>
      <w:marLeft w:val="0"/>
      <w:marRight w:val="0"/>
      <w:marTop w:val="0"/>
      <w:marBottom w:val="0"/>
      <w:divBdr>
        <w:top w:val="none" w:sz="0" w:space="0" w:color="auto"/>
        <w:left w:val="none" w:sz="0" w:space="0" w:color="auto"/>
        <w:bottom w:val="none" w:sz="0" w:space="0" w:color="auto"/>
        <w:right w:val="none" w:sz="0" w:space="0" w:color="auto"/>
      </w:divBdr>
    </w:div>
    <w:div w:id="287204260">
      <w:bodyDiv w:val="1"/>
      <w:marLeft w:val="0"/>
      <w:marRight w:val="0"/>
      <w:marTop w:val="0"/>
      <w:marBottom w:val="0"/>
      <w:divBdr>
        <w:top w:val="none" w:sz="0" w:space="0" w:color="auto"/>
        <w:left w:val="none" w:sz="0" w:space="0" w:color="auto"/>
        <w:bottom w:val="none" w:sz="0" w:space="0" w:color="auto"/>
        <w:right w:val="none" w:sz="0" w:space="0" w:color="auto"/>
      </w:divBdr>
      <w:divsChild>
        <w:div w:id="498738353">
          <w:marLeft w:val="562"/>
          <w:marRight w:val="0"/>
          <w:marTop w:val="120"/>
          <w:marBottom w:val="120"/>
          <w:divBdr>
            <w:top w:val="none" w:sz="0" w:space="0" w:color="auto"/>
            <w:left w:val="none" w:sz="0" w:space="0" w:color="auto"/>
            <w:bottom w:val="none" w:sz="0" w:space="0" w:color="auto"/>
            <w:right w:val="none" w:sz="0" w:space="0" w:color="auto"/>
          </w:divBdr>
        </w:div>
        <w:div w:id="1843541013">
          <w:marLeft w:val="994"/>
          <w:marRight w:val="0"/>
          <w:marTop w:val="0"/>
          <w:marBottom w:val="120"/>
          <w:divBdr>
            <w:top w:val="none" w:sz="0" w:space="0" w:color="auto"/>
            <w:left w:val="none" w:sz="0" w:space="0" w:color="auto"/>
            <w:bottom w:val="none" w:sz="0" w:space="0" w:color="auto"/>
            <w:right w:val="none" w:sz="0" w:space="0" w:color="auto"/>
          </w:divBdr>
        </w:div>
      </w:divsChild>
    </w:div>
    <w:div w:id="288631578">
      <w:bodyDiv w:val="1"/>
      <w:marLeft w:val="0"/>
      <w:marRight w:val="0"/>
      <w:marTop w:val="0"/>
      <w:marBottom w:val="0"/>
      <w:divBdr>
        <w:top w:val="none" w:sz="0" w:space="0" w:color="auto"/>
        <w:left w:val="none" w:sz="0" w:space="0" w:color="auto"/>
        <w:bottom w:val="none" w:sz="0" w:space="0" w:color="auto"/>
        <w:right w:val="none" w:sz="0" w:space="0" w:color="auto"/>
      </w:divBdr>
    </w:div>
    <w:div w:id="320543589">
      <w:bodyDiv w:val="1"/>
      <w:marLeft w:val="0"/>
      <w:marRight w:val="0"/>
      <w:marTop w:val="0"/>
      <w:marBottom w:val="0"/>
      <w:divBdr>
        <w:top w:val="none" w:sz="0" w:space="0" w:color="auto"/>
        <w:left w:val="none" w:sz="0" w:space="0" w:color="auto"/>
        <w:bottom w:val="none" w:sz="0" w:space="0" w:color="auto"/>
        <w:right w:val="none" w:sz="0" w:space="0" w:color="auto"/>
      </w:divBdr>
      <w:divsChild>
        <w:div w:id="1287271291">
          <w:marLeft w:val="562"/>
          <w:marRight w:val="0"/>
          <w:marTop w:val="120"/>
          <w:marBottom w:val="120"/>
          <w:divBdr>
            <w:top w:val="none" w:sz="0" w:space="0" w:color="auto"/>
            <w:left w:val="none" w:sz="0" w:space="0" w:color="auto"/>
            <w:bottom w:val="none" w:sz="0" w:space="0" w:color="auto"/>
            <w:right w:val="none" w:sz="0" w:space="0" w:color="auto"/>
          </w:divBdr>
        </w:div>
      </w:divsChild>
    </w:div>
    <w:div w:id="321083764">
      <w:bodyDiv w:val="1"/>
      <w:marLeft w:val="0"/>
      <w:marRight w:val="0"/>
      <w:marTop w:val="0"/>
      <w:marBottom w:val="0"/>
      <w:divBdr>
        <w:top w:val="none" w:sz="0" w:space="0" w:color="auto"/>
        <w:left w:val="none" w:sz="0" w:space="0" w:color="auto"/>
        <w:bottom w:val="none" w:sz="0" w:space="0" w:color="auto"/>
        <w:right w:val="none" w:sz="0" w:space="0" w:color="auto"/>
      </w:divBdr>
    </w:div>
    <w:div w:id="333917402">
      <w:bodyDiv w:val="1"/>
      <w:marLeft w:val="0"/>
      <w:marRight w:val="0"/>
      <w:marTop w:val="0"/>
      <w:marBottom w:val="0"/>
      <w:divBdr>
        <w:top w:val="none" w:sz="0" w:space="0" w:color="auto"/>
        <w:left w:val="none" w:sz="0" w:space="0" w:color="auto"/>
        <w:bottom w:val="none" w:sz="0" w:space="0" w:color="auto"/>
        <w:right w:val="none" w:sz="0" w:space="0" w:color="auto"/>
      </w:divBdr>
    </w:div>
    <w:div w:id="448554788">
      <w:bodyDiv w:val="1"/>
      <w:marLeft w:val="0"/>
      <w:marRight w:val="0"/>
      <w:marTop w:val="0"/>
      <w:marBottom w:val="0"/>
      <w:divBdr>
        <w:top w:val="none" w:sz="0" w:space="0" w:color="auto"/>
        <w:left w:val="none" w:sz="0" w:space="0" w:color="auto"/>
        <w:bottom w:val="none" w:sz="0" w:space="0" w:color="auto"/>
        <w:right w:val="none" w:sz="0" w:space="0" w:color="auto"/>
      </w:divBdr>
    </w:div>
    <w:div w:id="464007357">
      <w:bodyDiv w:val="1"/>
      <w:marLeft w:val="0"/>
      <w:marRight w:val="0"/>
      <w:marTop w:val="0"/>
      <w:marBottom w:val="0"/>
      <w:divBdr>
        <w:top w:val="none" w:sz="0" w:space="0" w:color="auto"/>
        <w:left w:val="none" w:sz="0" w:space="0" w:color="auto"/>
        <w:bottom w:val="none" w:sz="0" w:space="0" w:color="auto"/>
        <w:right w:val="none" w:sz="0" w:space="0" w:color="auto"/>
      </w:divBdr>
    </w:div>
    <w:div w:id="465389429">
      <w:bodyDiv w:val="1"/>
      <w:marLeft w:val="0"/>
      <w:marRight w:val="0"/>
      <w:marTop w:val="0"/>
      <w:marBottom w:val="0"/>
      <w:divBdr>
        <w:top w:val="none" w:sz="0" w:space="0" w:color="auto"/>
        <w:left w:val="none" w:sz="0" w:space="0" w:color="auto"/>
        <w:bottom w:val="none" w:sz="0" w:space="0" w:color="auto"/>
        <w:right w:val="none" w:sz="0" w:space="0" w:color="auto"/>
      </w:divBdr>
    </w:div>
    <w:div w:id="477187730">
      <w:bodyDiv w:val="1"/>
      <w:marLeft w:val="0"/>
      <w:marRight w:val="0"/>
      <w:marTop w:val="0"/>
      <w:marBottom w:val="0"/>
      <w:divBdr>
        <w:top w:val="none" w:sz="0" w:space="0" w:color="auto"/>
        <w:left w:val="none" w:sz="0" w:space="0" w:color="auto"/>
        <w:bottom w:val="none" w:sz="0" w:space="0" w:color="auto"/>
        <w:right w:val="none" w:sz="0" w:space="0" w:color="auto"/>
      </w:divBdr>
    </w:div>
    <w:div w:id="506945134">
      <w:bodyDiv w:val="1"/>
      <w:marLeft w:val="0"/>
      <w:marRight w:val="0"/>
      <w:marTop w:val="0"/>
      <w:marBottom w:val="0"/>
      <w:divBdr>
        <w:top w:val="none" w:sz="0" w:space="0" w:color="auto"/>
        <w:left w:val="none" w:sz="0" w:space="0" w:color="auto"/>
        <w:bottom w:val="none" w:sz="0" w:space="0" w:color="auto"/>
        <w:right w:val="none" w:sz="0" w:space="0" w:color="auto"/>
      </w:divBdr>
      <w:divsChild>
        <w:div w:id="663974254">
          <w:marLeft w:val="994"/>
          <w:marRight w:val="0"/>
          <w:marTop w:val="0"/>
          <w:marBottom w:val="120"/>
          <w:divBdr>
            <w:top w:val="none" w:sz="0" w:space="0" w:color="auto"/>
            <w:left w:val="none" w:sz="0" w:space="0" w:color="auto"/>
            <w:bottom w:val="none" w:sz="0" w:space="0" w:color="auto"/>
            <w:right w:val="none" w:sz="0" w:space="0" w:color="auto"/>
          </w:divBdr>
        </w:div>
        <w:div w:id="918950213">
          <w:marLeft w:val="562"/>
          <w:marRight w:val="0"/>
          <w:marTop w:val="120"/>
          <w:marBottom w:val="120"/>
          <w:divBdr>
            <w:top w:val="none" w:sz="0" w:space="0" w:color="auto"/>
            <w:left w:val="none" w:sz="0" w:space="0" w:color="auto"/>
            <w:bottom w:val="none" w:sz="0" w:space="0" w:color="auto"/>
            <w:right w:val="none" w:sz="0" w:space="0" w:color="auto"/>
          </w:divBdr>
        </w:div>
        <w:div w:id="1115902909">
          <w:marLeft w:val="994"/>
          <w:marRight w:val="0"/>
          <w:marTop w:val="0"/>
          <w:marBottom w:val="120"/>
          <w:divBdr>
            <w:top w:val="none" w:sz="0" w:space="0" w:color="auto"/>
            <w:left w:val="none" w:sz="0" w:space="0" w:color="auto"/>
            <w:bottom w:val="none" w:sz="0" w:space="0" w:color="auto"/>
            <w:right w:val="none" w:sz="0" w:space="0" w:color="auto"/>
          </w:divBdr>
        </w:div>
        <w:div w:id="1430927578">
          <w:marLeft w:val="562"/>
          <w:marRight w:val="0"/>
          <w:marTop w:val="120"/>
          <w:marBottom w:val="120"/>
          <w:divBdr>
            <w:top w:val="none" w:sz="0" w:space="0" w:color="auto"/>
            <w:left w:val="none" w:sz="0" w:space="0" w:color="auto"/>
            <w:bottom w:val="none" w:sz="0" w:space="0" w:color="auto"/>
            <w:right w:val="none" w:sz="0" w:space="0" w:color="auto"/>
          </w:divBdr>
        </w:div>
        <w:div w:id="1713845546">
          <w:marLeft w:val="994"/>
          <w:marRight w:val="0"/>
          <w:marTop w:val="0"/>
          <w:marBottom w:val="120"/>
          <w:divBdr>
            <w:top w:val="none" w:sz="0" w:space="0" w:color="auto"/>
            <w:left w:val="none" w:sz="0" w:space="0" w:color="auto"/>
            <w:bottom w:val="none" w:sz="0" w:space="0" w:color="auto"/>
            <w:right w:val="none" w:sz="0" w:space="0" w:color="auto"/>
          </w:divBdr>
        </w:div>
      </w:divsChild>
    </w:div>
    <w:div w:id="513808292">
      <w:bodyDiv w:val="1"/>
      <w:marLeft w:val="0"/>
      <w:marRight w:val="0"/>
      <w:marTop w:val="0"/>
      <w:marBottom w:val="0"/>
      <w:divBdr>
        <w:top w:val="none" w:sz="0" w:space="0" w:color="auto"/>
        <w:left w:val="none" w:sz="0" w:space="0" w:color="auto"/>
        <w:bottom w:val="none" w:sz="0" w:space="0" w:color="auto"/>
        <w:right w:val="none" w:sz="0" w:space="0" w:color="auto"/>
      </w:divBdr>
      <w:divsChild>
        <w:div w:id="557669390">
          <w:marLeft w:val="994"/>
          <w:marRight w:val="0"/>
          <w:marTop w:val="0"/>
          <w:marBottom w:val="120"/>
          <w:divBdr>
            <w:top w:val="none" w:sz="0" w:space="0" w:color="auto"/>
            <w:left w:val="none" w:sz="0" w:space="0" w:color="auto"/>
            <w:bottom w:val="none" w:sz="0" w:space="0" w:color="auto"/>
            <w:right w:val="none" w:sz="0" w:space="0" w:color="auto"/>
          </w:divBdr>
        </w:div>
        <w:div w:id="1135412965">
          <w:marLeft w:val="562"/>
          <w:marRight w:val="0"/>
          <w:marTop w:val="120"/>
          <w:marBottom w:val="120"/>
          <w:divBdr>
            <w:top w:val="none" w:sz="0" w:space="0" w:color="auto"/>
            <w:left w:val="none" w:sz="0" w:space="0" w:color="auto"/>
            <w:bottom w:val="none" w:sz="0" w:space="0" w:color="auto"/>
            <w:right w:val="none" w:sz="0" w:space="0" w:color="auto"/>
          </w:divBdr>
        </w:div>
      </w:divsChild>
    </w:div>
    <w:div w:id="532379412">
      <w:bodyDiv w:val="1"/>
      <w:marLeft w:val="0"/>
      <w:marRight w:val="0"/>
      <w:marTop w:val="0"/>
      <w:marBottom w:val="0"/>
      <w:divBdr>
        <w:top w:val="none" w:sz="0" w:space="0" w:color="auto"/>
        <w:left w:val="none" w:sz="0" w:space="0" w:color="auto"/>
        <w:bottom w:val="none" w:sz="0" w:space="0" w:color="auto"/>
        <w:right w:val="none" w:sz="0" w:space="0" w:color="auto"/>
      </w:divBdr>
    </w:div>
    <w:div w:id="605773888">
      <w:bodyDiv w:val="1"/>
      <w:marLeft w:val="0"/>
      <w:marRight w:val="0"/>
      <w:marTop w:val="0"/>
      <w:marBottom w:val="0"/>
      <w:divBdr>
        <w:top w:val="none" w:sz="0" w:space="0" w:color="auto"/>
        <w:left w:val="none" w:sz="0" w:space="0" w:color="auto"/>
        <w:bottom w:val="none" w:sz="0" w:space="0" w:color="auto"/>
        <w:right w:val="none" w:sz="0" w:space="0" w:color="auto"/>
      </w:divBdr>
    </w:div>
    <w:div w:id="646281772">
      <w:bodyDiv w:val="1"/>
      <w:marLeft w:val="0"/>
      <w:marRight w:val="0"/>
      <w:marTop w:val="0"/>
      <w:marBottom w:val="0"/>
      <w:divBdr>
        <w:top w:val="none" w:sz="0" w:space="0" w:color="auto"/>
        <w:left w:val="none" w:sz="0" w:space="0" w:color="auto"/>
        <w:bottom w:val="none" w:sz="0" w:space="0" w:color="auto"/>
        <w:right w:val="none" w:sz="0" w:space="0" w:color="auto"/>
      </w:divBdr>
      <w:divsChild>
        <w:div w:id="836992286">
          <w:marLeft w:val="547"/>
          <w:marRight w:val="0"/>
          <w:marTop w:val="365"/>
          <w:marBottom w:val="0"/>
          <w:divBdr>
            <w:top w:val="none" w:sz="0" w:space="0" w:color="auto"/>
            <w:left w:val="none" w:sz="0" w:space="0" w:color="auto"/>
            <w:bottom w:val="none" w:sz="0" w:space="0" w:color="auto"/>
            <w:right w:val="none" w:sz="0" w:space="0" w:color="auto"/>
          </w:divBdr>
        </w:div>
      </w:divsChild>
    </w:div>
    <w:div w:id="649555687">
      <w:bodyDiv w:val="1"/>
      <w:marLeft w:val="0"/>
      <w:marRight w:val="0"/>
      <w:marTop w:val="0"/>
      <w:marBottom w:val="0"/>
      <w:divBdr>
        <w:top w:val="none" w:sz="0" w:space="0" w:color="auto"/>
        <w:left w:val="none" w:sz="0" w:space="0" w:color="auto"/>
        <w:bottom w:val="none" w:sz="0" w:space="0" w:color="auto"/>
        <w:right w:val="none" w:sz="0" w:space="0" w:color="auto"/>
      </w:divBdr>
      <w:divsChild>
        <w:div w:id="249705379">
          <w:marLeft w:val="994"/>
          <w:marRight w:val="0"/>
          <w:marTop w:val="0"/>
          <w:marBottom w:val="120"/>
          <w:divBdr>
            <w:top w:val="none" w:sz="0" w:space="0" w:color="auto"/>
            <w:left w:val="none" w:sz="0" w:space="0" w:color="auto"/>
            <w:bottom w:val="none" w:sz="0" w:space="0" w:color="auto"/>
            <w:right w:val="none" w:sz="0" w:space="0" w:color="auto"/>
          </w:divBdr>
        </w:div>
        <w:div w:id="675615466">
          <w:marLeft w:val="994"/>
          <w:marRight w:val="0"/>
          <w:marTop w:val="0"/>
          <w:marBottom w:val="120"/>
          <w:divBdr>
            <w:top w:val="none" w:sz="0" w:space="0" w:color="auto"/>
            <w:left w:val="none" w:sz="0" w:space="0" w:color="auto"/>
            <w:bottom w:val="none" w:sz="0" w:space="0" w:color="auto"/>
            <w:right w:val="none" w:sz="0" w:space="0" w:color="auto"/>
          </w:divBdr>
        </w:div>
        <w:div w:id="1328361924">
          <w:marLeft w:val="994"/>
          <w:marRight w:val="0"/>
          <w:marTop w:val="0"/>
          <w:marBottom w:val="120"/>
          <w:divBdr>
            <w:top w:val="none" w:sz="0" w:space="0" w:color="auto"/>
            <w:left w:val="none" w:sz="0" w:space="0" w:color="auto"/>
            <w:bottom w:val="none" w:sz="0" w:space="0" w:color="auto"/>
            <w:right w:val="none" w:sz="0" w:space="0" w:color="auto"/>
          </w:divBdr>
        </w:div>
        <w:div w:id="1435704840">
          <w:marLeft w:val="562"/>
          <w:marRight w:val="0"/>
          <w:marTop w:val="120"/>
          <w:marBottom w:val="120"/>
          <w:divBdr>
            <w:top w:val="none" w:sz="0" w:space="0" w:color="auto"/>
            <w:left w:val="none" w:sz="0" w:space="0" w:color="auto"/>
            <w:bottom w:val="none" w:sz="0" w:space="0" w:color="auto"/>
            <w:right w:val="none" w:sz="0" w:space="0" w:color="auto"/>
          </w:divBdr>
        </w:div>
        <w:div w:id="1574586585">
          <w:marLeft w:val="562"/>
          <w:marRight w:val="0"/>
          <w:marTop w:val="120"/>
          <w:marBottom w:val="120"/>
          <w:divBdr>
            <w:top w:val="none" w:sz="0" w:space="0" w:color="auto"/>
            <w:left w:val="none" w:sz="0" w:space="0" w:color="auto"/>
            <w:bottom w:val="none" w:sz="0" w:space="0" w:color="auto"/>
            <w:right w:val="none" w:sz="0" w:space="0" w:color="auto"/>
          </w:divBdr>
        </w:div>
        <w:div w:id="1734423018">
          <w:marLeft w:val="562"/>
          <w:marRight w:val="0"/>
          <w:marTop w:val="120"/>
          <w:marBottom w:val="120"/>
          <w:divBdr>
            <w:top w:val="none" w:sz="0" w:space="0" w:color="auto"/>
            <w:left w:val="none" w:sz="0" w:space="0" w:color="auto"/>
            <w:bottom w:val="none" w:sz="0" w:space="0" w:color="auto"/>
            <w:right w:val="none" w:sz="0" w:space="0" w:color="auto"/>
          </w:divBdr>
        </w:div>
      </w:divsChild>
    </w:div>
    <w:div w:id="676200531">
      <w:bodyDiv w:val="1"/>
      <w:marLeft w:val="0"/>
      <w:marRight w:val="0"/>
      <w:marTop w:val="0"/>
      <w:marBottom w:val="0"/>
      <w:divBdr>
        <w:top w:val="none" w:sz="0" w:space="0" w:color="auto"/>
        <w:left w:val="none" w:sz="0" w:space="0" w:color="auto"/>
        <w:bottom w:val="none" w:sz="0" w:space="0" w:color="auto"/>
        <w:right w:val="none" w:sz="0" w:space="0" w:color="auto"/>
      </w:divBdr>
    </w:div>
    <w:div w:id="690568425">
      <w:bodyDiv w:val="1"/>
      <w:marLeft w:val="0"/>
      <w:marRight w:val="0"/>
      <w:marTop w:val="0"/>
      <w:marBottom w:val="0"/>
      <w:divBdr>
        <w:top w:val="none" w:sz="0" w:space="0" w:color="auto"/>
        <w:left w:val="none" w:sz="0" w:space="0" w:color="auto"/>
        <w:bottom w:val="none" w:sz="0" w:space="0" w:color="auto"/>
        <w:right w:val="none" w:sz="0" w:space="0" w:color="auto"/>
      </w:divBdr>
      <w:divsChild>
        <w:div w:id="1640963145">
          <w:marLeft w:val="994"/>
          <w:marRight w:val="0"/>
          <w:marTop w:val="0"/>
          <w:marBottom w:val="120"/>
          <w:divBdr>
            <w:top w:val="none" w:sz="0" w:space="0" w:color="auto"/>
            <w:left w:val="none" w:sz="0" w:space="0" w:color="auto"/>
            <w:bottom w:val="none" w:sz="0" w:space="0" w:color="auto"/>
            <w:right w:val="none" w:sz="0" w:space="0" w:color="auto"/>
          </w:divBdr>
        </w:div>
      </w:divsChild>
    </w:div>
    <w:div w:id="815990558">
      <w:bodyDiv w:val="1"/>
      <w:marLeft w:val="0"/>
      <w:marRight w:val="0"/>
      <w:marTop w:val="0"/>
      <w:marBottom w:val="0"/>
      <w:divBdr>
        <w:top w:val="none" w:sz="0" w:space="0" w:color="auto"/>
        <w:left w:val="none" w:sz="0" w:space="0" w:color="auto"/>
        <w:bottom w:val="none" w:sz="0" w:space="0" w:color="auto"/>
        <w:right w:val="none" w:sz="0" w:space="0" w:color="auto"/>
      </w:divBdr>
    </w:div>
    <w:div w:id="819881752">
      <w:bodyDiv w:val="1"/>
      <w:marLeft w:val="0"/>
      <w:marRight w:val="0"/>
      <w:marTop w:val="0"/>
      <w:marBottom w:val="0"/>
      <w:divBdr>
        <w:top w:val="none" w:sz="0" w:space="0" w:color="auto"/>
        <w:left w:val="none" w:sz="0" w:space="0" w:color="auto"/>
        <w:bottom w:val="none" w:sz="0" w:space="0" w:color="auto"/>
        <w:right w:val="none" w:sz="0" w:space="0" w:color="auto"/>
      </w:divBdr>
    </w:div>
    <w:div w:id="843087724">
      <w:bodyDiv w:val="1"/>
      <w:marLeft w:val="0"/>
      <w:marRight w:val="0"/>
      <w:marTop w:val="0"/>
      <w:marBottom w:val="0"/>
      <w:divBdr>
        <w:top w:val="none" w:sz="0" w:space="0" w:color="auto"/>
        <w:left w:val="none" w:sz="0" w:space="0" w:color="auto"/>
        <w:bottom w:val="none" w:sz="0" w:space="0" w:color="auto"/>
        <w:right w:val="none" w:sz="0" w:space="0" w:color="auto"/>
      </w:divBdr>
      <w:divsChild>
        <w:div w:id="1400254308">
          <w:marLeft w:val="994"/>
          <w:marRight w:val="0"/>
          <w:marTop w:val="120"/>
          <w:marBottom w:val="0"/>
          <w:divBdr>
            <w:top w:val="none" w:sz="0" w:space="0" w:color="auto"/>
            <w:left w:val="none" w:sz="0" w:space="0" w:color="auto"/>
            <w:bottom w:val="none" w:sz="0" w:space="0" w:color="auto"/>
            <w:right w:val="none" w:sz="0" w:space="0" w:color="auto"/>
          </w:divBdr>
        </w:div>
      </w:divsChild>
    </w:div>
    <w:div w:id="875853907">
      <w:bodyDiv w:val="1"/>
      <w:marLeft w:val="0"/>
      <w:marRight w:val="0"/>
      <w:marTop w:val="0"/>
      <w:marBottom w:val="0"/>
      <w:divBdr>
        <w:top w:val="none" w:sz="0" w:space="0" w:color="auto"/>
        <w:left w:val="none" w:sz="0" w:space="0" w:color="auto"/>
        <w:bottom w:val="none" w:sz="0" w:space="0" w:color="auto"/>
        <w:right w:val="none" w:sz="0" w:space="0" w:color="auto"/>
      </w:divBdr>
    </w:div>
    <w:div w:id="944970177">
      <w:bodyDiv w:val="1"/>
      <w:marLeft w:val="0"/>
      <w:marRight w:val="0"/>
      <w:marTop w:val="0"/>
      <w:marBottom w:val="0"/>
      <w:divBdr>
        <w:top w:val="none" w:sz="0" w:space="0" w:color="auto"/>
        <w:left w:val="none" w:sz="0" w:space="0" w:color="auto"/>
        <w:bottom w:val="none" w:sz="0" w:space="0" w:color="auto"/>
        <w:right w:val="none" w:sz="0" w:space="0" w:color="auto"/>
      </w:divBdr>
      <w:divsChild>
        <w:div w:id="355695683">
          <w:marLeft w:val="562"/>
          <w:marRight w:val="0"/>
          <w:marTop w:val="120"/>
          <w:marBottom w:val="120"/>
          <w:divBdr>
            <w:top w:val="none" w:sz="0" w:space="0" w:color="auto"/>
            <w:left w:val="none" w:sz="0" w:space="0" w:color="auto"/>
            <w:bottom w:val="none" w:sz="0" w:space="0" w:color="auto"/>
            <w:right w:val="none" w:sz="0" w:space="0" w:color="auto"/>
          </w:divBdr>
        </w:div>
        <w:div w:id="477651993">
          <w:marLeft w:val="562"/>
          <w:marRight w:val="0"/>
          <w:marTop w:val="120"/>
          <w:marBottom w:val="120"/>
          <w:divBdr>
            <w:top w:val="none" w:sz="0" w:space="0" w:color="auto"/>
            <w:left w:val="none" w:sz="0" w:space="0" w:color="auto"/>
            <w:bottom w:val="none" w:sz="0" w:space="0" w:color="auto"/>
            <w:right w:val="none" w:sz="0" w:space="0" w:color="auto"/>
          </w:divBdr>
        </w:div>
        <w:div w:id="805858355">
          <w:marLeft w:val="562"/>
          <w:marRight w:val="0"/>
          <w:marTop w:val="120"/>
          <w:marBottom w:val="120"/>
          <w:divBdr>
            <w:top w:val="none" w:sz="0" w:space="0" w:color="auto"/>
            <w:left w:val="none" w:sz="0" w:space="0" w:color="auto"/>
            <w:bottom w:val="none" w:sz="0" w:space="0" w:color="auto"/>
            <w:right w:val="none" w:sz="0" w:space="0" w:color="auto"/>
          </w:divBdr>
        </w:div>
        <w:div w:id="929003440">
          <w:marLeft w:val="994"/>
          <w:marRight w:val="0"/>
          <w:marTop w:val="0"/>
          <w:marBottom w:val="120"/>
          <w:divBdr>
            <w:top w:val="none" w:sz="0" w:space="0" w:color="auto"/>
            <w:left w:val="none" w:sz="0" w:space="0" w:color="auto"/>
            <w:bottom w:val="none" w:sz="0" w:space="0" w:color="auto"/>
            <w:right w:val="none" w:sz="0" w:space="0" w:color="auto"/>
          </w:divBdr>
        </w:div>
        <w:div w:id="1146319849">
          <w:marLeft w:val="562"/>
          <w:marRight w:val="0"/>
          <w:marTop w:val="120"/>
          <w:marBottom w:val="120"/>
          <w:divBdr>
            <w:top w:val="none" w:sz="0" w:space="0" w:color="auto"/>
            <w:left w:val="none" w:sz="0" w:space="0" w:color="auto"/>
            <w:bottom w:val="none" w:sz="0" w:space="0" w:color="auto"/>
            <w:right w:val="none" w:sz="0" w:space="0" w:color="auto"/>
          </w:divBdr>
        </w:div>
        <w:div w:id="1729186703">
          <w:marLeft w:val="994"/>
          <w:marRight w:val="0"/>
          <w:marTop w:val="0"/>
          <w:marBottom w:val="120"/>
          <w:divBdr>
            <w:top w:val="none" w:sz="0" w:space="0" w:color="auto"/>
            <w:left w:val="none" w:sz="0" w:space="0" w:color="auto"/>
            <w:bottom w:val="none" w:sz="0" w:space="0" w:color="auto"/>
            <w:right w:val="none" w:sz="0" w:space="0" w:color="auto"/>
          </w:divBdr>
        </w:div>
        <w:div w:id="1826389452">
          <w:marLeft w:val="994"/>
          <w:marRight w:val="0"/>
          <w:marTop w:val="0"/>
          <w:marBottom w:val="120"/>
          <w:divBdr>
            <w:top w:val="none" w:sz="0" w:space="0" w:color="auto"/>
            <w:left w:val="none" w:sz="0" w:space="0" w:color="auto"/>
            <w:bottom w:val="none" w:sz="0" w:space="0" w:color="auto"/>
            <w:right w:val="none" w:sz="0" w:space="0" w:color="auto"/>
          </w:divBdr>
        </w:div>
        <w:div w:id="2025983904">
          <w:marLeft w:val="994"/>
          <w:marRight w:val="0"/>
          <w:marTop w:val="0"/>
          <w:marBottom w:val="120"/>
          <w:divBdr>
            <w:top w:val="none" w:sz="0" w:space="0" w:color="auto"/>
            <w:left w:val="none" w:sz="0" w:space="0" w:color="auto"/>
            <w:bottom w:val="none" w:sz="0" w:space="0" w:color="auto"/>
            <w:right w:val="none" w:sz="0" w:space="0" w:color="auto"/>
          </w:divBdr>
        </w:div>
      </w:divsChild>
    </w:div>
    <w:div w:id="999964125">
      <w:bodyDiv w:val="1"/>
      <w:marLeft w:val="0"/>
      <w:marRight w:val="0"/>
      <w:marTop w:val="0"/>
      <w:marBottom w:val="0"/>
      <w:divBdr>
        <w:top w:val="none" w:sz="0" w:space="0" w:color="auto"/>
        <w:left w:val="none" w:sz="0" w:space="0" w:color="auto"/>
        <w:bottom w:val="none" w:sz="0" w:space="0" w:color="auto"/>
        <w:right w:val="none" w:sz="0" w:space="0" w:color="auto"/>
      </w:divBdr>
      <w:divsChild>
        <w:div w:id="535503609">
          <w:marLeft w:val="562"/>
          <w:marRight w:val="0"/>
          <w:marTop w:val="120"/>
          <w:marBottom w:val="120"/>
          <w:divBdr>
            <w:top w:val="none" w:sz="0" w:space="0" w:color="auto"/>
            <w:left w:val="none" w:sz="0" w:space="0" w:color="auto"/>
            <w:bottom w:val="none" w:sz="0" w:space="0" w:color="auto"/>
            <w:right w:val="none" w:sz="0" w:space="0" w:color="auto"/>
          </w:divBdr>
        </w:div>
        <w:div w:id="882054843">
          <w:marLeft w:val="562"/>
          <w:marRight w:val="0"/>
          <w:marTop w:val="120"/>
          <w:marBottom w:val="120"/>
          <w:divBdr>
            <w:top w:val="none" w:sz="0" w:space="0" w:color="auto"/>
            <w:left w:val="none" w:sz="0" w:space="0" w:color="auto"/>
            <w:bottom w:val="none" w:sz="0" w:space="0" w:color="auto"/>
            <w:right w:val="none" w:sz="0" w:space="0" w:color="auto"/>
          </w:divBdr>
        </w:div>
        <w:div w:id="1027221352">
          <w:marLeft w:val="994"/>
          <w:marRight w:val="0"/>
          <w:marTop w:val="0"/>
          <w:marBottom w:val="120"/>
          <w:divBdr>
            <w:top w:val="none" w:sz="0" w:space="0" w:color="auto"/>
            <w:left w:val="none" w:sz="0" w:space="0" w:color="auto"/>
            <w:bottom w:val="none" w:sz="0" w:space="0" w:color="auto"/>
            <w:right w:val="none" w:sz="0" w:space="0" w:color="auto"/>
          </w:divBdr>
        </w:div>
        <w:div w:id="1615357403">
          <w:marLeft w:val="994"/>
          <w:marRight w:val="0"/>
          <w:marTop w:val="0"/>
          <w:marBottom w:val="120"/>
          <w:divBdr>
            <w:top w:val="none" w:sz="0" w:space="0" w:color="auto"/>
            <w:left w:val="none" w:sz="0" w:space="0" w:color="auto"/>
            <w:bottom w:val="none" w:sz="0" w:space="0" w:color="auto"/>
            <w:right w:val="none" w:sz="0" w:space="0" w:color="auto"/>
          </w:divBdr>
        </w:div>
        <w:div w:id="2026591524">
          <w:marLeft w:val="994"/>
          <w:marRight w:val="0"/>
          <w:marTop w:val="0"/>
          <w:marBottom w:val="120"/>
          <w:divBdr>
            <w:top w:val="none" w:sz="0" w:space="0" w:color="auto"/>
            <w:left w:val="none" w:sz="0" w:space="0" w:color="auto"/>
            <w:bottom w:val="none" w:sz="0" w:space="0" w:color="auto"/>
            <w:right w:val="none" w:sz="0" w:space="0" w:color="auto"/>
          </w:divBdr>
        </w:div>
        <w:div w:id="2037466931">
          <w:marLeft w:val="562"/>
          <w:marRight w:val="0"/>
          <w:marTop w:val="120"/>
          <w:marBottom w:val="120"/>
          <w:divBdr>
            <w:top w:val="none" w:sz="0" w:space="0" w:color="auto"/>
            <w:left w:val="none" w:sz="0" w:space="0" w:color="auto"/>
            <w:bottom w:val="none" w:sz="0" w:space="0" w:color="auto"/>
            <w:right w:val="none" w:sz="0" w:space="0" w:color="auto"/>
          </w:divBdr>
        </w:div>
      </w:divsChild>
    </w:div>
    <w:div w:id="1071584793">
      <w:bodyDiv w:val="1"/>
      <w:marLeft w:val="0"/>
      <w:marRight w:val="0"/>
      <w:marTop w:val="0"/>
      <w:marBottom w:val="0"/>
      <w:divBdr>
        <w:top w:val="none" w:sz="0" w:space="0" w:color="auto"/>
        <w:left w:val="none" w:sz="0" w:space="0" w:color="auto"/>
        <w:bottom w:val="none" w:sz="0" w:space="0" w:color="auto"/>
        <w:right w:val="none" w:sz="0" w:space="0" w:color="auto"/>
      </w:divBdr>
    </w:div>
    <w:div w:id="1072584147">
      <w:bodyDiv w:val="1"/>
      <w:marLeft w:val="0"/>
      <w:marRight w:val="0"/>
      <w:marTop w:val="0"/>
      <w:marBottom w:val="0"/>
      <w:divBdr>
        <w:top w:val="none" w:sz="0" w:space="0" w:color="auto"/>
        <w:left w:val="none" w:sz="0" w:space="0" w:color="auto"/>
        <w:bottom w:val="none" w:sz="0" w:space="0" w:color="auto"/>
        <w:right w:val="none" w:sz="0" w:space="0" w:color="auto"/>
      </w:divBdr>
    </w:div>
    <w:div w:id="1108505843">
      <w:bodyDiv w:val="1"/>
      <w:marLeft w:val="0"/>
      <w:marRight w:val="0"/>
      <w:marTop w:val="0"/>
      <w:marBottom w:val="0"/>
      <w:divBdr>
        <w:top w:val="none" w:sz="0" w:space="0" w:color="auto"/>
        <w:left w:val="none" w:sz="0" w:space="0" w:color="auto"/>
        <w:bottom w:val="none" w:sz="0" w:space="0" w:color="auto"/>
        <w:right w:val="none" w:sz="0" w:space="0" w:color="auto"/>
      </w:divBdr>
    </w:div>
    <w:div w:id="1144390959">
      <w:bodyDiv w:val="1"/>
      <w:marLeft w:val="0"/>
      <w:marRight w:val="0"/>
      <w:marTop w:val="0"/>
      <w:marBottom w:val="0"/>
      <w:divBdr>
        <w:top w:val="none" w:sz="0" w:space="0" w:color="auto"/>
        <w:left w:val="none" w:sz="0" w:space="0" w:color="auto"/>
        <w:bottom w:val="none" w:sz="0" w:space="0" w:color="auto"/>
        <w:right w:val="none" w:sz="0" w:space="0" w:color="auto"/>
      </w:divBdr>
      <w:divsChild>
        <w:div w:id="331296386">
          <w:marLeft w:val="547"/>
          <w:marRight w:val="0"/>
          <w:marTop w:val="365"/>
          <w:marBottom w:val="0"/>
          <w:divBdr>
            <w:top w:val="none" w:sz="0" w:space="0" w:color="auto"/>
            <w:left w:val="none" w:sz="0" w:space="0" w:color="auto"/>
            <w:bottom w:val="none" w:sz="0" w:space="0" w:color="auto"/>
            <w:right w:val="none" w:sz="0" w:space="0" w:color="auto"/>
          </w:divBdr>
        </w:div>
        <w:div w:id="848836208">
          <w:marLeft w:val="547"/>
          <w:marRight w:val="0"/>
          <w:marTop w:val="365"/>
          <w:marBottom w:val="0"/>
          <w:divBdr>
            <w:top w:val="none" w:sz="0" w:space="0" w:color="auto"/>
            <w:left w:val="none" w:sz="0" w:space="0" w:color="auto"/>
            <w:bottom w:val="none" w:sz="0" w:space="0" w:color="auto"/>
            <w:right w:val="none" w:sz="0" w:space="0" w:color="auto"/>
          </w:divBdr>
        </w:div>
        <w:div w:id="859898458">
          <w:marLeft w:val="547"/>
          <w:marRight w:val="0"/>
          <w:marTop w:val="365"/>
          <w:marBottom w:val="0"/>
          <w:divBdr>
            <w:top w:val="none" w:sz="0" w:space="0" w:color="auto"/>
            <w:left w:val="none" w:sz="0" w:space="0" w:color="auto"/>
            <w:bottom w:val="none" w:sz="0" w:space="0" w:color="auto"/>
            <w:right w:val="none" w:sz="0" w:space="0" w:color="auto"/>
          </w:divBdr>
        </w:div>
        <w:div w:id="1107652210">
          <w:marLeft w:val="547"/>
          <w:marRight w:val="0"/>
          <w:marTop w:val="365"/>
          <w:marBottom w:val="0"/>
          <w:divBdr>
            <w:top w:val="none" w:sz="0" w:space="0" w:color="auto"/>
            <w:left w:val="none" w:sz="0" w:space="0" w:color="auto"/>
            <w:bottom w:val="none" w:sz="0" w:space="0" w:color="auto"/>
            <w:right w:val="none" w:sz="0" w:space="0" w:color="auto"/>
          </w:divBdr>
        </w:div>
        <w:div w:id="1180696984">
          <w:marLeft w:val="547"/>
          <w:marRight w:val="0"/>
          <w:marTop w:val="365"/>
          <w:marBottom w:val="0"/>
          <w:divBdr>
            <w:top w:val="none" w:sz="0" w:space="0" w:color="auto"/>
            <w:left w:val="none" w:sz="0" w:space="0" w:color="auto"/>
            <w:bottom w:val="none" w:sz="0" w:space="0" w:color="auto"/>
            <w:right w:val="none" w:sz="0" w:space="0" w:color="auto"/>
          </w:divBdr>
        </w:div>
        <w:div w:id="1244298408">
          <w:marLeft w:val="547"/>
          <w:marRight w:val="0"/>
          <w:marTop w:val="365"/>
          <w:marBottom w:val="0"/>
          <w:divBdr>
            <w:top w:val="none" w:sz="0" w:space="0" w:color="auto"/>
            <w:left w:val="none" w:sz="0" w:space="0" w:color="auto"/>
            <w:bottom w:val="none" w:sz="0" w:space="0" w:color="auto"/>
            <w:right w:val="none" w:sz="0" w:space="0" w:color="auto"/>
          </w:divBdr>
        </w:div>
        <w:div w:id="1595481375">
          <w:marLeft w:val="547"/>
          <w:marRight w:val="0"/>
          <w:marTop w:val="365"/>
          <w:marBottom w:val="0"/>
          <w:divBdr>
            <w:top w:val="none" w:sz="0" w:space="0" w:color="auto"/>
            <w:left w:val="none" w:sz="0" w:space="0" w:color="auto"/>
            <w:bottom w:val="none" w:sz="0" w:space="0" w:color="auto"/>
            <w:right w:val="none" w:sz="0" w:space="0" w:color="auto"/>
          </w:divBdr>
        </w:div>
      </w:divsChild>
    </w:div>
    <w:div w:id="1287586071">
      <w:bodyDiv w:val="1"/>
      <w:marLeft w:val="0"/>
      <w:marRight w:val="0"/>
      <w:marTop w:val="0"/>
      <w:marBottom w:val="0"/>
      <w:divBdr>
        <w:top w:val="none" w:sz="0" w:space="0" w:color="auto"/>
        <w:left w:val="none" w:sz="0" w:space="0" w:color="auto"/>
        <w:bottom w:val="none" w:sz="0" w:space="0" w:color="auto"/>
        <w:right w:val="none" w:sz="0" w:space="0" w:color="auto"/>
      </w:divBdr>
    </w:div>
    <w:div w:id="1300376405">
      <w:bodyDiv w:val="1"/>
      <w:marLeft w:val="0"/>
      <w:marRight w:val="0"/>
      <w:marTop w:val="0"/>
      <w:marBottom w:val="0"/>
      <w:divBdr>
        <w:top w:val="none" w:sz="0" w:space="0" w:color="auto"/>
        <w:left w:val="none" w:sz="0" w:space="0" w:color="auto"/>
        <w:bottom w:val="none" w:sz="0" w:space="0" w:color="auto"/>
        <w:right w:val="none" w:sz="0" w:space="0" w:color="auto"/>
      </w:divBdr>
      <w:divsChild>
        <w:div w:id="848063039">
          <w:marLeft w:val="562"/>
          <w:marRight w:val="0"/>
          <w:marTop w:val="120"/>
          <w:marBottom w:val="120"/>
          <w:divBdr>
            <w:top w:val="none" w:sz="0" w:space="0" w:color="auto"/>
            <w:left w:val="none" w:sz="0" w:space="0" w:color="auto"/>
            <w:bottom w:val="none" w:sz="0" w:space="0" w:color="auto"/>
            <w:right w:val="none" w:sz="0" w:space="0" w:color="auto"/>
          </w:divBdr>
        </w:div>
        <w:div w:id="1262107090">
          <w:marLeft w:val="994"/>
          <w:marRight w:val="0"/>
          <w:marTop w:val="0"/>
          <w:marBottom w:val="120"/>
          <w:divBdr>
            <w:top w:val="none" w:sz="0" w:space="0" w:color="auto"/>
            <w:left w:val="none" w:sz="0" w:space="0" w:color="auto"/>
            <w:bottom w:val="none" w:sz="0" w:space="0" w:color="auto"/>
            <w:right w:val="none" w:sz="0" w:space="0" w:color="auto"/>
          </w:divBdr>
        </w:div>
      </w:divsChild>
    </w:div>
    <w:div w:id="1320227224">
      <w:bodyDiv w:val="1"/>
      <w:marLeft w:val="0"/>
      <w:marRight w:val="0"/>
      <w:marTop w:val="0"/>
      <w:marBottom w:val="0"/>
      <w:divBdr>
        <w:top w:val="none" w:sz="0" w:space="0" w:color="auto"/>
        <w:left w:val="none" w:sz="0" w:space="0" w:color="auto"/>
        <w:bottom w:val="none" w:sz="0" w:space="0" w:color="auto"/>
        <w:right w:val="none" w:sz="0" w:space="0" w:color="auto"/>
      </w:divBdr>
      <w:divsChild>
        <w:div w:id="479736548">
          <w:marLeft w:val="274"/>
          <w:marRight w:val="0"/>
          <w:marTop w:val="0"/>
          <w:marBottom w:val="0"/>
          <w:divBdr>
            <w:top w:val="none" w:sz="0" w:space="0" w:color="auto"/>
            <w:left w:val="none" w:sz="0" w:space="0" w:color="auto"/>
            <w:bottom w:val="none" w:sz="0" w:space="0" w:color="auto"/>
            <w:right w:val="none" w:sz="0" w:space="0" w:color="auto"/>
          </w:divBdr>
        </w:div>
      </w:divsChild>
    </w:div>
    <w:div w:id="1361664548">
      <w:bodyDiv w:val="1"/>
      <w:marLeft w:val="0"/>
      <w:marRight w:val="0"/>
      <w:marTop w:val="0"/>
      <w:marBottom w:val="0"/>
      <w:divBdr>
        <w:top w:val="none" w:sz="0" w:space="0" w:color="auto"/>
        <w:left w:val="none" w:sz="0" w:space="0" w:color="auto"/>
        <w:bottom w:val="none" w:sz="0" w:space="0" w:color="auto"/>
        <w:right w:val="none" w:sz="0" w:space="0" w:color="auto"/>
      </w:divBdr>
      <w:divsChild>
        <w:div w:id="1928076979">
          <w:marLeft w:val="562"/>
          <w:marRight w:val="0"/>
          <w:marTop w:val="120"/>
          <w:marBottom w:val="120"/>
          <w:divBdr>
            <w:top w:val="none" w:sz="0" w:space="0" w:color="auto"/>
            <w:left w:val="none" w:sz="0" w:space="0" w:color="auto"/>
            <w:bottom w:val="none" w:sz="0" w:space="0" w:color="auto"/>
            <w:right w:val="none" w:sz="0" w:space="0" w:color="auto"/>
          </w:divBdr>
        </w:div>
      </w:divsChild>
    </w:div>
    <w:div w:id="1445929216">
      <w:bodyDiv w:val="1"/>
      <w:marLeft w:val="0"/>
      <w:marRight w:val="0"/>
      <w:marTop w:val="0"/>
      <w:marBottom w:val="0"/>
      <w:divBdr>
        <w:top w:val="none" w:sz="0" w:space="0" w:color="auto"/>
        <w:left w:val="none" w:sz="0" w:space="0" w:color="auto"/>
        <w:bottom w:val="none" w:sz="0" w:space="0" w:color="auto"/>
        <w:right w:val="none" w:sz="0" w:space="0" w:color="auto"/>
      </w:divBdr>
      <w:divsChild>
        <w:div w:id="491069378">
          <w:marLeft w:val="562"/>
          <w:marRight w:val="0"/>
          <w:marTop w:val="120"/>
          <w:marBottom w:val="120"/>
          <w:divBdr>
            <w:top w:val="none" w:sz="0" w:space="0" w:color="auto"/>
            <w:left w:val="none" w:sz="0" w:space="0" w:color="auto"/>
            <w:bottom w:val="none" w:sz="0" w:space="0" w:color="auto"/>
            <w:right w:val="none" w:sz="0" w:space="0" w:color="auto"/>
          </w:divBdr>
        </w:div>
      </w:divsChild>
    </w:div>
    <w:div w:id="1499541491">
      <w:bodyDiv w:val="1"/>
      <w:marLeft w:val="0"/>
      <w:marRight w:val="0"/>
      <w:marTop w:val="0"/>
      <w:marBottom w:val="0"/>
      <w:divBdr>
        <w:top w:val="none" w:sz="0" w:space="0" w:color="auto"/>
        <w:left w:val="none" w:sz="0" w:space="0" w:color="auto"/>
        <w:bottom w:val="none" w:sz="0" w:space="0" w:color="auto"/>
        <w:right w:val="none" w:sz="0" w:space="0" w:color="auto"/>
      </w:divBdr>
      <w:divsChild>
        <w:div w:id="523904885">
          <w:marLeft w:val="994"/>
          <w:marRight w:val="0"/>
          <w:marTop w:val="0"/>
          <w:marBottom w:val="120"/>
          <w:divBdr>
            <w:top w:val="none" w:sz="0" w:space="0" w:color="auto"/>
            <w:left w:val="none" w:sz="0" w:space="0" w:color="auto"/>
            <w:bottom w:val="none" w:sz="0" w:space="0" w:color="auto"/>
            <w:right w:val="none" w:sz="0" w:space="0" w:color="auto"/>
          </w:divBdr>
        </w:div>
        <w:div w:id="1324360326">
          <w:marLeft w:val="562"/>
          <w:marRight w:val="0"/>
          <w:marTop w:val="120"/>
          <w:marBottom w:val="120"/>
          <w:divBdr>
            <w:top w:val="none" w:sz="0" w:space="0" w:color="auto"/>
            <w:left w:val="none" w:sz="0" w:space="0" w:color="auto"/>
            <w:bottom w:val="none" w:sz="0" w:space="0" w:color="auto"/>
            <w:right w:val="none" w:sz="0" w:space="0" w:color="auto"/>
          </w:divBdr>
        </w:div>
      </w:divsChild>
    </w:div>
    <w:div w:id="1541551616">
      <w:bodyDiv w:val="1"/>
      <w:marLeft w:val="0"/>
      <w:marRight w:val="0"/>
      <w:marTop w:val="0"/>
      <w:marBottom w:val="0"/>
      <w:divBdr>
        <w:top w:val="none" w:sz="0" w:space="0" w:color="auto"/>
        <w:left w:val="none" w:sz="0" w:space="0" w:color="auto"/>
        <w:bottom w:val="none" w:sz="0" w:space="0" w:color="auto"/>
        <w:right w:val="none" w:sz="0" w:space="0" w:color="auto"/>
      </w:divBdr>
    </w:div>
    <w:div w:id="1585995997">
      <w:bodyDiv w:val="1"/>
      <w:marLeft w:val="0"/>
      <w:marRight w:val="0"/>
      <w:marTop w:val="0"/>
      <w:marBottom w:val="0"/>
      <w:divBdr>
        <w:top w:val="none" w:sz="0" w:space="0" w:color="auto"/>
        <w:left w:val="none" w:sz="0" w:space="0" w:color="auto"/>
        <w:bottom w:val="none" w:sz="0" w:space="0" w:color="auto"/>
        <w:right w:val="none" w:sz="0" w:space="0" w:color="auto"/>
      </w:divBdr>
    </w:div>
    <w:div w:id="1591087745">
      <w:bodyDiv w:val="1"/>
      <w:marLeft w:val="0"/>
      <w:marRight w:val="0"/>
      <w:marTop w:val="0"/>
      <w:marBottom w:val="0"/>
      <w:divBdr>
        <w:top w:val="none" w:sz="0" w:space="0" w:color="auto"/>
        <w:left w:val="none" w:sz="0" w:space="0" w:color="auto"/>
        <w:bottom w:val="none" w:sz="0" w:space="0" w:color="auto"/>
        <w:right w:val="none" w:sz="0" w:space="0" w:color="auto"/>
      </w:divBdr>
      <w:divsChild>
        <w:div w:id="171341628">
          <w:marLeft w:val="562"/>
          <w:marRight w:val="0"/>
          <w:marTop w:val="120"/>
          <w:marBottom w:val="120"/>
          <w:divBdr>
            <w:top w:val="none" w:sz="0" w:space="0" w:color="auto"/>
            <w:left w:val="none" w:sz="0" w:space="0" w:color="auto"/>
            <w:bottom w:val="none" w:sz="0" w:space="0" w:color="auto"/>
            <w:right w:val="none" w:sz="0" w:space="0" w:color="auto"/>
          </w:divBdr>
        </w:div>
      </w:divsChild>
    </w:div>
    <w:div w:id="1591154638">
      <w:bodyDiv w:val="1"/>
      <w:marLeft w:val="0"/>
      <w:marRight w:val="0"/>
      <w:marTop w:val="0"/>
      <w:marBottom w:val="0"/>
      <w:divBdr>
        <w:top w:val="none" w:sz="0" w:space="0" w:color="auto"/>
        <w:left w:val="none" w:sz="0" w:space="0" w:color="auto"/>
        <w:bottom w:val="none" w:sz="0" w:space="0" w:color="auto"/>
        <w:right w:val="none" w:sz="0" w:space="0" w:color="auto"/>
      </w:divBdr>
    </w:div>
    <w:div w:id="1599824797">
      <w:bodyDiv w:val="1"/>
      <w:marLeft w:val="0"/>
      <w:marRight w:val="0"/>
      <w:marTop w:val="0"/>
      <w:marBottom w:val="0"/>
      <w:divBdr>
        <w:top w:val="none" w:sz="0" w:space="0" w:color="auto"/>
        <w:left w:val="none" w:sz="0" w:space="0" w:color="auto"/>
        <w:bottom w:val="none" w:sz="0" w:space="0" w:color="auto"/>
        <w:right w:val="none" w:sz="0" w:space="0" w:color="auto"/>
      </w:divBdr>
    </w:div>
    <w:div w:id="1649288584">
      <w:bodyDiv w:val="1"/>
      <w:marLeft w:val="0"/>
      <w:marRight w:val="0"/>
      <w:marTop w:val="0"/>
      <w:marBottom w:val="0"/>
      <w:divBdr>
        <w:top w:val="none" w:sz="0" w:space="0" w:color="auto"/>
        <w:left w:val="none" w:sz="0" w:space="0" w:color="auto"/>
        <w:bottom w:val="none" w:sz="0" w:space="0" w:color="auto"/>
        <w:right w:val="none" w:sz="0" w:space="0" w:color="auto"/>
      </w:divBdr>
    </w:div>
    <w:div w:id="1661303408">
      <w:bodyDiv w:val="1"/>
      <w:marLeft w:val="0"/>
      <w:marRight w:val="0"/>
      <w:marTop w:val="0"/>
      <w:marBottom w:val="0"/>
      <w:divBdr>
        <w:top w:val="none" w:sz="0" w:space="0" w:color="auto"/>
        <w:left w:val="none" w:sz="0" w:space="0" w:color="auto"/>
        <w:bottom w:val="none" w:sz="0" w:space="0" w:color="auto"/>
        <w:right w:val="none" w:sz="0" w:space="0" w:color="auto"/>
      </w:divBdr>
    </w:div>
    <w:div w:id="1668677872">
      <w:bodyDiv w:val="1"/>
      <w:marLeft w:val="0"/>
      <w:marRight w:val="0"/>
      <w:marTop w:val="0"/>
      <w:marBottom w:val="0"/>
      <w:divBdr>
        <w:top w:val="none" w:sz="0" w:space="0" w:color="auto"/>
        <w:left w:val="none" w:sz="0" w:space="0" w:color="auto"/>
        <w:bottom w:val="none" w:sz="0" w:space="0" w:color="auto"/>
        <w:right w:val="none" w:sz="0" w:space="0" w:color="auto"/>
      </w:divBdr>
    </w:div>
    <w:div w:id="1687713764">
      <w:bodyDiv w:val="1"/>
      <w:marLeft w:val="0"/>
      <w:marRight w:val="0"/>
      <w:marTop w:val="0"/>
      <w:marBottom w:val="0"/>
      <w:divBdr>
        <w:top w:val="none" w:sz="0" w:space="0" w:color="auto"/>
        <w:left w:val="none" w:sz="0" w:space="0" w:color="auto"/>
        <w:bottom w:val="none" w:sz="0" w:space="0" w:color="auto"/>
        <w:right w:val="none" w:sz="0" w:space="0" w:color="auto"/>
      </w:divBdr>
    </w:div>
    <w:div w:id="1703896915">
      <w:bodyDiv w:val="1"/>
      <w:marLeft w:val="0"/>
      <w:marRight w:val="0"/>
      <w:marTop w:val="0"/>
      <w:marBottom w:val="0"/>
      <w:divBdr>
        <w:top w:val="none" w:sz="0" w:space="0" w:color="auto"/>
        <w:left w:val="none" w:sz="0" w:space="0" w:color="auto"/>
        <w:bottom w:val="none" w:sz="0" w:space="0" w:color="auto"/>
        <w:right w:val="none" w:sz="0" w:space="0" w:color="auto"/>
      </w:divBdr>
    </w:div>
    <w:div w:id="1720786566">
      <w:bodyDiv w:val="1"/>
      <w:marLeft w:val="0"/>
      <w:marRight w:val="0"/>
      <w:marTop w:val="0"/>
      <w:marBottom w:val="0"/>
      <w:divBdr>
        <w:top w:val="none" w:sz="0" w:space="0" w:color="auto"/>
        <w:left w:val="none" w:sz="0" w:space="0" w:color="auto"/>
        <w:bottom w:val="none" w:sz="0" w:space="0" w:color="auto"/>
        <w:right w:val="none" w:sz="0" w:space="0" w:color="auto"/>
      </w:divBdr>
    </w:div>
    <w:div w:id="1772315554">
      <w:bodyDiv w:val="1"/>
      <w:marLeft w:val="0"/>
      <w:marRight w:val="0"/>
      <w:marTop w:val="0"/>
      <w:marBottom w:val="0"/>
      <w:divBdr>
        <w:top w:val="none" w:sz="0" w:space="0" w:color="auto"/>
        <w:left w:val="none" w:sz="0" w:space="0" w:color="auto"/>
        <w:bottom w:val="none" w:sz="0" w:space="0" w:color="auto"/>
        <w:right w:val="none" w:sz="0" w:space="0" w:color="auto"/>
      </w:divBdr>
    </w:div>
    <w:div w:id="1778671127">
      <w:bodyDiv w:val="1"/>
      <w:marLeft w:val="0"/>
      <w:marRight w:val="0"/>
      <w:marTop w:val="0"/>
      <w:marBottom w:val="0"/>
      <w:divBdr>
        <w:top w:val="none" w:sz="0" w:space="0" w:color="auto"/>
        <w:left w:val="none" w:sz="0" w:space="0" w:color="auto"/>
        <w:bottom w:val="none" w:sz="0" w:space="0" w:color="auto"/>
        <w:right w:val="none" w:sz="0" w:space="0" w:color="auto"/>
      </w:divBdr>
      <w:divsChild>
        <w:div w:id="206797898">
          <w:marLeft w:val="562"/>
          <w:marRight w:val="0"/>
          <w:marTop w:val="120"/>
          <w:marBottom w:val="120"/>
          <w:divBdr>
            <w:top w:val="none" w:sz="0" w:space="0" w:color="auto"/>
            <w:left w:val="none" w:sz="0" w:space="0" w:color="auto"/>
            <w:bottom w:val="none" w:sz="0" w:space="0" w:color="auto"/>
            <w:right w:val="none" w:sz="0" w:space="0" w:color="auto"/>
          </w:divBdr>
        </w:div>
        <w:div w:id="226964822">
          <w:marLeft w:val="562"/>
          <w:marRight w:val="0"/>
          <w:marTop w:val="120"/>
          <w:marBottom w:val="120"/>
          <w:divBdr>
            <w:top w:val="none" w:sz="0" w:space="0" w:color="auto"/>
            <w:left w:val="none" w:sz="0" w:space="0" w:color="auto"/>
            <w:bottom w:val="none" w:sz="0" w:space="0" w:color="auto"/>
            <w:right w:val="none" w:sz="0" w:space="0" w:color="auto"/>
          </w:divBdr>
        </w:div>
        <w:div w:id="288363287">
          <w:marLeft w:val="994"/>
          <w:marRight w:val="0"/>
          <w:marTop w:val="0"/>
          <w:marBottom w:val="120"/>
          <w:divBdr>
            <w:top w:val="none" w:sz="0" w:space="0" w:color="auto"/>
            <w:left w:val="none" w:sz="0" w:space="0" w:color="auto"/>
            <w:bottom w:val="none" w:sz="0" w:space="0" w:color="auto"/>
            <w:right w:val="none" w:sz="0" w:space="0" w:color="auto"/>
          </w:divBdr>
        </w:div>
        <w:div w:id="482086057">
          <w:marLeft w:val="994"/>
          <w:marRight w:val="0"/>
          <w:marTop w:val="0"/>
          <w:marBottom w:val="120"/>
          <w:divBdr>
            <w:top w:val="none" w:sz="0" w:space="0" w:color="auto"/>
            <w:left w:val="none" w:sz="0" w:space="0" w:color="auto"/>
            <w:bottom w:val="none" w:sz="0" w:space="0" w:color="auto"/>
            <w:right w:val="none" w:sz="0" w:space="0" w:color="auto"/>
          </w:divBdr>
        </w:div>
        <w:div w:id="1122571551">
          <w:marLeft w:val="562"/>
          <w:marRight w:val="0"/>
          <w:marTop w:val="120"/>
          <w:marBottom w:val="120"/>
          <w:divBdr>
            <w:top w:val="none" w:sz="0" w:space="0" w:color="auto"/>
            <w:left w:val="none" w:sz="0" w:space="0" w:color="auto"/>
            <w:bottom w:val="none" w:sz="0" w:space="0" w:color="auto"/>
            <w:right w:val="none" w:sz="0" w:space="0" w:color="auto"/>
          </w:divBdr>
        </w:div>
        <w:div w:id="1127166123">
          <w:marLeft w:val="994"/>
          <w:marRight w:val="0"/>
          <w:marTop w:val="0"/>
          <w:marBottom w:val="120"/>
          <w:divBdr>
            <w:top w:val="none" w:sz="0" w:space="0" w:color="auto"/>
            <w:left w:val="none" w:sz="0" w:space="0" w:color="auto"/>
            <w:bottom w:val="none" w:sz="0" w:space="0" w:color="auto"/>
            <w:right w:val="none" w:sz="0" w:space="0" w:color="auto"/>
          </w:divBdr>
        </w:div>
        <w:div w:id="1396976985">
          <w:marLeft w:val="562"/>
          <w:marRight w:val="0"/>
          <w:marTop w:val="120"/>
          <w:marBottom w:val="120"/>
          <w:divBdr>
            <w:top w:val="none" w:sz="0" w:space="0" w:color="auto"/>
            <w:left w:val="none" w:sz="0" w:space="0" w:color="auto"/>
            <w:bottom w:val="none" w:sz="0" w:space="0" w:color="auto"/>
            <w:right w:val="none" w:sz="0" w:space="0" w:color="auto"/>
          </w:divBdr>
        </w:div>
        <w:div w:id="1727678876">
          <w:marLeft w:val="994"/>
          <w:marRight w:val="0"/>
          <w:marTop w:val="0"/>
          <w:marBottom w:val="120"/>
          <w:divBdr>
            <w:top w:val="none" w:sz="0" w:space="0" w:color="auto"/>
            <w:left w:val="none" w:sz="0" w:space="0" w:color="auto"/>
            <w:bottom w:val="none" w:sz="0" w:space="0" w:color="auto"/>
            <w:right w:val="none" w:sz="0" w:space="0" w:color="auto"/>
          </w:divBdr>
        </w:div>
      </w:divsChild>
    </w:div>
    <w:div w:id="1834687062">
      <w:bodyDiv w:val="1"/>
      <w:marLeft w:val="0"/>
      <w:marRight w:val="0"/>
      <w:marTop w:val="0"/>
      <w:marBottom w:val="0"/>
      <w:divBdr>
        <w:top w:val="none" w:sz="0" w:space="0" w:color="auto"/>
        <w:left w:val="none" w:sz="0" w:space="0" w:color="auto"/>
        <w:bottom w:val="none" w:sz="0" w:space="0" w:color="auto"/>
        <w:right w:val="none" w:sz="0" w:space="0" w:color="auto"/>
      </w:divBdr>
    </w:div>
    <w:div w:id="1927112570">
      <w:bodyDiv w:val="1"/>
      <w:marLeft w:val="0"/>
      <w:marRight w:val="0"/>
      <w:marTop w:val="0"/>
      <w:marBottom w:val="0"/>
      <w:divBdr>
        <w:top w:val="none" w:sz="0" w:space="0" w:color="auto"/>
        <w:left w:val="none" w:sz="0" w:space="0" w:color="auto"/>
        <w:bottom w:val="none" w:sz="0" w:space="0" w:color="auto"/>
        <w:right w:val="none" w:sz="0" w:space="0" w:color="auto"/>
      </w:divBdr>
    </w:div>
    <w:div w:id="1967462247">
      <w:bodyDiv w:val="1"/>
      <w:marLeft w:val="0"/>
      <w:marRight w:val="0"/>
      <w:marTop w:val="0"/>
      <w:marBottom w:val="0"/>
      <w:divBdr>
        <w:top w:val="none" w:sz="0" w:space="0" w:color="auto"/>
        <w:left w:val="none" w:sz="0" w:space="0" w:color="auto"/>
        <w:bottom w:val="none" w:sz="0" w:space="0" w:color="auto"/>
        <w:right w:val="none" w:sz="0" w:space="0" w:color="auto"/>
      </w:divBdr>
      <w:divsChild>
        <w:div w:id="11760884">
          <w:marLeft w:val="562"/>
          <w:marRight w:val="0"/>
          <w:marTop w:val="120"/>
          <w:marBottom w:val="120"/>
          <w:divBdr>
            <w:top w:val="none" w:sz="0" w:space="0" w:color="auto"/>
            <w:left w:val="none" w:sz="0" w:space="0" w:color="auto"/>
            <w:bottom w:val="none" w:sz="0" w:space="0" w:color="auto"/>
            <w:right w:val="none" w:sz="0" w:space="0" w:color="auto"/>
          </w:divBdr>
        </w:div>
        <w:div w:id="98574341">
          <w:marLeft w:val="994"/>
          <w:marRight w:val="0"/>
          <w:marTop w:val="0"/>
          <w:marBottom w:val="120"/>
          <w:divBdr>
            <w:top w:val="none" w:sz="0" w:space="0" w:color="auto"/>
            <w:left w:val="none" w:sz="0" w:space="0" w:color="auto"/>
            <w:bottom w:val="none" w:sz="0" w:space="0" w:color="auto"/>
            <w:right w:val="none" w:sz="0" w:space="0" w:color="auto"/>
          </w:divBdr>
        </w:div>
        <w:div w:id="1009260529">
          <w:marLeft w:val="562"/>
          <w:marRight w:val="0"/>
          <w:marTop w:val="120"/>
          <w:marBottom w:val="120"/>
          <w:divBdr>
            <w:top w:val="none" w:sz="0" w:space="0" w:color="auto"/>
            <w:left w:val="none" w:sz="0" w:space="0" w:color="auto"/>
            <w:bottom w:val="none" w:sz="0" w:space="0" w:color="auto"/>
            <w:right w:val="none" w:sz="0" w:space="0" w:color="auto"/>
          </w:divBdr>
        </w:div>
        <w:div w:id="1257129269">
          <w:marLeft w:val="562"/>
          <w:marRight w:val="0"/>
          <w:marTop w:val="120"/>
          <w:marBottom w:val="120"/>
          <w:divBdr>
            <w:top w:val="none" w:sz="0" w:space="0" w:color="auto"/>
            <w:left w:val="none" w:sz="0" w:space="0" w:color="auto"/>
            <w:bottom w:val="none" w:sz="0" w:space="0" w:color="auto"/>
            <w:right w:val="none" w:sz="0" w:space="0" w:color="auto"/>
          </w:divBdr>
        </w:div>
        <w:div w:id="1570917970">
          <w:marLeft w:val="994"/>
          <w:marRight w:val="0"/>
          <w:marTop w:val="0"/>
          <w:marBottom w:val="120"/>
          <w:divBdr>
            <w:top w:val="none" w:sz="0" w:space="0" w:color="auto"/>
            <w:left w:val="none" w:sz="0" w:space="0" w:color="auto"/>
            <w:bottom w:val="none" w:sz="0" w:space="0" w:color="auto"/>
            <w:right w:val="none" w:sz="0" w:space="0" w:color="auto"/>
          </w:divBdr>
        </w:div>
      </w:divsChild>
    </w:div>
    <w:div w:id="1994142538">
      <w:bodyDiv w:val="1"/>
      <w:marLeft w:val="0"/>
      <w:marRight w:val="0"/>
      <w:marTop w:val="0"/>
      <w:marBottom w:val="0"/>
      <w:divBdr>
        <w:top w:val="none" w:sz="0" w:space="0" w:color="auto"/>
        <w:left w:val="none" w:sz="0" w:space="0" w:color="auto"/>
        <w:bottom w:val="none" w:sz="0" w:space="0" w:color="auto"/>
        <w:right w:val="none" w:sz="0" w:space="0" w:color="auto"/>
      </w:divBdr>
      <w:divsChild>
        <w:div w:id="546913462">
          <w:marLeft w:val="562"/>
          <w:marRight w:val="0"/>
          <w:marTop w:val="120"/>
          <w:marBottom w:val="120"/>
          <w:divBdr>
            <w:top w:val="none" w:sz="0" w:space="0" w:color="auto"/>
            <w:left w:val="none" w:sz="0" w:space="0" w:color="auto"/>
            <w:bottom w:val="none" w:sz="0" w:space="0" w:color="auto"/>
            <w:right w:val="none" w:sz="0" w:space="0" w:color="auto"/>
          </w:divBdr>
        </w:div>
        <w:div w:id="831795793">
          <w:marLeft w:val="994"/>
          <w:marRight w:val="0"/>
          <w:marTop w:val="0"/>
          <w:marBottom w:val="120"/>
          <w:divBdr>
            <w:top w:val="none" w:sz="0" w:space="0" w:color="auto"/>
            <w:left w:val="none" w:sz="0" w:space="0" w:color="auto"/>
            <w:bottom w:val="none" w:sz="0" w:space="0" w:color="auto"/>
            <w:right w:val="none" w:sz="0" w:space="0" w:color="auto"/>
          </w:divBdr>
        </w:div>
        <w:div w:id="1113938961">
          <w:marLeft w:val="994"/>
          <w:marRight w:val="0"/>
          <w:marTop w:val="0"/>
          <w:marBottom w:val="120"/>
          <w:divBdr>
            <w:top w:val="none" w:sz="0" w:space="0" w:color="auto"/>
            <w:left w:val="none" w:sz="0" w:space="0" w:color="auto"/>
            <w:bottom w:val="none" w:sz="0" w:space="0" w:color="auto"/>
            <w:right w:val="none" w:sz="0" w:space="0" w:color="auto"/>
          </w:divBdr>
        </w:div>
        <w:div w:id="2084330135">
          <w:marLeft w:val="994"/>
          <w:marRight w:val="0"/>
          <w:marTop w:val="0"/>
          <w:marBottom w:val="120"/>
          <w:divBdr>
            <w:top w:val="none" w:sz="0" w:space="0" w:color="auto"/>
            <w:left w:val="none" w:sz="0" w:space="0" w:color="auto"/>
            <w:bottom w:val="none" w:sz="0" w:space="0" w:color="auto"/>
            <w:right w:val="none" w:sz="0" w:space="0" w:color="auto"/>
          </w:divBdr>
        </w:div>
      </w:divsChild>
    </w:div>
    <w:div w:id="1997106536">
      <w:bodyDiv w:val="1"/>
      <w:marLeft w:val="0"/>
      <w:marRight w:val="0"/>
      <w:marTop w:val="0"/>
      <w:marBottom w:val="0"/>
      <w:divBdr>
        <w:top w:val="none" w:sz="0" w:space="0" w:color="auto"/>
        <w:left w:val="none" w:sz="0" w:space="0" w:color="auto"/>
        <w:bottom w:val="none" w:sz="0" w:space="0" w:color="auto"/>
        <w:right w:val="none" w:sz="0" w:space="0" w:color="auto"/>
      </w:divBdr>
    </w:div>
    <w:div w:id="2012442543">
      <w:bodyDiv w:val="1"/>
      <w:marLeft w:val="0"/>
      <w:marRight w:val="0"/>
      <w:marTop w:val="0"/>
      <w:marBottom w:val="0"/>
      <w:divBdr>
        <w:top w:val="none" w:sz="0" w:space="0" w:color="auto"/>
        <w:left w:val="none" w:sz="0" w:space="0" w:color="auto"/>
        <w:bottom w:val="none" w:sz="0" w:space="0" w:color="auto"/>
        <w:right w:val="none" w:sz="0" w:space="0" w:color="auto"/>
      </w:divBdr>
      <w:divsChild>
        <w:div w:id="368726579">
          <w:marLeft w:val="562"/>
          <w:marRight w:val="0"/>
          <w:marTop w:val="120"/>
          <w:marBottom w:val="120"/>
          <w:divBdr>
            <w:top w:val="none" w:sz="0" w:space="0" w:color="auto"/>
            <w:left w:val="none" w:sz="0" w:space="0" w:color="auto"/>
            <w:bottom w:val="none" w:sz="0" w:space="0" w:color="auto"/>
            <w:right w:val="none" w:sz="0" w:space="0" w:color="auto"/>
          </w:divBdr>
        </w:div>
        <w:div w:id="1391920544">
          <w:marLeft w:val="994"/>
          <w:marRight w:val="0"/>
          <w:marTop w:val="0"/>
          <w:marBottom w:val="120"/>
          <w:divBdr>
            <w:top w:val="none" w:sz="0" w:space="0" w:color="auto"/>
            <w:left w:val="none" w:sz="0" w:space="0" w:color="auto"/>
            <w:bottom w:val="none" w:sz="0" w:space="0" w:color="auto"/>
            <w:right w:val="none" w:sz="0" w:space="0" w:color="auto"/>
          </w:divBdr>
        </w:div>
        <w:div w:id="1550729307">
          <w:marLeft w:val="994"/>
          <w:marRight w:val="0"/>
          <w:marTop w:val="0"/>
          <w:marBottom w:val="120"/>
          <w:divBdr>
            <w:top w:val="none" w:sz="0" w:space="0" w:color="auto"/>
            <w:left w:val="none" w:sz="0" w:space="0" w:color="auto"/>
            <w:bottom w:val="none" w:sz="0" w:space="0" w:color="auto"/>
            <w:right w:val="none" w:sz="0" w:space="0" w:color="auto"/>
          </w:divBdr>
        </w:div>
      </w:divsChild>
    </w:div>
    <w:div w:id="2092895210">
      <w:bodyDiv w:val="1"/>
      <w:marLeft w:val="0"/>
      <w:marRight w:val="0"/>
      <w:marTop w:val="0"/>
      <w:marBottom w:val="0"/>
      <w:divBdr>
        <w:top w:val="none" w:sz="0" w:space="0" w:color="auto"/>
        <w:left w:val="none" w:sz="0" w:space="0" w:color="auto"/>
        <w:bottom w:val="none" w:sz="0" w:space="0" w:color="auto"/>
        <w:right w:val="none" w:sz="0" w:space="0" w:color="auto"/>
      </w:divBdr>
      <w:divsChild>
        <w:div w:id="918976840">
          <w:marLeft w:val="562"/>
          <w:marRight w:val="0"/>
          <w:marTop w:val="120"/>
          <w:marBottom w:val="120"/>
          <w:divBdr>
            <w:top w:val="none" w:sz="0" w:space="0" w:color="auto"/>
            <w:left w:val="none" w:sz="0" w:space="0" w:color="auto"/>
            <w:bottom w:val="none" w:sz="0" w:space="0" w:color="auto"/>
            <w:right w:val="none" w:sz="0" w:space="0" w:color="auto"/>
          </w:divBdr>
        </w:div>
      </w:divsChild>
    </w:div>
    <w:div w:id="2101174463">
      <w:bodyDiv w:val="1"/>
      <w:marLeft w:val="0"/>
      <w:marRight w:val="0"/>
      <w:marTop w:val="0"/>
      <w:marBottom w:val="0"/>
      <w:divBdr>
        <w:top w:val="none" w:sz="0" w:space="0" w:color="auto"/>
        <w:left w:val="none" w:sz="0" w:space="0" w:color="auto"/>
        <w:bottom w:val="none" w:sz="0" w:space="0" w:color="auto"/>
        <w:right w:val="none" w:sz="0" w:space="0" w:color="auto"/>
      </w:divBdr>
    </w:div>
    <w:div w:id="2108840090">
      <w:bodyDiv w:val="1"/>
      <w:marLeft w:val="0"/>
      <w:marRight w:val="0"/>
      <w:marTop w:val="0"/>
      <w:marBottom w:val="0"/>
      <w:divBdr>
        <w:top w:val="none" w:sz="0" w:space="0" w:color="auto"/>
        <w:left w:val="none" w:sz="0" w:space="0" w:color="auto"/>
        <w:bottom w:val="none" w:sz="0" w:space="0" w:color="auto"/>
        <w:right w:val="none" w:sz="0" w:space="0" w:color="auto"/>
      </w:divBdr>
      <w:divsChild>
        <w:div w:id="335769203">
          <w:marLeft w:val="994"/>
          <w:marRight w:val="0"/>
          <w:marTop w:val="0"/>
          <w:marBottom w:val="120"/>
          <w:divBdr>
            <w:top w:val="none" w:sz="0" w:space="0" w:color="auto"/>
            <w:left w:val="none" w:sz="0" w:space="0" w:color="auto"/>
            <w:bottom w:val="none" w:sz="0" w:space="0" w:color="auto"/>
            <w:right w:val="none" w:sz="0" w:space="0" w:color="auto"/>
          </w:divBdr>
        </w:div>
        <w:div w:id="470251964">
          <w:marLeft w:val="994"/>
          <w:marRight w:val="0"/>
          <w:marTop w:val="0"/>
          <w:marBottom w:val="120"/>
          <w:divBdr>
            <w:top w:val="none" w:sz="0" w:space="0" w:color="auto"/>
            <w:left w:val="none" w:sz="0" w:space="0" w:color="auto"/>
            <w:bottom w:val="none" w:sz="0" w:space="0" w:color="auto"/>
            <w:right w:val="none" w:sz="0" w:space="0" w:color="auto"/>
          </w:divBdr>
        </w:div>
        <w:div w:id="627081160">
          <w:marLeft w:val="562"/>
          <w:marRight w:val="0"/>
          <w:marTop w:val="120"/>
          <w:marBottom w:val="120"/>
          <w:divBdr>
            <w:top w:val="none" w:sz="0" w:space="0" w:color="auto"/>
            <w:left w:val="none" w:sz="0" w:space="0" w:color="auto"/>
            <w:bottom w:val="none" w:sz="0" w:space="0" w:color="auto"/>
            <w:right w:val="none" w:sz="0" w:space="0" w:color="auto"/>
          </w:divBdr>
        </w:div>
        <w:div w:id="1098021042">
          <w:marLeft w:val="994"/>
          <w:marRight w:val="0"/>
          <w:marTop w:val="0"/>
          <w:marBottom w:val="120"/>
          <w:divBdr>
            <w:top w:val="none" w:sz="0" w:space="0" w:color="auto"/>
            <w:left w:val="none" w:sz="0" w:space="0" w:color="auto"/>
            <w:bottom w:val="none" w:sz="0" w:space="0" w:color="auto"/>
            <w:right w:val="none" w:sz="0" w:space="0" w:color="auto"/>
          </w:divBdr>
        </w:div>
        <w:div w:id="1288513795">
          <w:marLeft w:val="994"/>
          <w:marRight w:val="0"/>
          <w:marTop w:val="0"/>
          <w:marBottom w:val="120"/>
          <w:divBdr>
            <w:top w:val="none" w:sz="0" w:space="0" w:color="auto"/>
            <w:left w:val="none" w:sz="0" w:space="0" w:color="auto"/>
            <w:bottom w:val="none" w:sz="0" w:space="0" w:color="auto"/>
            <w:right w:val="none" w:sz="0" w:space="0" w:color="auto"/>
          </w:divBdr>
        </w:div>
        <w:div w:id="2037808163">
          <w:marLeft w:val="562"/>
          <w:marRight w:val="0"/>
          <w:marTop w:val="120"/>
          <w:marBottom w:val="120"/>
          <w:divBdr>
            <w:top w:val="none" w:sz="0" w:space="0" w:color="auto"/>
            <w:left w:val="none" w:sz="0" w:space="0" w:color="auto"/>
            <w:bottom w:val="none" w:sz="0" w:space="0" w:color="auto"/>
            <w:right w:val="none" w:sz="0" w:space="0" w:color="auto"/>
          </w:divBdr>
        </w:div>
      </w:divsChild>
    </w:div>
    <w:div w:id="2130930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6"/>
            </a:solidFill>
            <a:ln>
              <a:noFill/>
            </a:ln>
            <a:effectLst/>
          </c:spPr>
          <c:invertIfNegative val="0"/>
          <c:dLbls>
            <c:delete val="1"/>
          </c:dLbls>
          <c:cat>
            <c:strRef>
              <c:f>Sheet1!$A$2:$A$17</c:f>
              <c:strCache>
                <c:ptCount val="16"/>
                <c:pt idx="0">
                  <c:v>Retrospective</c:v>
                </c:pt>
                <c:pt idx="1">
                  <c:v>Non-randomised clinical trial</c:v>
                </c:pt>
                <c:pt idx="2">
                  <c:v>Descriptive correlational</c:v>
                </c:pt>
                <c:pt idx="3">
                  <c:v>Focus group</c:v>
                </c:pt>
                <c:pt idx="4">
                  <c:v>Meta-synthesis</c:v>
                </c:pt>
                <c:pt idx="5">
                  <c:v>Case series</c:v>
                </c:pt>
                <c:pt idx="6">
                  <c:v>Management intervention</c:v>
                </c:pt>
                <c:pt idx="7">
                  <c:v>Pilot trial</c:v>
                </c:pt>
                <c:pt idx="8">
                  <c:v>Observational</c:v>
                </c:pt>
                <c:pt idx="9">
                  <c:v>Questionnaire</c:v>
                </c:pt>
                <c:pt idx="10">
                  <c:v>Qualitative</c:v>
                </c:pt>
                <c:pt idx="11">
                  <c:v>NR</c:v>
                </c:pt>
                <c:pt idx="12">
                  <c:v>RCT</c:v>
                </c:pt>
                <c:pt idx="13">
                  <c:v>Longitudinal</c:v>
                </c:pt>
                <c:pt idx="14">
                  <c:v>Prospective</c:v>
                </c:pt>
                <c:pt idx="15">
                  <c:v>Cross-sectional</c:v>
                </c:pt>
              </c:strCache>
            </c:strRef>
          </c:cat>
          <c:val>
            <c:numRef>
              <c:f>Sheet1!$B$2:$B$17</c:f>
              <c:numCache>
                <c:formatCode>General</c:formatCode>
                <c:ptCount val="16"/>
                <c:pt idx="0">
                  <c:v>1</c:v>
                </c:pt>
                <c:pt idx="1">
                  <c:v>1</c:v>
                </c:pt>
                <c:pt idx="2">
                  <c:v>1</c:v>
                </c:pt>
                <c:pt idx="3">
                  <c:v>1</c:v>
                </c:pt>
                <c:pt idx="4">
                  <c:v>1</c:v>
                </c:pt>
                <c:pt idx="5">
                  <c:v>1</c:v>
                </c:pt>
                <c:pt idx="6">
                  <c:v>1</c:v>
                </c:pt>
                <c:pt idx="7">
                  <c:v>1</c:v>
                </c:pt>
                <c:pt idx="8">
                  <c:v>1</c:v>
                </c:pt>
                <c:pt idx="9">
                  <c:v>2</c:v>
                </c:pt>
                <c:pt idx="10">
                  <c:v>2</c:v>
                </c:pt>
                <c:pt idx="11">
                  <c:v>6</c:v>
                </c:pt>
                <c:pt idx="12">
                  <c:v>12</c:v>
                </c:pt>
                <c:pt idx="13">
                  <c:v>15</c:v>
                </c:pt>
                <c:pt idx="14">
                  <c:v>15</c:v>
                </c:pt>
                <c:pt idx="15">
                  <c:v>21</c:v>
                </c:pt>
              </c:numCache>
            </c:numRef>
          </c:val>
          <c:extLst>
            <c:ext xmlns:c16="http://schemas.microsoft.com/office/drawing/2014/chart" uri="{C3380CC4-5D6E-409C-BE32-E72D297353CC}">
              <c16:uniqueId val="{00000000-6591-4DAB-A3A1-E0508AB03955}"/>
            </c:ext>
          </c:extLst>
        </c:ser>
        <c:dLbls>
          <c:dLblPos val="outEnd"/>
          <c:showLegendKey val="0"/>
          <c:showVal val="1"/>
          <c:showCatName val="0"/>
          <c:showSerName val="0"/>
          <c:showPercent val="0"/>
          <c:showBubbleSize val="0"/>
        </c:dLbls>
        <c:gapWidth val="100"/>
        <c:axId val="260831424"/>
        <c:axId val="260835584"/>
      </c:barChart>
      <c:catAx>
        <c:axId val="260831424"/>
        <c:scaling>
          <c:orientation val="minMax"/>
        </c:scaling>
        <c:delete val="0"/>
        <c:axPos val="l"/>
        <c:numFmt formatCode="General" sourceLinked="1"/>
        <c:majorTickMark val="none"/>
        <c:minorTickMark val="out"/>
        <c:tickLblPos val="nextTo"/>
        <c:spPr>
          <a:noFill/>
          <a:ln w="9525" cap="flat" cmpd="sng" algn="ctr">
            <a:solidFill>
              <a:schemeClr val="tx2">
                <a:lumMod val="60000"/>
                <a:lumOff val="40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260835584"/>
        <c:crosses val="autoZero"/>
        <c:auto val="1"/>
        <c:lblAlgn val="ctr"/>
        <c:lblOffset val="100"/>
        <c:noMultiLvlLbl val="0"/>
      </c:catAx>
      <c:valAx>
        <c:axId val="2608355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GB" b="1">
                    <a:solidFill>
                      <a:schemeClr val="tx1"/>
                    </a:solidFill>
                  </a:rPr>
                  <a:t>Number of included publications</a:t>
                </a:r>
              </a:p>
            </c:rich>
          </c:tx>
          <c:layout>
            <c:manualLayout>
              <c:xMode val="edge"/>
              <c:yMode val="edge"/>
              <c:x val="0.42223334062408868"/>
              <c:y val="0.90791651043619548"/>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accent1">
                <a:lumMod val="60000"/>
                <a:lumOff val="4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60831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6"/>
            </a:solidFill>
            <a:ln>
              <a:noFill/>
            </a:ln>
            <a:effectLst/>
          </c:spPr>
          <c:invertIfNegative val="0"/>
          <c:cat>
            <c:strRef>
              <c:f>Sheet1!$A$2:$A$24</c:f>
              <c:strCache>
                <c:ptCount val="23"/>
                <c:pt idx="0">
                  <c:v>Australia</c:v>
                </c:pt>
                <c:pt idx="1">
                  <c:v>Ireland</c:v>
                </c:pt>
                <c:pt idx="2">
                  <c:v>Israel</c:v>
                </c:pt>
                <c:pt idx="3">
                  <c:v>Belgium</c:v>
                </c:pt>
                <c:pt idx="4">
                  <c:v>Norway</c:v>
                </c:pt>
                <c:pt idx="5">
                  <c:v>Scotland</c:v>
                </c:pt>
                <c:pt idx="6">
                  <c:v>Portugal</c:v>
                </c:pt>
                <c:pt idx="7">
                  <c:v>Germany</c:v>
                </c:pt>
                <c:pt idx="8">
                  <c:v>China</c:v>
                </c:pt>
                <c:pt idx="9">
                  <c:v>Vietnam</c:v>
                </c:pt>
                <c:pt idx="10">
                  <c:v>Turkey</c:v>
                </c:pt>
                <c:pt idx="11">
                  <c:v>Spain</c:v>
                </c:pt>
                <c:pt idx="12">
                  <c:v>Japan</c:v>
                </c:pt>
                <c:pt idx="13">
                  <c:v>Finland</c:v>
                </c:pt>
                <c:pt idx="14">
                  <c:v>UK</c:v>
                </c:pt>
                <c:pt idx="15">
                  <c:v>Brazil</c:v>
                </c:pt>
                <c:pt idx="16">
                  <c:v>Korea</c:v>
                </c:pt>
                <c:pt idx="17">
                  <c:v>International</c:v>
                </c:pt>
                <c:pt idx="18">
                  <c:v>Iran</c:v>
                </c:pt>
                <c:pt idx="19">
                  <c:v>Taiwan</c:v>
                </c:pt>
                <c:pt idx="20">
                  <c:v>Canada</c:v>
                </c:pt>
                <c:pt idx="21">
                  <c:v>NR</c:v>
                </c:pt>
                <c:pt idx="22">
                  <c:v>USA</c:v>
                </c:pt>
              </c:strCache>
            </c:strRef>
          </c:cat>
          <c:val>
            <c:numRef>
              <c:f>Sheet1!$B$2:$B$24</c:f>
              <c:numCache>
                <c:formatCode>General</c:formatCode>
                <c:ptCount val="23"/>
                <c:pt idx="0">
                  <c:v>1</c:v>
                </c:pt>
                <c:pt idx="1">
                  <c:v>1</c:v>
                </c:pt>
                <c:pt idx="2">
                  <c:v>1</c:v>
                </c:pt>
                <c:pt idx="3">
                  <c:v>1</c:v>
                </c:pt>
                <c:pt idx="4">
                  <c:v>1</c:v>
                </c:pt>
                <c:pt idx="5">
                  <c:v>1</c:v>
                </c:pt>
                <c:pt idx="6">
                  <c:v>1</c:v>
                </c:pt>
                <c:pt idx="7">
                  <c:v>2</c:v>
                </c:pt>
                <c:pt idx="8">
                  <c:v>2</c:v>
                </c:pt>
                <c:pt idx="9">
                  <c:v>2</c:v>
                </c:pt>
                <c:pt idx="10">
                  <c:v>2</c:v>
                </c:pt>
                <c:pt idx="11">
                  <c:v>2</c:v>
                </c:pt>
                <c:pt idx="12">
                  <c:v>2</c:v>
                </c:pt>
                <c:pt idx="13">
                  <c:v>2</c:v>
                </c:pt>
                <c:pt idx="14">
                  <c:v>2</c:v>
                </c:pt>
                <c:pt idx="15">
                  <c:v>3</c:v>
                </c:pt>
                <c:pt idx="16">
                  <c:v>3</c:v>
                </c:pt>
                <c:pt idx="17">
                  <c:v>3</c:v>
                </c:pt>
                <c:pt idx="18">
                  <c:v>3</c:v>
                </c:pt>
                <c:pt idx="19">
                  <c:v>4</c:v>
                </c:pt>
                <c:pt idx="20">
                  <c:v>7</c:v>
                </c:pt>
                <c:pt idx="21">
                  <c:v>12</c:v>
                </c:pt>
                <c:pt idx="22">
                  <c:v>24</c:v>
                </c:pt>
              </c:numCache>
            </c:numRef>
          </c:val>
          <c:extLst>
            <c:ext xmlns:c16="http://schemas.microsoft.com/office/drawing/2014/chart" uri="{C3380CC4-5D6E-409C-BE32-E72D297353CC}">
              <c16:uniqueId val="{00000000-F34E-40CF-AA18-10C85ACCE814}"/>
            </c:ext>
          </c:extLst>
        </c:ser>
        <c:dLbls>
          <c:showLegendKey val="0"/>
          <c:showVal val="0"/>
          <c:showCatName val="0"/>
          <c:showSerName val="0"/>
          <c:showPercent val="0"/>
          <c:showBubbleSize val="0"/>
        </c:dLbls>
        <c:gapWidth val="100"/>
        <c:axId val="1303611903"/>
        <c:axId val="1303609407"/>
      </c:barChart>
      <c:catAx>
        <c:axId val="1303611903"/>
        <c:scaling>
          <c:orientation val="minMax"/>
        </c:scaling>
        <c:delete val="0"/>
        <c:axPos val="l"/>
        <c:numFmt formatCode="General" sourceLinked="1"/>
        <c:majorTickMark val="none"/>
        <c:minorTickMark val="out"/>
        <c:tickLblPos val="nextTo"/>
        <c:spPr>
          <a:noFill/>
          <a:ln w="952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03609407"/>
        <c:crosses val="autoZero"/>
        <c:auto val="1"/>
        <c:lblAlgn val="ctr"/>
        <c:lblOffset val="100"/>
        <c:noMultiLvlLbl val="0"/>
      </c:catAx>
      <c:valAx>
        <c:axId val="1303609407"/>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GB" b="1">
                    <a:solidFill>
                      <a:schemeClr val="tx1"/>
                    </a:solidFill>
                  </a:rPr>
                  <a:t>Number of</a:t>
                </a:r>
                <a:r>
                  <a:rPr lang="en-GB" b="1" baseline="0">
                    <a:solidFill>
                      <a:schemeClr val="tx1"/>
                    </a:solidFill>
                  </a:rPr>
                  <a:t> included publications</a:t>
                </a:r>
                <a:endParaRPr lang="en-GB" b="1">
                  <a:solidFill>
                    <a:schemeClr val="tx1"/>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60000"/>
                <a:lumOff val="4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03611903"/>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18990706150737"/>
          <c:y val="5.3506858462480184E-2"/>
          <c:w val="0.73051663759182395"/>
          <c:h val="0.80984724965916366"/>
        </c:manualLayout>
      </c:layout>
      <c:barChart>
        <c:barDir val="bar"/>
        <c:grouping val="clustered"/>
        <c:varyColors val="0"/>
        <c:ser>
          <c:idx val="0"/>
          <c:order val="0"/>
          <c:tx>
            <c:strRef>
              <c:f>Sheet1!$B$1</c:f>
              <c:strCache>
                <c:ptCount val="1"/>
                <c:pt idx="0">
                  <c:v>Column1</c:v>
                </c:pt>
              </c:strCache>
            </c:strRef>
          </c:tx>
          <c:spPr>
            <a:solidFill>
              <a:schemeClr val="accent6"/>
            </a:solidFill>
            <a:ln>
              <a:noFill/>
            </a:ln>
            <a:effectLst/>
          </c:spPr>
          <c:invertIfNegative val="0"/>
          <c:cat>
            <c:strRef>
              <c:f>Sheet1!$A$2:$A$7</c:f>
              <c:strCache>
                <c:ptCount val="6"/>
                <c:pt idx="0">
                  <c:v>Longitudinal</c:v>
                </c:pt>
                <c:pt idx="1">
                  <c:v>Post-treatment</c:v>
                </c:pt>
                <c:pt idx="2">
                  <c:v>During treatment</c:v>
                </c:pt>
                <c:pt idx="3">
                  <c:v>Pre-treatment</c:v>
                </c:pt>
                <c:pt idx="4">
                  <c:v>Post-diagnosis</c:v>
                </c:pt>
                <c:pt idx="5">
                  <c:v>Pre-diagnosis</c:v>
                </c:pt>
              </c:strCache>
            </c:strRef>
          </c:cat>
          <c:val>
            <c:numRef>
              <c:f>Sheet1!$B$2:$B$7</c:f>
              <c:numCache>
                <c:formatCode>General</c:formatCode>
                <c:ptCount val="6"/>
                <c:pt idx="0">
                  <c:v>13</c:v>
                </c:pt>
                <c:pt idx="1">
                  <c:v>38</c:v>
                </c:pt>
                <c:pt idx="2">
                  <c:v>46</c:v>
                </c:pt>
                <c:pt idx="3">
                  <c:v>16</c:v>
                </c:pt>
                <c:pt idx="4">
                  <c:v>5</c:v>
                </c:pt>
                <c:pt idx="5">
                  <c:v>3</c:v>
                </c:pt>
              </c:numCache>
            </c:numRef>
          </c:val>
          <c:extLst>
            <c:ext xmlns:c16="http://schemas.microsoft.com/office/drawing/2014/chart" uri="{C3380CC4-5D6E-409C-BE32-E72D297353CC}">
              <c16:uniqueId val="{00000000-FF92-46DA-90FC-6B37B90F1615}"/>
            </c:ext>
          </c:extLst>
        </c:ser>
        <c:dLbls>
          <c:showLegendKey val="0"/>
          <c:showVal val="0"/>
          <c:showCatName val="0"/>
          <c:showSerName val="0"/>
          <c:showPercent val="0"/>
          <c:showBubbleSize val="0"/>
        </c:dLbls>
        <c:gapWidth val="100"/>
        <c:axId val="1303611903"/>
        <c:axId val="1303609407"/>
      </c:barChart>
      <c:catAx>
        <c:axId val="13036119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solidFill>
                      <a:schemeClr val="tx1"/>
                    </a:solidFill>
                  </a:rPr>
                  <a:t>Insomnia</a:t>
                </a:r>
                <a:r>
                  <a:rPr lang="en-GB" baseline="0">
                    <a:solidFill>
                      <a:schemeClr val="tx1"/>
                    </a:solidFill>
                  </a:rPr>
                  <a:t> during cancer journey</a:t>
                </a:r>
                <a:endParaRPr lang="en-GB">
                  <a:solidFill>
                    <a:schemeClr val="tx1"/>
                  </a:solidFill>
                </a:endParaRPr>
              </a:p>
            </c:rich>
          </c:tx>
          <c:layout>
            <c:manualLayout>
              <c:xMode val="edge"/>
              <c:yMode val="edge"/>
              <c:x val="8.7960417811984611E-3"/>
              <c:y val="0.257529562338276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03609407"/>
        <c:crosses val="autoZero"/>
        <c:auto val="1"/>
        <c:lblAlgn val="ctr"/>
        <c:lblOffset val="100"/>
        <c:noMultiLvlLbl val="0"/>
      </c:catAx>
      <c:valAx>
        <c:axId val="13036094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solidFill>
                      <a:schemeClr val="tx1"/>
                    </a:solidFill>
                  </a:rPr>
                  <a:t>Number of</a:t>
                </a:r>
                <a:r>
                  <a:rPr lang="en-GB" baseline="0">
                    <a:solidFill>
                      <a:schemeClr val="tx1"/>
                    </a:solidFill>
                  </a:rPr>
                  <a:t> publications</a:t>
                </a:r>
                <a:endParaRPr lang="en-GB">
                  <a:solidFill>
                    <a:schemeClr val="tx1"/>
                  </a:solidFill>
                </a:endParaRPr>
              </a:p>
            </c:rich>
          </c:tx>
          <c:layout>
            <c:manualLayout>
              <c:xMode val="edge"/>
              <c:yMode val="edge"/>
              <c:x val="0.41602922779237533"/>
              <c:y val="0.93407723769511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60000"/>
                <a:lumOff val="4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036119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Adelphi Values">
      <a:dk1>
        <a:srgbClr val="4E5053"/>
      </a:dk1>
      <a:lt1>
        <a:srgbClr val="FFFFFF"/>
      </a:lt1>
      <a:dk2>
        <a:srgbClr val="4E5053"/>
      </a:dk2>
      <a:lt2>
        <a:srgbClr val="FFFFFF"/>
      </a:lt2>
      <a:accent1>
        <a:srgbClr val="4E5053"/>
      </a:accent1>
      <a:accent2>
        <a:srgbClr val="00A6CB"/>
      </a:accent2>
      <a:accent3>
        <a:srgbClr val="68B937"/>
      </a:accent3>
      <a:accent4>
        <a:srgbClr val="EF7F04"/>
      </a:accent4>
      <a:accent5>
        <a:srgbClr val="FFBB2D"/>
      </a:accent5>
      <a:accent6>
        <a:srgbClr val="00356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shade val="50000"/>
          </a:schemeClr>
        </a:lnRef>
        <a:fillRef idx="1">
          <a:schemeClr val="accent6"/>
        </a:fillRef>
        <a:effectRef idx="0">
          <a:schemeClr val="accent6"/>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302F-C62B-C646-A163-FA774BA0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18847</Words>
  <Characters>107434</Characters>
  <Application>Microsoft Office Word</Application>
  <DocSecurity>0</DocSecurity>
  <PresentationFormat/>
  <Lines>895</Lines>
  <Paragraphs>252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Adelphi Values PROVE</dc:creator>
  <cp:keywords/>
  <dc:description/>
  <cp:lastModifiedBy>Chekani, Farid</cp:lastModifiedBy>
  <cp:revision>5</cp:revision>
  <cp:lastPrinted>2021-08-25T13:14:00Z</cp:lastPrinted>
  <dcterms:created xsi:type="dcterms:W3CDTF">2023-05-05T13:58:00Z</dcterms:created>
  <dcterms:modified xsi:type="dcterms:W3CDTF">2023-07-27T21:00:00Z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7fd646-07cb-4c4e-a107-4e4d6b30ba1b_Enabled">
    <vt:lpwstr/>
  </property>
  <property fmtid="{D5CDD505-2E9C-101B-9397-08002B2CF9AE}" pid="3" name="MSIP_Label_927fd646-07cb-4c4e-a107-4e4d6b30ba1b_SetDate">
    <vt:lpwstr/>
  </property>
  <property fmtid="{D5CDD505-2E9C-101B-9397-08002B2CF9AE}" pid="4" name="MSIP_Label_927fd646-07cb-4c4e-a107-4e4d6b30ba1b_Method">
    <vt:lpwstr/>
  </property>
  <property fmtid="{D5CDD505-2E9C-101B-9397-08002B2CF9AE}" pid="5" name="MSIP_Label_927fd646-07cb-4c4e-a107-4e4d6b30ba1b_Name">
    <vt:lpwstr/>
  </property>
  <property fmtid="{D5CDD505-2E9C-101B-9397-08002B2CF9AE}" pid="6" name="MSIP_Label_927fd646-07cb-4c4e-a107-4e4d6b30ba1b_SiteId">
    <vt:lpwstr/>
  </property>
  <property fmtid="{D5CDD505-2E9C-101B-9397-08002B2CF9AE}" pid="7" name="MSIP_Label_927fd646-07cb-4c4e-a107-4e4d6b30ba1b_ActionId">
    <vt:lpwstr/>
  </property>
  <property fmtid="{D5CDD505-2E9C-101B-9397-08002B2CF9AE}" pid="8" name="MSIP_Label_927fd646-07cb-4c4e-a107-4e4d6b30ba1b_ContentBits">
    <vt:lpwstr/>
  </property>
  <property fmtid="{D5CDD505-2E9C-101B-9397-08002B2CF9AE}" pid="9" name="_NewReviewCycle">
    <vt:lpwstr/>
  </property>
  <property fmtid="{D5CDD505-2E9C-101B-9397-08002B2CF9AE}" pid="10" name="MSIP_Label_e81acc0d-dcc4-4dc9-a2c5-be70b05a2fe6_Enabled">
    <vt:lpwstr>true</vt:lpwstr>
  </property>
  <property fmtid="{D5CDD505-2E9C-101B-9397-08002B2CF9AE}" pid="11" name="MSIP_Label_e81acc0d-dcc4-4dc9-a2c5-be70b05a2fe6_SetDate">
    <vt:lpwstr>2023-07-27T21:00:11Z</vt:lpwstr>
  </property>
  <property fmtid="{D5CDD505-2E9C-101B-9397-08002B2CF9AE}" pid="12" name="MSIP_Label_e81acc0d-dcc4-4dc9-a2c5-be70b05a2fe6_Method">
    <vt:lpwstr>Privileged</vt:lpwstr>
  </property>
  <property fmtid="{D5CDD505-2E9C-101B-9397-08002B2CF9AE}" pid="13" name="MSIP_Label_e81acc0d-dcc4-4dc9-a2c5-be70b05a2fe6_Name">
    <vt:lpwstr>e81acc0d-dcc4-4dc9-a2c5-be70b05a2fe6</vt:lpwstr>
  </property>
  <property fmtid="{D5CDD505-2E9C-101B-9397-08002B2CF9AE}" pid="14" name="MSIP_Label_e81acc0d-dcc4-4dc9-a2c5-be70b05a2fe6_SiteId">
    <vt:lpwstr>a00de4ec-48a8-43a6-be74-e31274e2060d</vt:lpwstr>
  </property>
  <property fmtid="{D5CDD505-2E9C-101B-9397-08002B2CF9AE}" pid="15" name="MSIP_Label_e81acc0d-dcc4-4dc9-a2c5-be70b05a2fe6_ActionId">
    <vt:lpwstr>6f8450f0-2c2e-41bb-8a0f-a37b385eace6</vt:lpwstr>
  </property>
  <property fmtid="{D5CDD505-2E9C-101B-9397-08002B2CF9AE}" pid="16" name="MSIP_Label_e81acc0d-dcc4-4dc9-a2c5-be70b05a2fe6_ContentBits">
    <vt:lpwstr>0</vt:lpwstr>
  </property>
  <property fmtid="{D5CDD505-2E9C-101B-9397-08002B2CF9AE}" pid="17" name="MerckAIPLabel">
    <vt:lpwstr>NotClassified</vt:lpwstr>
  </property>
  <property fmtid="{D5CDD505-2E9C-101B-9397-08002B2CF9AE}" pid="18" name="MerckAIPDataExchange">
    <vt:lpwstr>!MRKMIP@NotClassified</vt:lpwstr>
  </property>
</Properties>
</file>