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8E31189" w14:textId="77777777" w:rsidR="00FA2316" w:rsidRDefault="00FA2316" w:rsidP="00FA2316">
      <w:pPr>
        <w:spacing w:line="480" w:lineRule="auto"/>
        <w:rPr>
          <w:rFonts w:ascii="Calibri" w:eastAsiaTheme="minorEastAsia" w:hAnsi="Calibri" w:cs="Calibri"/>
          <w:b/>
          <w:bCs/>
        </w:rPr>
      </w:pPr>
      <w:r>
        <w:rPr>
          <w:rFonts w:ascii="Calibri" w:eastAsiaTheme="minorEastAsia" w:hAnsi="Calibri" w:cs="Calibri"/>
          <w:b/>
          <w:bCs/>
        </w:rPr>
        <w:t>Supplementary Text</w:t>
      </w:r>
    </w:p>
    <w:p w14:paraId="3A24ACBB" w14:textId="77777777" w:rsidR="00FA2316" w:rsidRDefault="00FA2316" w:rsidP="00FA2316">
      <w:pPr>
        <w:spacing w:line="480" w:lineRule="auto"/>
        <w:rPr>
          <w:rFonts w:ascii="Calibri" w:eastAsiaTheme="minorEastAsia" w:hAnsi="Calibri" w:cs="Calibri"/>
          <w:b/>
          <w:bCs/>
        </w:rPr>
      </w:pPr>
      <w:r>
        <w:rPr>
          <w:rFonts w:ascii="Calibri" w:eastAsiaTheme="minorEastAsia" w:hAnsi="Calibri" w:cs="Calibri"/>
          <w:b/>
          <w:bCs/>
        </w:rPr>
        <w:t>Model comparison</w:t>
      </w:r>
    </w:p>
    <w:p w14:paraId="2C03546E" w14:textId="77777777" w:rsidR="00FA2316" w:rsidRPr="00FC6DFD" w:rsidRDefault="00FA2316" w:rsidP="00FA2316">
      <w:pPr>
        <w:spacing w:line="480" w:lineRule="auto"/>
        <w:rPr>
          <w:rFonts w:ascii="Calibri" w:hAnsi="Calibri" w:cs="Calibri"/>
        </w:rPr>
      </w:pPr>
      <w:r w:rsidRPr="00FC6DFD">
        <w:rPr>
          <w:rFonts w:ascii="Calibri" w:hAnsi="Calibri" w:cs="Calibri"/>
        </w:rPr>
        <w:t xml:space="preserve">We model that in 2019, 235 Mt of plastic waste were generated across 210 countries, territories, and special administrative regions (SARs) of which 92 Mt (range:  69-115 Mt) was mismanaged and leaked to the environment. These result are in-line with the estimate of Lau et al. (2020), who predict approximately 230 Mt of global plastic generation of which 100 Mt is mismanaged in 2016, and Lebreton and Andrady (2019), who calculated 181 Mt plastic waste was generated in 2015 of which 80Mt (60-99 Mt) was leaked to the environment </w:t>
      </w:r>
      <w:r w:rsidRPr="00FC6DFD">
        <w:rPr>
          <w:rFonts w:ascii="Calibri" w:hAnsi="Calibri" w:cs="Calibri"/>
          <w:color w:val="2B579A"/>
        </w:rPr>
        <w:fldChar w:fldCharType="begin"/>
      </w:r>
      <w:r>
        <w:rPr>
          <w:rFonts w:ascii="Calibri" w:hAnsi="Calibri" w:cs="Calibri"/>
        </w:rPr>
        <w:instrText xml:space="preserve"> ADDIN ZOTERO_ITEM CSL_CITATION {"citationID":"QfzOO2na","properties":{"formattedCitation":"({\\i{}24}, {\\i{}26})","plainCitation":"(24, 26)","noteIndex":0},"citationItems":[{"id":4,"uris":["http://zotero.org/users/local/qjhRH7RZ/items/F46EFRZ7","http://zotero.org/users/11068333/items/F46EFRZ7"],"itemData":{"id":4,"type":"article-journal","abstract":"The accumulation of mismanaged plastic waste (MPW) in the environment is a global growing concern. Knowing with precision where litter is generated is important to target priority areas for the implementation of mitigation policies. In this study, using country-level data on waste management combined with high-resolution distributions and long-term projections of population and the gross domestic product (GDP), we present projections of global MPW generation at ~1 km resolution from now to 2060. We estimated between 60 and 99 million metric tonnes (Mt) of MPW were produced globally in 2015. In a business-as-usual scenario, this figure could triple to 155–265 Mt y−1 by 2060. The future MPW load will continue to be disproportionately high in African and Asian continents even in the future years. However, we show that this growth in plastic waste can be reduced if developing economies significantly invest in waste management infrastructures as their GDP grows in the future and if efforts are made internationally to reduce the fraction of plastic in municipal solid waste. Using our projections, we also demonstrate that the majority of MPW (91%) are transported via watersheds larger than 100 km2 suggesting that rivers are major pathways for plastic litter to the ocean.","container-title":"Palgrave Communications","DOI":"10.1057/s41599-018-0212-7","ISSN":"2055-1045","issue":"1","journalAbbreviation":"Palgrave Commun","language":"en","license":"2019 The Author(s)","note":"number: 1\npublisher: Palgrave","page":"1-11","source":"www.nature.com","title":"Future scenarios of global plastic waste generation and disposal","volume":"5","author":[{"family":"Lebreton","given":"Laurent"},{"family":"Andrady","given":"Anthony"}],"issued":{"date-parts":[["2019",1,29]]}}},{"id":1436,"uris":["http://zotero.org/users/11068333/items/ZRWFMIAS"],"itemData":{"id":1436,"type":"article-journal","abstract":"A mess of plastic\n            \n              It is not clear what strategies will be most effective in mitigating harm from the global problem of plastic pollution. Borrelle\n              et al.\n              and Lau\n              et al.\n              discuss possible solutions and their impacts. Both groups found that substantial reductions in plastic-waste generation can be made in the coming decades with immediate, concerted, and vigorous action, but even in the best case scenario, huge quantities of plastic will still accumulate in the environment.\n            \n            \n              Science\n              , this issue p.\n              1515\n              , p.\n              1455\n            \n          , \n            Plastic pollution will increase substantially in the coming decades, even with vigorous management.\n          , \n            Plastic pollution is a pervasive and growing problem. To estimate the effectiveness of interventions to reduce plastic pollution, we modeled stocks and flows of municipal solid waste and four sources of microplastics through the global plastic system for five scenarios between 2016 and 2040. Implementing all feasible interventions reduced plastic pollution by 40% from 2016 rates and 78% relative to “business as usual” in 2040. Even with immediate and concerted action, 710 million metric tons of plastic waste cumulatively entered aquatic and terrestrial ecosystems. To avoid a massive build-up of plastic in the environment, coordinated global action is urgently needed to reduce plastic consumption; increase rates of reuse, waste collection, and recycling; expand safe disposal systems; and accelerate innovation in the plastic value chain.","container-title":"Science","DOI":"10.1126/science.aba9475","ISSN":"0036-8075, 1095-9203","issue":"6510","journalAbbreviation":"Science","language":"en","page":"1455-1461","source":"DOI.org (Crossref)","title":"Evaluating scenarios toward zero plastic pollution","volume":"369","author":[{"family":"Lau","given":"Winnie W. Y."},{"family":"Shiran","given":"Yonathan"},{"family":"Bailey","given":"Richard M."},{"family":"Cook","given":"Ed"},{"family":"Stuchtey","given":"Martin R."},{"family":"Koskella","given":"Julia"},{"family":"Velis","given":"Costas A."},{"family":"Godfrey","given":"Linda"},{"family":"Boucher","given":"Julien"},{"family":"Murphy","given":"Margaret B."},{"family":"Thompson","given":"Richard C."},{"family":"Jankowska","given":"Emilia"},{"family":"Castillo Castillo","given":"Arturo"},{"family":"Pilditch","given":"Toby D."},{"family":"Dixon","given":"Ben"},{"family":"Koerselman","given":"Laura"},{"family":"Kosior","given":"Edward"},{"family":"Favoino","given":"Enzo"},{"family":"Gutberlet","given":"Jutta"},{"family":"Baulch","given":"Sarah"},{"family":"Atreya","given":"Meera E."},{"family":"Fischer","given":"David"},{"family":"He","given":"Kevin K."},{"family":"Petit","given":"Milan M."},{"family":"Sumaila","given":"U. Rashid"},{"family":"Neil","given":"Emily"},{"family":"Bernhofen","given":"Mark V."},{"family":"Lawrence","given":"Keith"},{"family":"Palardy","given":"James E."}],"issued":{"date-parts":[["2020",9,18]]}}}],"schema":"https://github.com/citation-style-language/schema/raw/master/csl-citation.json"} </w:instrText>
      </w:r>
      <w:r w:rsidRPr="00FC6DFD">
        <w:rPr>
          <w:rFonts w:ascii="Calibri" w:hAnsi="Calibri" w:cs="Calibri"/>
          <w:color w:val="2B579A"/>
        </w:rPr>
        <w:fldChar w:fldCharType="separate"/>
      </w:r>
      <w:r w:rsidRPr="0019786B">
        <w:rPr>
          <w:rFonts w:ascii="Calibri" w:hAnsi="Calibri" w:cs="Calibri"/>
        </w:rPr>
        <w:t>(</w:t>
      </w:r>
      <w:r w:rsidRPr="0019786B">
        <w:rPr>
          <w:rFonts w:ascii="Calibri" w:hAnsi="Calibri" w:cs="Calibri"/>
          <w:i/>
          <w:iCs/>
        </w:rPr>
        <w:t>24</w:t>
      </w:r>
      <w:r w:rsidRPr="0019786B">
        <w:rPr>
          <w:rFonts w:ascii="Calibri" w:hAnsi="Calibri" w:cs="Calibri"/>
        </w:rPr>
        <w:t xml:space="preserve">, </w:t>
      </w:r>
      <w:r w:rsidRPr="0019786B">
        <w:rPr>
          <w:rFonts w:ascii="Calibri" w:hAnsi="Calibri" w:cs="Calibri"/>
          <w:i/>
          <w:iCs/>
        </w:rPr>
        <w:t>26</w:t>
      </w:r>
      <w:r w:rsidRPr="0019786B">
        <w:rPr>
          <w:rFonts w:ascii="Calibri" w:hAnsi="Calibri" w:cs="Calibri"/>
        </w:rPr>
        <w:t>)</w:t>
      </w:r>
      <w:r w:rsidRPr="00FC6DFD">
        <w:rPr>
          <w:rFonts w:ascii="Calibri" w:hAnsi="Calibri" w:cs="Calibri"/>
          <w:color w:val="2B579A"/>
        </w:rPr>
        <w:fldChar w:fldCharType="end"/>
      </w:r>
      <w:r w:rsidRPr="00FC6DFD">
        <w:rPr>
          <w:rFonts w:ascii="Calibri" w:hAnsi="Calibri" w:cs="Calibri"/>
        </w:rPr>
        <w:t xml:space="preserve">. </w:t>
      </w:r>
    </w:p>
    <w:p w14:paraId="16CAD947" w14:textId="77777777" w:rsidR="00FA2316" w:rsidRPr="00FC6DFD" w:rsidRDefault="00FA2316" w:rsidP="00FA2316">
      <w:pPr>
        <w:spacing w:line="480" w:lineRule="auto"/>
        <w:rPr>
          <w:rFonts w:ascii="Calibri" w:hAnsi="Calibri" w:cs="Calibri"/>
        </w:rPr>
      </w:pPr>
    </w:p>
    <w:p w14:paraId="7EFE400C" w14:textId="414D6A44" w:rsidR="00FA2316" w:rsidRPr="00FC6DFD" w:rsidRDefault="00FA2316" w:rsidP="00FA2316">
      <w:pPr>
        <w:spacing w:line="480" w:lineRule="auto"/>
        <w:rPr>
          <w:rFonts w:ascii="Calibri" w:hAnsi="Calibri" w:cs="Calibri"/>
        </w:rPr>
      </w:pPr>
      <w:r w:rsidRPr="00FC6DFD">
        <w:rPr>
          <w:rFonts w:ascii="Calibri" w:hAnsi="Calibri" w:cs="Calibri"/>
        </w:rPr>
        <w:t xml:space="preserve">From this </w:t>
      </w:r>
      <w:r>
        <w:rPr>
          <w:rFonts w:ascii="Calibri" w:hAnsi="Calibri" w:cs="Calibri"/>
        </w:rPr>
        <w:t xml:space="preserve">domestic </w:t>
      </w:r>
      <w:r w:rsidRPr="00FC6DFD">
        <w:rPr>
          <w:rFonts w:ascii="Calibri" w:hAnsi="Calibri" w:cs="Calibri"/>
        </w:rPr>
        <w:t>mismanaged waste, we model that 3</w:t>
      </w:r>
      <w:r>
        <w:rPr>
          <w:rFonts w:ascii="Calibri" w:hAnsi="Calibri" w:cs="Calibri"/>
        </w:rPr>
        <w:t>4</w:t>
      </w:r>
      <w:r w:rsidRPr="00FC6DFD">
        <w:rPr>
          <w:rFonts w:ascii="Calibri" w:hAnsi="Calibri" w:cs="Calibri"/>
        </w:rPr>
        <w:t xml:space="preserve"> Mt (2</w:t>
      </w:r>
      <w:r>
        <w:rPr>
          <w:rFonts w:ascii="Calibri" w:hAnsi="Calibri" w:cs="Calibri"/>
        </w:rPr>
        <w:t>1</w:t>
      </w:r>
      <w:r w:rsidRPr="00FC6DFD">
        <w:rPr>
          <w:rFonts w:ascii="Calibri" w:hAnsi="Calibri" w:cs="Calibri"/>
        </w:rPr>
        <w:t>-</w:t>
      </w:r>
      <w:r>
        <w:rPr>
          <w:rFonts w:ascii="Calibri" w:hAnsi="Calibri" w:cs="Calibri"/>
        </w:rPr>
        <w:t>48</w:t>
      </w:r>
      <w:r w:rsidRPr="00FC6DFD">
        <w:rPr>
          <w:rFonts w:ascii="Calibri" w:hAnsi="Calibri" w:cs="Calibri"/>
        </w:rPr>
        <w:t xml:space="preserve"> Mt) entered the aquatic environment (i.e. lakes larger than 100 km</w:t>
      </w:r>
      <w:r w:rsidRPr="00FC6DFD">
        <w:rPr>
          <w:rFonts w:ascii="Calibri" w:hAnsi="Calibri" w:cs="Calibri"/>
          <w:vertAlign w:val="superscript"/>
        </w:rPr>
        <w:t>2</w:t>
      </w:r>
      <w:r w:rsidRPr="00FC6DFD">
        <w:rPr>
          <w:rFonts w:ascii="Calibri" w:hAnsi="Calibri" w:cs="Calibri"/>
        </w:rPr>
        <w:t xml:space="preserve">, oceans, and rivers with a 50% chance, or less, of intermittence of at least 1 day </w:t>
      </w:r>
      <w:r w:rsidRPr="004B597C">
        <w:rPr>
          <w:rFonts w:ascii="Calibri" w:hAnsi="Calibri" w:cs="Calibri"/>
        </w:rPr>
        <w:t xml:space="preserve">per year; </w:t>
      </w:r>
      <w:r w:rsidR="00C92372">
        <w:rPr>
          <w:rFonts w:ascii="Calibri" w:hAnsi="Calibri" w:cs="Calibri"/>
        </w:rPr>
        <w:t>Fig. 1</w:t>
      </w:r>
      <w:r w:rsidRPr="004B597C">
        <w:rPr>
          <w:rFonts w:ascii="Calibri" w:hAnsi="Calibri" w:cs="Calibri"/>
        </w:rPr>
        <w:t>). Our</w:t>
      </w:r>
      <w:r w:rsidRPr="00FC6DFD">
        <w:rPr>
          <w:rFonts w:ascii="Calibri" w:hAnsi="Calibri" w:cs="Calibri"/>
        </w:rPr>
        <w:t xml:space="preserve"> estimate of plastic waste entering the aquatic environment, is within the uncertainty ranges of the estimate presented by Borrelle et al. (2020), who modeled values of approximately 30Mt for 2019 </w:t>
      </w:r>
      <w:r w:rsidRPr="00FC6DFD">
        <w:rPr>
          <w:rFonts w:ascii="Calibri" w:hAnsi="Calibri" w:cs="Calibri"/>
          <w:color w:val="2B579A"/>
        </w:rPr>
        <w:fldChar w:fldCharType="begin"/>
      </w:r>
      <w:r>
        <w:rPr>
          <w:rFonts w:ascii="Calibri" w:hAnsi="Calibri" w:cs="Calibri"/>
        </w:rPr>
        <w:instrText xml:space="preserve"> ADDIN ZOTERO_ITEM CSL_CITATION {"citationID":"l0rztXlp","properties":{"formattedCitation":"({\\i{}22})","plainCitation":"(22)","noteIndex":0},"citationItems":[{"id":8,"uris":["http://zotero.org/users/local/qjhRH7RZ/items/XPELJXX7","http://zotero.org/users/11068333/items/XPELJXX7"],"itemData":{"id":8,"type":"article-journal","container-title":"Science","DOI":"10.1126/science.aba3656","issue":"6510","note":"publisher: American Association for the Advancement of Science","page":"1515-1518","source":"science.org (Atypon)","title":"Predicted growth in plastic waste exceeds efforts to mitigate plastic pollution","volume":"369","author":[{"family":"Borrelle","given":"Stephanie B."},{"family":"Ringma","given":"Jeremy"},{"family":"Law","given":"Kara Lavender"},{"family":"Monnahan","given":"Cole C."},{"family":"Lebreton","given":"Laurent"},{"family":"McGivern","given":"Alexis"},{"family":"Murphy","given":"Erin"},{"family":"Jambeck","given":"Jenna"},{"family":"Leonard","given":"George H."},{"family":"Hilleary","given":"Michelle A."},{"family":"Eriksen","given":"Marcus"},{"family":"Possingham","given":"Hugh P."},{"family":"De Frond","given":"Hannah"},{"family":"Gerber","given":"Leah R."},{"family":"Polidoro","given":"Beth"},{"family":"Tahir","given":"Akbar"},{"family":"Bernard","given":"Miranda"},{"family":"Mallos","given":"Nicholas"},{"family":"Barnes","given":"Megan"},{"family":"Rochman","given":"Chelsea M."}],"issued":{"date-parts":[["2020",9,18]]}}}],"schema":"https://github.com/citation-style-language/schema/raw/master/csl-citation.json"} </w:instrText>
      </w:r>
      <w:r w:rsidRPr="00FC6DFD">
        <w:rPr>
          <w:rFonts w:ascii="Calibri" w:hAnsi="Calibri" w:cs="Calibri"/>
          <w:color w:val="2B579A"/>
        </w:rPr>
        <w:fldChar w:fldCharType="separate"/>
      </w:r>
      <w:r w:rsidRPr="0019786B">
        <w:rPr>
          <w:rFonts w:ascii="Calibri" w:hAnsi="Calibri" w:cs="Calibri"/>
        </w:rPr>
        <w:t>(</w:t>
      </w:r>
      <w:r w:rsidRPr="0019786B">
        <w:rPr>
          <w:rFonts w:ascii="Calibri" w:hAnsi="Calibri" w:cs="Calibri"/>
          <w:i/>
          <w:iCs/>
        </w:rPr>
        <w:t>22</w:t>
      </w:r>
      <w:r w:rsidRPr="0019786B">
        <w:rPr>
          <w:rFonts w:ascii="Calibri" w:hAnsi="Calibri" w:cs="Calibri"/>
        </w:rPr>
        <w:t>)</w:t>
      </w:r>
      <w:r w:rsidRPr="00FC6DFD">
        <w:rPr>
          <w:rFonts w:ascii="Calibri" w:hAnsi="Calibri" w:cs="Calibri"/>
          <w:color w:val="2B579A"/>
        </w:rPr>
        <w:fldChar w:fldCharType="end"/>
      </w:r>
      <w:r w:rsidRPr="00FC6DFD">
        <w:rPr>
          <w:rFonts w:ascii="Calibri" w:hAnsi="Calibri" w:cs="Calibri"/>
        </w:rPr>
        <w:t>.</w:t>
      </w:r>
      <w:r w:rsidRPr="002A1D14">
        <w:rPr>
          <w:rFonts w:ascii="Calibri" w:hAnsi="Calibri" w:cs="Calibri"/>
        </w:rPr>
        <w:t xml:space="preserve"> </w:t>
      </w:r>
      <w:r w:rsidRPr="55B19B76">
        <w:rPr>
          <w:rFonts w:ascii="Calibri" w:hAnsi="Calibri" w:cs="Calibri"/>
        </w:rPr>
        <w:t xml:space="preserve">Most global plastic leakage to aquatic environments occurs in Asia (25 Mt), followed by Australasia (9 Mt; 8-10 Mt), and Africa (8 Mt; 7-9 Mt), whereby, China (8 Mt), Indonesia (6 Mt), and Russia (3 Mt) represent nations with significant sources of aquatic plastic pollution. The </w:t>
      </w:r>
      <w:r w:rsidRPr="00547052">
        <w:rPr>
          <w:rFonts w:ascii="Calibri" w:hAnsi="Calibri" w:cs="Calibri"/>
        </w:rPr>
        <w:t>most polluted watersheds were estimated to be the Yangtse in Asia (3 Mt), the Volga in Europe (1 Mt) and the Congo in Africa (1 Mt).</w:t>
      </w:r>
    </w:p>
    <w:p w14:paraId="7AEC0298" w14:textId="77777777" w:rsidR="00FA2316" w:rsidRPr="00FC6DFD" w:rsidRDefault="00FA2316" w:rsidP="00FA2316">
      <w:pPr>
        <w:spacing w:line="480" w:lineRule="auto"/>
        <w:rPr>
          <w:rFonts w:ascii="Calibri" w:hAnsi="Calibri" w:cs="Calibri"/>
        </w:rPr>
      </w:pPr>
    </w:p>
    <w:p w14:paraId="4B2C732F" w14:textId="557895B4" w:rsidR="00FA2316" w:rsidRDefault="00FA2316" w:rsidP="00FA2316">
      <w:pPr>
        <w:spacing w:line="480" w:lineRule="auto"/>
        <w:rPr>
          <w:rFonts w:ascii="Calibri" w:hAnsi="Calibri" w:cs="Calibri"/>
        </w:rPr>
      </w:pPr>
      <w:r>
        <w:rPr>
          <w:rFonts w:ascii="Calibri" w:hAnsi="Calibri" w:cs="Calibri"/>
        </w:rPr>
        <w:t>W</w:t>
      </w:r>
      <w:r w:rsidRPr="00FC6DFD">
        <w:rPr>
          <w:rFonts w:ascii="Calibri" w:hAnsi="Calibri" w:cs="Calibri"/>
        </w:rPr>
        <w:t>e model that 1</w:t>
      </w:r>
      <w:r>
        <w:rPr>
          <w:rFonts w:ascii="Calibri" w:hAnsi="Calibri" w:cs="Calibri"/>
        </w:rPr>
        <w:t>4</w:t>
      </w:r>
      <w:r w:rsidRPr="00FC6DFD">
        <w:rPr>
          <w:rFonts w:ascii="Calibri" w:hAnsi="Calibri" w:cs="Calibri"/>
        </w:rPr>
        <w:t xml:space="preserve"> Mt (</w:t>
      </w:r>
      <w:r>
        <w:rPr>
          <w:rFonts w:ascii="Calibri" w:hAnsi="Calibri" w:cs="Calibri"/>
        </w:rPr>
        <w:t>9</w:t>
      </w:r>
      <w:r w:rsidRPr="00FC6DFD">
        <w:rPr>
          <w:rFonts w:ascii="Calibri" w:hAnsi="Calibri" w:cs="Calibri"/>
        </w:rPr>
        <w:t>-</w:t>
      </w:r>
      <w:r>
        <w:rPr>
          <w:rFonts w:ascii="Calibri" w:hAnsi="Calibri" w:cs="Calibri"/>
        </w:rPr>
        <w:t>18</w:t>
      </w:r>
      <w:r w:rsidRPr="00FC6DFD">
        <w:rPr>
          <w:rFonts w:ascii="Calibri" w:hAnsi="Calibri" w:cs="Calibri"/>
        </w:rPr>
        <w:t xml:space="preserve"> Mt) of plastic waste directly entered coastal environments (i.e. aquatic environments within 50 </w:t>
      </w:r>
      <w:r w:rsidRPr="004B597C">
        <w:rPr>
          <w:rFonts w:ascii="Calibri" w:hAnsi="Calibri" w:cs="Calibri"/>
        </w:rPr>
        <w:t>km of a coastline;</w:t>
      </w:r>
      <w:r w:rsidR="00C92372">
        <w:rPr>
          <w:rFonts w:ascii="Calibri" w:hAnsi="Calibri" w:cs="Calibri"/>
        </w:rPr>
        <w:t xml:space="preserve"> Fig. 1</w:t>
      </w:r>
      <w:r w:rsidRPr="004B597C">
        <w:rPr>
          <w:rFonts w:ascii="Calibri" w:hAnsi="Calibri" w:cs="Calibri"/>
        </w:rPr>
        <w:t>). Although</w:t>
      </w:r>
      <w:r w:rsidRPr="00FC6DFD">
        <w:rPr>
          <w:rFonts w:ascii="Calibri" w:hAnsi="Calibri" w:cs="Calibri"/>
        </w:rPr>
        <w:t xml:space="preserve"> our estimate is higher than </w:t>
      </w:r>
      <w:r w:rsidRPr="00FC6DFD">
        <w:rPr>
          <w:rFonts w:ascii="Calibri" w:hAnsi="Calibri" w:cs="Calibri"/>
        </w:rPr>
        <w:lastRenderedPageBreak/>
        <w:t xml:space="preserve">Jambeck et al.’s 2010 estimate of 4.8-12.7 Mts, our global average conversion of mismanaged waste plastic to coastal aquatic environments of 14%, calculated using spatially detailed mismanaged waste and aquatic features, is lower than Jambeck et al.’s original global assumption of 25% </w:t>
      </w:r>
      <w:r w:rsidRPr="00FC6DFD">
        <w:rPr>
          <w:rFonts w:ascii="Calibri" w:hAnsi="Calibri" w:cs="Calibri"/>
          <w:color w:val="2B579A"/>
        </w:rPr>
        <w:fldChar w:fldCharType="begin"/>
      </w:r>
      <w:r>
        <w:rPr>
          <w:rFonts w:ascii="Calibri" w:hAnsi="Calibri" w:cs="Calibri"/>
        </w:rPr>
        <w:instrText xml:space="preserve"> ADDIN ZOTERO_ITEM CSL_CITATION {"citationID":"LiXyCV1z","properties":{"formattedCitation":"({\\i{}25})","plainCitation":"(25)","noteIndex":0},"citationItems":[{"id":3,"uris":["http://zotero.org/users/local/qjhRH7RZ/items/2SQYA4WU","http://zotero.org/users/11068333/items/2SQYA4WU"],"itemData":{"id":3,"type":"article-journal","container-title":"Science","DOI":"10.1126/science.1260352","issue":"6223","note":"publisher: American Association for the Advancement of Science","page":"768-771","source":"science.org (Atypon)","title":"Plastic waste inputs from land into the ocean","volume":"347","author":[{"family":"Jambeck","given":"Jenna R."},{"family":"Geyer","given":"Roland"},{"family":"Wilcox","given":"Chris"},{"family":"Siegler","given":"Theodore R."},{"family":"Perryman","given":"Miriam"},{"family":"Andrady","given":"Anthony"},{"family":"Narayan","given":"Ramani"},{"family":"Law","given":"Kara Lavender"}],"issued":{"date-parts":[["2015",2,13]]}}}],"schema":"https://github.com/citation-style-language/schema/raw/master/csl-citation.json"} </w:instrText>
      </w:r>
      <w:r w:rsidRPr="00FC6DFD">
        <w:rPr>
          <w:rFonts w:ascii="Calibri" w:hAnsi="Calibri" w:cs="Calibri"/>
          <w:color w:val="2B579A"/>
        </w:rPr>
        <w:fldChar w:fldCharType="separate"/>
      </w:r>
      <w:r w:rsidRPr="0019786B">
        <w:rPr>
          <w:rFonts w:ascii="Calibri" w:hAnsi="Calibri" w:cs="Calibri"/>
        </w:rPr>
        <w:t>(</w:t>
      </w:r>
      <w:r w:rsidRPr="0019786B">
        <w:rPr>
          <w:rFonts w:ascii="Calibri" w:hAnsi="Calibri" w:cs="Calibri"/>
          <w:i/>
          <w:iCs/>
        </w:rPr>
        <w:t>25</w:t>
      </w:r>
      <w:r w:rsidRPr="0019786B">
        <w:rPr>
          <w:rFonts w:ascii="Calibri" w:hAnsi="Calibri" w:cs="Calibri"/>
        </w:rPr>
        <w:t>)</w:t>
      </w:r>
      <w:r w:rsidRPr="00FC6DFD">
        <w:rPr>
          <w:rFonts w:ascii="Calibri" w:hAnsi="Calibri" w:cs="Calibri"/>
          <w:color w:val="2B579A"/>
        </w:rPr>
        <w:fldChar w:fldCharType="end"/>
      </w:r>
      <w:r w:rsidRPr="00FC6DFD">
        <w:rPr>
          <w:rFonts w:ascii="Calibri" w:hAnsi="Calibri" w:cs="Calibri"/>
        </w:rPr>
        <w:t xml:space="preserve">. The expected increase in total waste reaching coastal environments is a result of increased plastic waste generation per capita and population growth between 2010 and 2019 </w:t>
      </w:r>
      <w:r w:rsidRPr="00FC6DFD">
        <w:rPr>
          <w:rFonts w:ascii="Calibri" w:hAnsi="Calibri" w:cs="Calibri"/>
          <w:color w:val="2B579A"/>
        </w:rPr>
        <w:fldChar w:fldCharType="begin"/>
      </w:r>
      <w:r>
        <w:rPr>
          <w:rFonts w:ascii="Calibri" w:hAnsi="Calibri" w:cs="Calibri"/>
        </w:rPr>
        <w:instrText xml:space="preserve"> ADDIN ZOTERO_ITEM CSL_CITATION {"citationID":"a4Iqcpuc","properties":{"formattedCitation":"({\\i{}42}, {\\i{}46})","plainCitation":"(42, 46)","noteIndex":0},"citationItems":[{"id":38,"uris":["http://zotero.org/users/local/qjhRH7RZ/items/5CWKVVTF","http://zotero.org/users/11068333/items/5CWKVVTF"],"itemData":{"id":38,"type":"book","abstract":"By 2050, the world is expected to generate 3.40 billion tons of waste annually, increasing drastically from today’s 2.01 billion tons. What a Waste 2.0: A Global Snapshot of Solid Waste Management to 2050 aggregates extensive solid waste data at the national and urban levels. It estimates and projects waste generation to 2030 and 2050. Beyond the core data metrics from waste generation to disposal, the report provides information on waste management costs, revenues, and tariffs; special wastes; regulations; public communication; administrative and operational models; and the informal sector.","event-place":"Washington, DC","ISBN":"978-1-4648-1329-0","language":"English","license":"http://creativecommons.org/licenses/by/3.0/igo","note":"Accepted: 2018-08-31T16:25:22Z\nDOI: 10.1596/978-1-4648-1329-0","publisher":"World Bank","publisher-place":"Washington, DC","source":"openknowledge.worldbank.org","title":"What a Waste 2.0: A Global Snapshot of Solid Waste Management to 2050","title-short":"What a Waste 2.0","URL":"https://openknowledge.worldbank.org/handle/10986/30317","author":[{"family":"Kaza","given":"Silpa"},{"family":"Yao","given":"Lisa C."},{"family":"Bhada-Tata","given":"Perinaz"},{"family":"Van Woerden","given":"Frank"}],"accessed":{"date-parts":[["2022",9,30]]},"issued":{"date-parts":[["2018",9,20]]}}},{"id":66,"uris":["http://zotero.org/users/local/qjhRH7RZ/items/WV4LPGMT","http://zotero.org/users/11068333/items/WV4LPGMT"],"itemData":{"id":66,"type":"dataset","abstract":"RF-based aggregated (from 100m) gridded population distribution datasets produced in the framework of the Global Project - Funded by The Bill and Melinda Gates Foundation (OPP1134076)","DOI":"10.5258/SOTON/WP00647","language":"en","publisher":"University of Southampton","source":"DOI.org (Datacite)","title":"Global 1km Population","URL":"https://www.worldpop.org/doi/10.5258/SOTON/WP00647","author":[{"family":"WorldPop","given":""}],"accessed":{"date-parts":[["2022",11,7]]},"issued":{"date-parts":[["2018"]]}}}],"schema":"https://github.com/citation-style-language/schema/raw/master/csl-citation.json"} </w:instrText>
      </w:r>
      <w:r w:rsidRPr="00FC6DFD">
        <w:rPr>
          <w:rFonts w:ascii="Calibri" w:hAnsi="Calibri" w:cs="Calibri"/>
          <w:color w:val="2B579A"/>
        </w:rPr>
        <w:fldChar w:fldCharType="separate"/>
      </w:r>
      <w:r w:rsidRPr="0042154F">
        <w:rPr>
          <w:rFonts w:ascii="Calibri" w:hAnsi="Calibri" w:cs="Calibri"/>
        </w:rPr>
        <w:t>(</w:t>
      </w:r>
      <w:r w:rsidRPr="0042154F">
        <w:rPr>
          <w:rFonts w:ascii="Calibri" w:hAnsi="Calibri" w:cs="Calibri"/>
          <w:i/>
          <w:iCs/>
        </w:rPr>
        <w:t>42</w:t>
      </w:r>
      <w:r w:rsidRPr="0042154F">
        <w:rPr>
          <w:rFonts w:ascii="Calibri" w:hAnsi="Calibri" w:cs="Calibri"/>
        </w:rPr>
        <w:t xml:space="preserve">, </w:t>
      </w:r>
      <w:r w:rsidRPr="0042154F">
        <w:rPr>
          <w:rFonts w:ascii="Calibri" w:hAnsi="Calibri" w:cs="Calibri"/>
          <w:i/>
          <w:iCs/>
        </w:rPr>
        <w:t>46</w:t>
      </w:r>
      <w:r w:rsidRPr="0042154F">
        <w:rPr>
          <w:rFonts w:ascii="Calibri" w:hAnsi="Calibri" w:cs="Calibri"/>
        </w:rPr>
        <w:t>)</w:t>
      </w:r>
      <w:r w:rsidRPr="00FC6DFD">
        <w:rPr>
          <w:rFonts w:ascii="Calibri" w:hAnsi="Calibri" w:cs="Calibri"/>
          <w:color w:val="2B579A"/>
        </w:rPr>
        <w:fldChar w:fldCharType="end"/>
      </w:r>
      <w:r w:rsidRPr="00FC6DFD">
        <w:rPr>
          <w:rFonts w:ascii="Calibri" w:hAnsi="Calibri" w:cs="Calibri"/>
        </w:rPr>
        <w:t>.</w:t>
      </w:r>
      <w:r>
        <w:rPr>
          <w:rFonts w:ascii="Calibri" w:hAnsi="Calibri" w:cs="Calibri"/>
        </w:rPr>
        <w:t xml:space="preserve"> </w:t>
      </w:r>
    </w:p>
    <w:p w14:paraId="034BB68F" w14:textId="77777777" w:rsidR="00FA2316" w:rsidRDefault="00FA2316" w:rsidP="00FA2316">
      <w:pPr>
        <w:spacing w:line="480" w:lineRule="auto"/>
        <w:rPr>
          <w:rFonts w:ascii="Calibri" w:hAnsi="Calibri" w:cs="Calibri"/>
        </w:rPr>
      </w:pPr>
    </w:p>
    <w:p w14:paraId="0AA72F52" w14:textId="0CED37A8" w:rsidR="00FA2316" w:rsidRPr="001B4D99" w:rsidRDefault="00FA2316" w:rsidP="00FA2316">
      <w:pPr>
        <w:spacing w:line="480" w:lineRule="auto"/>
        <w:rPr>
          <w:rFonts w:ascii="Calibri" w:hAnsi="Calibri" w:cs="Calibri"/>
          <w:color w:val="000000"/>
        </w:rPr>
      </w:pPr>
      <w:r w:rsidRPr="55B19B76">
        <w:rPr>
          <w:rFonts w:ascii="Calibri" w:hAnsi="Calibri" w:cs="Calibri"/>
        </w:rPr>
        <w:t>Finally, we model that 1.</w:t>
      </w:r>
      <w:r>
        <w:rPr>
          <w:rFonts w:ascii="Calibri" w:hAnsi="Calibri" w:cs="Calibri"/>
        </w:rPr>
        <w:t>7</w:t>
      </w:r>
      <w:r w:rsidRPr="55B19B76">
        <w:rPr>
          <w:rFonts w:ascii="Calibri" w:hAnsi="Calibri" w:cs="Calibri"/>
        </w:rPr>
        <w:t xml:space="preserve"> Mt</w:t>
      </w:r>
      <w:r>
        <w:rPr>
          <w:rFonts w:ascii="Calibri" w:hAnsi="Calibri" w:cs="Calibri"/>
        </w:rPr>
        <w:t xml:space="preserve"> (</w:t>
      </w:r>
      <w:r w:rsidRPr="003F3A83">
        <w:rPr>
          <w:rFonts w:ascii="Calibri" w:hAnsi="Calibri" w:cs="Calibri"/>
        </w:rPr>
        <w:t>1.1-2.2 Mt</w:t>
      </w:r>
      <w:r>
        <w:rPr>
          <w:rFonts w:ascii="Calibri" w:hAnsi="Calibri" w:cs="Calibri"/>
        </w:rPr>
        <w:t>)</w:t>
      </w:r>
      <w:r w:rsidRPr="55B19B76">
        <w:rPr>
          <w:rFonts w:ascii="Calibri" w:hAnsi="Calibri" w:cs="Calibri"/>
        </w:rPr>
        <w:t xml:space="preserve"> of plastic waste entered oceans via rivers in 2019</w:t>
      </w:r>
      <w:r>
        <w:rPr>
          <w:rFonts w:ascii="Calibri" w:hAnsi="Calibri" w:cs="Calibri"/>
        </w:rPr>
        <w:t xml:space="preserve">. Although estimates of plastic waste transported to oceans have yielded a wide range of results both at the global (0.47-2.75 Mt) and river scale, our results are generally </w:t>
      </w:r>
      <w:r w:rsidRPr="55B19B76">
        <w:rPr>
          <w:rFonts w:ascii="Calibri" w:hAnsi="Calibri" w:cs="Calibri"/>
        </w:rPr>
        <w:t>in line with previous</w:t>
      </w:r>
      <w:r>
        <w:rPr>
          <w:rFonts w:ascii="Calibri" w:hAnsi="Calibri" w:cs="Calibri"/>
        </w:rPr>
        <w:t xml:space="preserve"> </w:t>
      </w:r>
      <w:r w:rsidRPr="55B19B76">
        <w:rPr>
          <w:rFonts w:ascii="Calibri" w:hAnsi="Calibri" w:cs="Calibri"/>
        </w:rPr>
        <w:t>estimates</w:t>
      </w:r>
      <w:r>
        <w:rPr>
          <w:rFonts w:ascii="Calibri" w:hAnsi="Calibri" w:cs="Calibri"/>
        </w:rPr>
        <w:t xml:space="preserve"> of both scales that have included macroplastics</w:t>
      </w:r>
      <w:r w:rsidRPr="55B19B76">
        <w:rPr>
          <w:rFonts w:ascii="Calibri" w:hAnsi="Calibri" w:cs="Calibri"/>
        </w:rPr>
        <w:t xml:space="preserve"> </w:t>
      </w:r>
      <w:r w:rsidRPr="55B19B76">
        <w:rPr>
          <w:rFonts w:ascii="Calibri" w:hAnsi="Calibri" w:cs="Calibri"/>
        </w:rPr>
        <w:fldChar w:fldCharType="begin"/>
      </w:r>
      <w:r>
        <w:rPr>
          <w:rFonts w:ascii="Calibri" w:hAnsi="Calibri" w:cs="Calibri"/>
        </w:rPr>
        <w:instrText xml:space="preserve"> ADDIN ZOTERO_ITEM CSL_CITATION {"citationID":"7m6Smx2K","properties":{"formattedCitation":"({\\i{}23}, {\\i{}27}, {\\i{}28}, {\\i{}58})","plainCitation":"(23, 27, 28, 58)","noteIndex":0},"citationItems":[{"id":1516,"uris":["http://zotero.org/users/11068333/items/AVQVV5SG"],"itemData":{"id":1516,"type":"article-journal","abstract":"Plastics in the marine environment have become a major concern because of their persistence at sea, and adverse consequences to marine life and potentially human health. Implementing mitigation strategies requires an understanding and quantification of marine plastic sources, taking spatial and temporal variability into account. Here we present a global model of plastic inputs from rivers into oceans based on waste management, population density and hydrological information. Our model is calibrated against measurements available in the literature. We estimate that between 1.15 and 2.41 million tonnes of plastic waste currently enters the ocean every year from rivers, with over 74% of emissions occurring between May and October. The top 20 polluting rivers, mostly located in Asia, account for 67% of the global total. The findings of this study provide baseline data for ocean plastic mass balance exercises, and assist in prioritizing future plastic debris monitoring and mitigation strategies.","container-title":"Nature Communications","DOI":"10.1038/ncomms15611","ISSN":"2041-1723","issue":"1","journalAbbreviation":"Nat Commun","language":"en","license":"2017 The Author(s)","note":"number: 1\npublisher: Nature Publishing Group","page":"15611","source":"www.nature.com","title":"River plastic emissions to the world’s oceans","volume":"8","author":[{"family":"Lebreton","given":"Laurent C. M."},{"family":"Zwet","given":"Joost","non-dropping-particle":"van der"},{"family":"Damsteeg","given":"Jan-Willem"},{"family":"Slat","given":"Boyan"},{"family":"Andrady","given":"Anthony"},{"family":"Reisser","given":"Julia"}],"issued":{"date-parts":[["2017",6,7]]}}},{"id":30,"uris":["http://zotero.org/users/11068333/items/AFI9U7PM"],"itemData":{"id":30,"type":"book","ISBN":"978-92-64-65494-5","language":"en","note":"DOI: 10.1787/de747aef-en","publisher":"OECD","source":"DOI.org (Crossref)","title":"Global Plastics Outlook: Economic Drivers, Environmental Impacts and Policy Options","title-short":"Global Plastics Outlook","URL":"https://www.oecd-ilibrary.org/environment/global-plastics-outlook_de747aef-en","author":[{"literal":"OECD"}],"accessed":{"date-parts":[["2022",9,30]]},"issued":{"date-parts":[["2022",2,22]]}}},{"id":11,"uris":["http://zotero.org/users/11068333/items/6BI59QZ2"],"itemData":{"id":11,"type":"article-journal","container-title":"Science Advances","DOI":"10.1126/sciadv.aaz5803","issue":"18","note":"publisher: American Association for the Advancement of Science","page":"eaaz5803","source":"science.org (Atypon)","title":"More than 1000 rivers account for 80% of global riverine plastic emissions into the ocean","volume":"7","author":[{"family":"Meijer","given":"Lourens J. J."},{"family":"Emmerik","given":"Tim","non-dropping-particle":"van"},{"family":"Ent","given":"Ruud","non-dropping-particle":"van der"},{"family":"Schmidt","given":"Christian"},{"family":"Lebreton","given":"Laurent"}],"issued":{"date-parts":[["2021",4,30]]}}},{"id":1522,"uris":["http://zotero.org/users/11068333/items/BSTJGFE6"],"itemData":{"id":1522,"type":"article-journal","abstract":"A substantial fraction of marine plastic debris originates from land-based sources and rivers potentially act as a major transport pathway for all sizes of plastic debris. We analyzed a global compilation of data on plastic debris in the water column across a wide range of river sizes. Plastic debris loads, both microplastic (particles &lt;5 mm) and macroplastic (particles &gt;5 mm) are positively related to the mismanaged plastic waste (MMPW) generated in the river catchments. This relationship is nonlinear where large rivers with  population-rich catchments delivering a disproportionately higher fraction of MMPW into the sea. The 10 top-ranked rivers transport 88–95% of the global load into the sea. Using MMPW as a predictor we calculate the global plastic debris inputs form rivers into the sea to range between 0.41 and 4 × 106 t/y. Due to the limited amount of data high uncertainties were expected and ultimately confirmed. The empirical analysis to quantify plastic loads in rivers can be extended easily by additional potential predictors other than MMPW, for example, hydrological conditions.","container-title":"Environmental Science &amp; Technology","DOI":"10.1021/acs.est.7b02368","ISSN":"0013-936X","issue":"21","journalAbbreviation":"Environ. Sci. Technol.","note":"publisher: American Chemical Society","page":"12246-12253","source":"ACS Publications","title":"Export of Plastic Debris by Rivers into the Sea","volume":"51","author":[{"family":"Schmidt","given":"Christian"},{"family":"Krauth","given":"Tobias"},{"family":"Wagner","given":"Stephan"}],"issued":{"date-parts":[["2017",11,7]]}}}],"schema":"https://github.com/citation-style-language/schema/raw/master/csl-citation.json"} </w:instrText>
      </w:r>
      <w:r w:rsidRPr="55B19B76">
        <w:rPr>
          <w:rFonts w:ascii="Calibri" w:hAnsi="Calibri" w:cs="Calibri"/>
        </w:rPr>
        <w:fldChar w:fldCharType="separate"/>
      </w:r>
      <w:r w:rsidRPr="006F1347">
        <w:rPr>
          <w:rFonts w:ascii="Calibri" w:hAnsi="Calibri" w:cs="Calibri"/>
        </w:rPr>
        <w:t>(</w:t>
      </w:r>
      <w:r w:rsidRPr="006F1347">
        <w:rPr>
          <w:rFonts w:ascii="Calibri" w:hAnsi="Calibri" w:cs="Calibri"/>
          <w:i/>
          <w:iCs/>
        </w:rPr>
        <w:t>23</w:t>
      </w:r>
      <w:r w:rsidRPr="006F1347">
        <w:rPr>
          <w:rFonts w:ascii="Calibri" w:hAnsi="Calibri" w:cs="Calibri"/>
        </w:rPr>
        <w:t xml:space="preserve">, </w:t>
      </w:r>
      <w:r w:rsidRPr="006F1347">
        <w:rPr>
          <w:rFonts w:ascii="Calibri" w:hAnsi="Calibri" w:cs="Calibri"/>
          <w:i/>
          <w:iCs/>
        </w:rPr>
        <w:t>27</w:t>
      </w:r>
      <w:r w:rsidRPr="006F1347">
        <w:rPr>
          <w:rFonts w:ascii="Calibri" w:hAnsi="Calibri" w:cs="Calibri"/>
        </w:rPr>
        <w:t xml:space="preserve">, </w:t>
      </w:r>
      <w:r w:rsidRPr="006F1347">
        <w:rPr>
          <w:rFonts w:ascii="Calibri" w:hAnsi="Calibri" w:cs="Calibri"/>
          <w:i/>
          <w:iCs/>
        </w:rPr>
        <w:t>28</w:t>
      </w:r>
      <w:r w:rsidRPr="006F1347">
        <w:rPr>
          <w:rFonts w:ascii="Calibri" w:hAnsi="Calibri" w:cs="Calibri"/>
        </w:rPr>
        <w:t xml:space="preserve">, </w:t>
      </w:r>
      <w:r w:rsidRPr="006F1347">
        <w:rPr>
          <w:rFonts w:ascii="Calibri" w:hAnsi="Calibri" w:cs="Calibri"/>
          <w:i/>
          <w:iCs/>
        </w:rPr>
        <w:t>58</w:t>
      </w:r>
      <w:r w:rsidRPr="006F1347">
        <w:rPr>
          <w:rFonts w:ascii="Calibri" w:hAnsi="Calibri" w:cs="Calibri"/>
        </w:rPr>
        <w:t>)</w:t>
      </w:r>
      <w:r w:rsidRPr="55B19B76">
        <w:rPr>
          <w:rFonts w:ascii="Calibri" w:hAnsi="Calibri" w:cs="Calibri"/>
        </w:rPr>
        <w:fldChar w:fldCharType="end"/>
      </w:r>
      <w:r w:rsidRPr="55B19B76">
        <w:rPr>
          <w:rFonts w:ascii="Calibri" w:hAnsi="Calibri" w:cs="Calibri"/>
        </w:rPr>
        <w:t xml:space="preserve">. </w:t>
      </w:r>
      <w:r>
        <w:rPr>
          <w:rFonts w:ascii="Calibri" w:hAnsi="Calibri" w:cs="Calibri"/>
        </w:rPr>
        <w:t>Our results indicate that the river to ocean plastic flux is dominated by pollution within Asian rivers, though direct riverine comparisons are difficult as the ranges of previous estimates span four orders of magnitude. For instance, plastic pollution estimates in the Yangtze River range between 471-1.54*10</w:t>
      </w:r>
      <w:r w:rsidRPr="008903AE">
        <w:rPr>
          <w:rFonts w:ascii="Calibri" w:hAnsi="Calibri" w:cs="Calibri"/>
          <w:vertAlign w:val="superscript"/>
        </w:rPr>
        <w:t>6</w:t>
      </w:r>
      <w:r>
        <w:rPr>
          <w:rFonts w:ascii="Calibri" w:hAnsi="Calibri" w:cs="Calibri"/>
        </w:rPr>
        <w:t xml:space="preserve"> tons and 10-1.76*10</w:t>
      </w:r>
      <w:r w:rsidRPr="008903AE">
        <w:rPr>
          <w:rFonts w:ascii="Calibri" w:hAnsi="Calibri" w:cs="Calibri"/>
          <w:vertAlign w:val="superscript"/>
        </w:rPr>
        <w:t>5</w:t>
      </w:r>
      <w:r>
        <w:rPr>
          <w:rFonts w:ascii="Calibri" w:hAnsi="Calibri" w:cs="Calibri"/>
        </w:rPr>
        <w:t xml:space="preserve"> tons in the Indus River </w:t>
      </w:r>
      <w:r>
        <w:rPr>
          <w:rFonts w:ascii="Calibri" w:hAnsi="Calibri" w:cs="Calibri"/>
        </w:rPr>
        <w:fldChar w:fldCharType="begin"/>
      </w:r>
      <w:r>
        <w:rPr>
          <w:rFonts w:ascii="Calibri" w:hAnsi="Calibri" w:cs="Calibri"/>
        </w:rPr>
        <w:instrText xml:space="preserve"> ADDIN ZOTERO_ITEM CSL_CITATION {"citationID":"frBXYJt4","properties":{"formattedCitation":"({\\i{}59})","plainCitation":"(59)","noteIndex":0},"citationItems":[{"id":1526,"uris":["http://zotero.org/users/11068333/items/4RBCHF9X"],"itemData":{"id":1526,"type":"article-journal","abstract":"Estimates of plastic input from rivers to ocean vary by up to five orders of magnitude. Harmonization of field data used to calibrate models and a better understanding of transport processes are key to reducing these uncertainties, contributing to meaningful assessments of the effectiveness of environmental regulations against plastic pollution.","container-title":"Nature Reviews Earth &amp; Environment","DOI":"10.1038/s43017-023-00448-3","ISSN":"2662-138X","journalAbbreviation":"Nat Rev Earth Environ","language":"en","license":"2023 Springer Nature Limited","note":"publisher: Nature Publishing Group","page":"1-3","source":"www.nature.com","title":"Diverging estimates of river plastic input to the ocean","author":[{"family":"González-Fernández","given":"Daniel"},{"family":"Roebroek","given":"Caspar T. J."},{"family":"Laufkötter","given":"Charlotte"},{"family":"Cózar","given":"Andrés"},{"family":"Emmerik","given":"Tim H. M.","non-dropping-particle":"van"}],"issued":{"date-parts":[["2023",6,12]]}}}],"schema":"https://github.com/citation-style-language/schema/raw/master/csl-citation.json"} </w:instrText>
      </w:r>
      <w:r>
        <w:rPr>
          <w:rFonts w:ascii="Calibri" w:hAnsi="Calibri" w:cs="Calibri"/>
        </w:rPr>
        <w:fldChar w:fldCharType="separate"/>
      </w:r>
      <w:r w:rsidRPr="006F1347">
        <w:rPr>
          <w:rFonts w:ascii="Calibri" w:hAnsi="Calibri" w:cs="Calibri"/>
        </w:rPr>
        <w:t>(</w:t>
      </w:r>
      <w:r w:rsidRPr="006F1347">
        <w:rPr>
          <w:rFonts w:ascii="Calibri" w:hAnsi="Calibri" w:cs="Calibri"/>
          <w:i/>
          <w:iCs/>
        </w:rPr>
        <w:t>59</w:t>
      </w:r>
      <w:r w:rsidRPr="006F1347">
        <w:rPr>
          <w:rFonts w:ascii="Calibri" w:hAnsi="Calibri" w:cs="Calibri"/>
        </w:rPr>
        <w:t>)</w:t>
      </w:r>
      <w:r>
        <w:rPr>
          <w:rFonts w:ascii="Calibri" w:hAnsi="Calibri" w:cs="Calibri"/>
        </w:rPr>
        <w:fldChar w:fldCharType="end"/>
      </w:r>
      <w:r>
        <w:rPr>
          <w:rFonts w:ascii="Calibri" w:hAnsi="Calibri" w:cs="Calibri"/>
        </w:rPr>
        <w:t xml:space="preserve">. Nonetheless, our estimates by river generally fall within these wide </w:t>
      </w:r>
      <w:r w:rsidRPr="006C29D3">
        <w:rPr>
          <w:rFonts w:ascii="Calibri" w:hAnsi="Calibri" w:cs="Calibri"/>
        </w:rPr>
        <w:t>ranges (river estimates available i</w:t>
      </w:r>
      <w:r w:rsidRPr="00B851F0">
        <w:rPr>
          <w:rFonts w:ascii="Calibri" w:hAnsi="Calibri" w:cs="Calibri"/>
        </w:rPr>
        <w:t xml:space="preserve">n </w:t>
      </w:r>
      <w:r w:rsidR="007C6699" w:rsidRPr="00B851F0">
        <w:rPr>
          <w:rFonts w:ascii="Calibri" w:hAnsi="Calibri" w:cs="Calibri"/>
        </w:rPr>
        <w:t xml:space="preserve">Supplementary Table </w:t>
      </w:r>
      <w:r w:rsidRPr="00B851F0">
        <w:rPr>
          <w:rFonts w:ascii="Calibri" w:hAnsi="Calibri" w:cs="Calibri"/>
        </w:rPr>
        <w:t>5</w:t>
      </w:r>
      <w:r>
        <w:rPr>
          <w:rFonts w:ascii="Calibri" w:hAnsi="Calibri" w:cs="Calibri"/>
        </w:rPr>
        <w:t>).</w:t>
      </w:r>
      <w:r>
        <w:rPr>
          <w:rFonts w:ascii="Calibri" w:hAnsi="Calibri" w:cs="Calibri"/>
          <w:color w:val="000000"/>
        </w:rPr>
        <w:t xml:space="preserve"> </w:t>
      </w:r>
      <w:r>
        <w:rPr>
          <w:rFonts w:ascii="Calibri" w:hAnsi="Calibri" w:cs="Calibri"/>
        </w:rPr>
        <w:t>T</w:t>
      </w:r>
      <w:r w:rsidRPr="00547052">
        <w:rPr>
          <w:rFonts w:ascii="Calibri" w:hAnsi="Calibri" w:cs="Calibri"/>
        </w:rPr>
        <w:t xml:space="preserve">he vast majority of ocean plastic originates in the marine environments of the Malay Archipelago and Chinese coastline (910 kilotons; kt), but are also found to pollute the Bay of Bengal (77 kt), the Caribbean Sea (46 kt), Northern European Seas (27 kt) and the Gulf of Guinea (26 kt), threatening biodiverse Ecomarine regions across the planet </w:t>
      </w:r>
      <w:r w:rsidRPr="00547052">
        <w:rPr>
          <w:rFonts w:ascii="Calibri" w:hAnsi="Calibri" w:cs="Calibri"/>
        </w:rPr>
        <w:fldChar w:fldCharType="begin"/>
      </w:r>
      <w:r>
        <w:rPr>
          <w:rFonts w:ascii="Calibri" w:hAnsi="Calibri" w:cs="Calibri"/>
        </w:rPr>
        <w:instrText xml:space="preserve"> ADDIN ZOTERO_ITEM CSL_CITATION {"citationID":"6m0MmJwU","properties":{"formattedCitation":"({\\i{}60}, {\\i{}61})","plainCitation":"(60, 61)","noteIndex":0},"citationItems":[{"id":1470,"uris":["http://zotero.org/users/11068333/items/TELKJ7H7"],"itemData":{"id":1470,"type":"article-journal","abstract":"The ocean holds much of the planet's biodiversity, yet &lt;4% of the ocean is within protected areas. On land, the protecting of areas with low biodiversity and under little threat, rather than biodiversity hotspots, is a well-known problem. Prudence suggests that we not repeat this pattern in the ocean. Here we assessed patterns of global marine biodiversity by evaluating the protections of 4352 species for which geographic ranges are known, and mapping priority areas using an index that considers species vulnerability, coverage by marine protected areas (MPAs), and human impacts. Species have, on average, only 3.6% of their range protected. Moreover, species of conservation concern (threatened, small-ranged, and data deficient) have less protection than species on average. Only 5 nations currently protect 10% or more of their exclusive economic zone (EEZ) as strict Marine Reserves (IUCN category I–IV) in accord with the 2020 Aichi Biodiversity Targets. One nation by itself, Australia, accounts for 65% of the global area of Marine Reserves. The Coral Triangle is the clear and dominant global priority for biodiversity, but we identify additional global and regional priorities in each ocean basin. As an example, we show that for the United States, the Marianas and Samoan Islands are the top marine conservation priorities. Despite recent advances, the world has yet to protect most of the area and species that need it. Where to protect those species, however, is increasingly clear.","container-title":"Biological Conservation","DOI":"10.1016/j.biocon.2016.10.005","ISSN":"0006-3207","journalAbbreviation":"Biological Conservation","language":"en","page":"333-339","source":"ScienceDirect","title":"Global and regional priorities for marine biodiversity protection","volume":"204","author":[{"family":"Jenkins","given":"Clinton N."},{"family":"Van Houtan","given":"Kyle S."}],"issued":{"date-parts":[["2016",12,1]]}}},{"id":1467,"uris":["http://zotero.org/users/11068333/items/7DTDPH4N"],"itemData":{"id":1467,"type":"article-journal","container-title":"BioScience","DOI":"10.1641/0006-3568(2001)051[0933:TEOTWA]2.0.CO;2","ISSN":"0006-3568","issue":"11","journalAbbreviation":"BioScience","page":"933-938","source":"Silverchair","title":"Terrestrial Ecoregions of the World: A New Map of Life on Earth: A new global map of terrestrial ecoregions provides an innovative tool for conserving biodiversity","title-short":"Terrestrial Ecoregions of the World","volume":"51","author":[{"family":"Olson","given":"David M."},{"family":"Dinerstein","given":"Eric"},{"family":"Wikramanayake","given":"Eric D."},{"family":"Burgess","given":"Neil D."},{"family":"Powell","given":"George V. N."},{"family":"Underwood","given":"Emma C."},{"family":"D'amico","given":"Jennifer A."},{"family":"Itoua","given":"Illanga"},{"family":"Strand","given":"Holly E."},{"family":"Morrison","given":"John C."},{"family":"Loucks","given":"Colby J."},{"family":"Allnutt","given":"Thomas F."},{"family":"Ricketts","given":"Taylor H."},{"family":"Kura","given":"Yumiko"},{"family":"Lamoreux","given":"John F."},{"family":"Wettengel","given":"Wesley W."},{"family":"Hedao","given":"Prashant"},{"family":"Kassem","given":"Kenneth R."}],"issued":{"date-parts":[["2001",11,1]]}}}],"schema":"https://github.com/citation-style-language/schema/raw/master/csl-citation.json"} </w:instrText>
      </w:r>
      <w:r w:rsidRPr="00547052">
        <w:rPr>
          <w:rFonts w:ascii="Calibri" w:hAnsi="Calibri" w:cs="Calibri"/>
        </w:rPr>
        <w:fldChar w:fldCharType="separate"/>
      </w:r>
      <w:r w:rsidRPr="006F1347">
        <w:rPr>
          <w:rFonts w:ascii="Calibri" w:hAnsi="Calibri" w:cs="Calibri"/>
        </w:rPr>
        <w:t>(</w:t>
      </w:r>
      <w:r w:rsidRPr="006F1347">
        <w:rPr>
          <w:rFonts w:ascii="Calibri" w:hAnsi="Calibri" w:cs="Calibri"/>
          <w:i/>
          <w:iCs/>
        </w:rPr>
        <w:t>60</w:t>
      </w:r>
      <w:r w:rsidRPr="006F1347">
        <w:rPr>
          <w:rFonts w:ascii="Calibri" w:hAnsi="Calibri" w:cs="Calibri"/>
        </w:rPr>
        <w:t xml:space="preserve">, </w:t>
      </w:r>
      <w:r w:rsidRPr="006F1347">
        <w:rPr>
          <w:rFonts w:ascii="Calibri" w:hAnsi="Calibri" w:cs="Calibri"/>
          <w:i/>
          <w:iCs/>
        </w:rPr>
        <w:t>61</w:t>
      </w:r>
      <w:r w:rsidRPr="006F1347">
        <w:rPr>
          <w:rFonts w:ascii="Calibri" w:hAnsi="Calibri" w:cs="Calibri"/>
        </w:rPr>
        <w:t>)</w:t>
      </w:r>
      <w:r w:rsidRPr="00547052">
        <w:rPr>
          <w:rFonts w:ascii="Calibri" w:hAnsi="Calibri" w:cs="Calibri"/>
        </w:rPr>
        <w:fldChar w:fldCharType="end"/>
      </w:r>
      <w:r w:rsidRPr="00547052">
        <w:rPr>
          <w:rFonts w:ascii="Calibri" w:hAnsi="Calibri" w:cs="Calibri"/>
        </w:rPr>
        <w:t>.</w:t>
      </w:r>
    </w:p>
    <w:p w14:paraId="4ACF0614" w14:textId="77777777" w:rsidR="00FA2316" w:rsidRDefault="00FA2316" w:rsidP="00FA2316">
      <w:pPr>
        <w:spacing w:line="480" w:lineRule="auto"/>
        <w:rPr>
          <w:rFonts w:ascii="Calibri" w:eastAsiaTheme="minorEastAsia" w:hAnsi="Calibri" w:cs="Calibri"/>
          <w:b/>
          <w:bCs/>
        </w:rPr>
      </w:pPr>
    </w:p>
    <w:p w14:paraId="0328FAF6" w14:textId="77777777" w:rsidR="00FA2316" w:rsidRPr="00CD2F8D" w:rsidRDefault="00FA2316" w:rsidP="00FA2316">
      <w:pPr>
        <w:spacing w:line="480" w:lineRule="auto"/>
        <w:rPr>
          <w:rFonts w:ascii="Calibri" w:eastAsiaTheme="minorEastAsia" w:hAnsi="Calibri" w:cs="Calibri"/>
          <w:b/>
          <w:bCs/>
        </w:rPr>
      </w:pPr>
      <w:r>
        <w:rPr>
          <w:rFonts w:ascii="Calibri" w:eastAsiaTheme="minorEastAsia" w:hAnsi="Calibri" w:cs="Calibri"/>
          <w:b/>
          <w:bCs/>
        </w:rPr>
        <w:t>Sensitivity analysis</w:t>
      </w:r>
    </w:p>
    <w:p w14:paraId="5630616B" w14:textId="77777777" w:rsidR="00FA2316" w:rsidRPr="006A014E" w:rsidRDefault="00FA2316" w:rsidP="00FA2316">
      <w:pPr>
        <w:spacing w:line="480" w:lineRule="auto"/>
        <w:rPr>
          <w:rFonts w:ascii="Calibri" w:eastAsiaTheme="minorEastAsia" w:hAnsi="Calibri" w:cs="Calibri"/>
        </w:rPr>
      </w:pPr>
      <w:r w:rsidRPr="15DBCE13">
        <w:rPr>
          <w:rFonts w:ascii="Calibri" w:hAnsi="Calibri" w:cs="Calibri"/>
        </w:rPr>
        <w:lastRenderedPageBreak/>
        <w:t>The ranges presented in this paper are the result of utilizing various sources of national scale</w:t>
      </w:r>
      <w:r>
        <w:rPr>
          <w:rFonts w:ascii="Calibri" w:hAnsi="Calibri" w:cs="Calibri"/>
        </w:rPr>
        <w:t xml:space="preserve"> plastic </w:t>
      </w:r>
      <w:r w:rsidRPr="15DBCE13">
        <w:rPr>
          <w:rFonts w:ascii="Calibri" w:hAnsi="Calibri" w:cs="Calibri"/>
        </w:rPr>
        <w:t>waste mismanagement rates</w:t>
      </w:r>
      <w:r>
        <w:rPr>
          <w:rFonts w:ascii="Calibri" w:hAnsi="Calibri" w:cs="Calibri"/>
        </w:rPr>
        <w:t xml:space="preserve">, </w:t>
      </w:r>
      <w:r w:rsidRPr="15DBCE13">
        <w:rPr>
          <w:rFonts w:ascii="Calibri" w:hAnsi="Calibri" w:cs="Calibri"/>
        </w:rPr>
        <w:t>trade patterns</w:t>
      </w:r>
      <w:r>
        <w:rPr>
          <w:rFonts w:ascii="Calibri" w:hAnsi="Calibri" w:cs="Calibri"/>
        </w:rPr>
        <w:t>, and aquatic environment reaches</w:t>
      </w:r>
      <w:r w:rsidRPr="15DBCE13">
        <w:rPr>
          <w:rFonts w:ascii="Calibri" w:hAnsi="Calibri" w:cs="Calibri"/>
        </w:rPr>
        <w:t>.</w:t>
      </w:r>
      <w:r>
        <w:rPr>
          <w:rFonts w:ascii="Calibri" w:hAnsi="Calibri" w:cs="Calibri"/>
        </w:rPr>
        <w:t xml:space="preserve"> In </w:t>
      </w:r>
      <w:r>
        <w:rPr>
          <w:rFonts w:ascii="Calibri" w:eastAsiaTheme="minorEastAsia" w:hAnsi="Calibri" w:cs="Calibri"/>
        </w:rPr>
        <w:t xml:space="preserve">certain countries, national plastic waste mismanagement rates vary significantly depending on the reporting sources (e.g. Russia 18.5%-97.5% mismanagement rate) generating a significant amount of uncertainty </w:t>
      </w:r>
      <w:r>
        <w:rPr>
          <w:rFonts w:ascii="Calibri" w:eastAsiaTheme="minorEastAsia" w:hAnsi="Calibri" w:cs="Calibri"/>
        </w:rPr>
        <w:fldChar w:fldCharType="begin"/>
      </w:r>
      <w:r>
        <w:rPr>
          <w:rFonts w:ascii="Calibri" w:eastAsiaTheme="minorEastAsia" w:hAnsi="Calibri" w:cs="Calibri"/>
        </w:rPr>
        <w:instrText xml:space="preserve"> ADDIN ZOTERO_ITEM CSL_CITATION {"citationID":"YvyCcgyL","properties":{"formattedCitation":"({\\i{}26}, {\\i{}42})","plainCitation":"(26, 42)","noteIndex":0},"citationItems":[{"id":4,"uris":["http://zotero.org/users/local/qjhRH7RZ/items/F46EFRZ7","http://zotero.org/users/11068333/items/F46EFRZ7"],"itemData":{"id":4,"type":"article-journal","abstract":"The accumulation of mismanaged plastic waste (MPW) in the environment is a global growing concern. Knowing with precision where litter is generated is important to target priority areas for the implementation of mitigation policies. In this study, using country-level data on waste management combined with high-resolution distributions and long-term projections of population and the gross domestic product (GDP), we present projections of global MPW generation at ~1 km resolution from now to 2060. We estimated between 60 and 99 million metric tonnes (Mt) of MPW were produced globally in 2015. In a business-as-usual scenario, this figure could triple to 155–265 Mt y−1 by 2060. The future MPW load will continue to be disproportionately high in African and Asian continents even in the future years. However, we show that this growth in plastic waste can be reduced if developing economies significantly invest in waste management infrastructures as their GDP grows in the future and if efforts are made internationally to reduce the fraction of plastic in municipal solid waste. Using our projections, we also demonstrate that the majority of MPW (91%) are transported via watersheds larger than 100 km2 suggesting that rivers are major pathways for plastic litter to the ocean.","container-title":"Palgrave Communications","DOI":"10.1057/s41599-018-0212-7","ISSN":"2055-1045","issue":"1","journalAbbreviation":"Palgrave Commun","language":"en","license":"2019 The Author(s)","note":"number: 1\npublisher: Palgrave","page":"1-11","source":"www.nature.com","title":"Future scenarios of global plastic waste generation and disposal","volume":"5","author":[{"family":"Lebreton","given":"Laurent"},{"family":"Andrady","given":"Anthony"}],"issued":{"date-parts":[["2019",1,29]]}}},{"id":38,"uris":["http://zotero.org/users/local/qjhRH7RZ/items/5CWKVVTF","http://zotero.org/users/11068333/items/5CWKVVTF"],"itemData":{"id":38,"type":"book","abstract":"By 2050, the world is expected to generate 3.40 billion tons of waste annually, increasing drastically from today’s 2.01 billion tons. What a Waste 2.0: A Global Snapshot of Solid Waste Management to 2050 aggregates extensive solid waste data at the national and urban levels. It estimates and projects waste generation to 2030 and 2050. Beyond the core data metrics from waste generation to disposal, the report provides information on waste management costs, revenues, and tariffs; special wastes; regulations; public communication; administrative and operational models; and the informal sector.","event-place":"Washington, DC","ISBN":"978-1-4648-1329-0","language":"English","license":"http://creativecommons.org/licenses/by/3.0/igo","note":"Accepted: 2018-08-31T16:25:22Z\nDOI: 10.1596/978-1-4648-1329-0","publisher":"World Bank","publisher-place":"Washington, DC","source":"openknowledge.worldbank.org","title":"What a Waste 2.0: A Global Snapshot of Solid Waste Management to 2050","title-short":"What a Waste 2.0","URL":"https://openknowledge.worldbank.org/handle/10986/30317","author":[{"family":"Kaza","given":"Silpa"},{"family":"Yao","given":"Lisa C."},{"family":"Bhada-Tata","given":"Perinaz"},{"family":"Van Woerden","given":"Frank"}],"accessed":{"date-parts":[["2022",9,30]]},"issued":{"date-parts":[["2018",9,20]]}}}],"schema":"https://github.com/citation-style-language/schema/raw/master/csl-citation.json"} </w:instrText>
      </w:r>
      <w:r>
        <w:rPr>
          <w:rFonts w:ascii="Calibri" w:eastAsiaTheme="minorEastAsia" w:hAnsi="Calibri" w:cs="Calibri"/>
        </w:rPr>
        <w:fldChar w:fldCharType="separate"/>
      </w:r>
      <w:r w:rsidRPr="0042154F">
        <w:rPr>
          <w:rFonts w:ascii="Calibri" w:hAnsi="Calibri" w:cs="Calibri"/>
        </w:rPr>
        <w:t>(</w:t>
      </w:r>
      <w:r w:rsidRPr="0042154F">
        <w:rPr>
          <w:rFonts w:ascii="Calibri" w:hAnsi="Calibri" w:cs="Calibri"/>
          <w:i/>
          <w:iCs/>
        </w:rPr>
        <w:t>26</w:t>
      </w:r>
      <w:r w:rsidRPr="0042154F">
        <w:rPr>
          <w:rFonts w:ascii="Calibri" w:hAnsi="Calibri" w:cs="Calibri"/>
        </w:rPr>
        <w:t xml:space="preserve">, </w:t>
      </w:r>
      <w:r w:rsidRPr="0042154F">
        <w:rPr>
          <w:rFonts w:ascii="Calibri" w:hAnsi="Calibri" w:cs="Calibri"/>
          <w:i/>
          <w:iCs/>
        </w:rPr>
        <w:t>42</w:t>
      </w:r>
      <w:r w:rsidRPr="0042154F">
        <w:rPr>
          <w:rFonts w:ascii="Calibri" w:hAnsi="Calibri" w:cs="Calibri"/>
        </w:rPr>
        <w:t>)</w:t>
      </w:r>
      <w:r>
        <w:rPr>
          <w:rFonts w:ascii="Calibri" w:eastAsiaTheme="minorEastAsia" w:hAnsi="Calibri" w:cs="Calibri"/>
        </w:rPr>
        <w:fldChar w:fldCharType="end"/>
      </w:r>
      <w:r>
        <w:rPr>
          <w:rFonts w:ascii="Calibri" w:eastAsiaTheme="minorEastAsia" w:hAnsi="Calibri" w:cs="Calibri"/>
        </w:rPr>
        <w:t xml:space="preserve">. </w:t>
      </w:r>
      <w:r w:rsidRPr="15DBCE13">
        <w:rPr>
          <w:rFonts w:ascii="Calibri" w:hAnsi="Calibri" w:cs="Calibri"/>
        </w:rPr>
        <w:t xml:space="preserve">Furthermore, the comparative fate of imported plastic waste compared to domestically produced plastic waste remains unclear. High-income countries typically guarantee </w:t>
      </w:r>
      <w:r>
        <w:rPr>
          <w:rFonts w:ascii="Calibri" w:hAnsi="Calibri" w:cs="Calibri"/>
        </w:rPr>
        <w:t>the</w:t>
      </w:r>
      <w:r w:rsidRPr="15DBCE13">
        <w:rPr>
          <w:rFonts w:ascii="Calibri" w:hAnsi="Calibri" w:cs="Calibri"/>
        </w:rPr>
        <w:t xml:space="preserve"> fate</w:t>
      </w:r>
      <w:r>
        <w:rPr>
          <w:rFonts w:ascii="Calibri" w:hAnsi="Calibri" w:cs="Calibri"/>
        </w:rPr>
        <w:t xml:space="preserve"> of their plastic waste exports</w:t>
      </w:r>
      <w:r w:rsidRPr="15DBCE13">
        <w:rPr>
          <w:rFonts w:ascii="Calibri" w:hAnsi="Calibri" w:cs="Calibri"/>
        </w:rPr>
        <w:t xml:space="preserve"> as recyclate; however, research indicates that plastic waste imports are not more likely to be recycled than domestic waste and are frequently mixed with it </w:t>
      </w:r>
      <w:r w:rsidRPr="15DBCE13">
        <w:rPr>
          <w:rFonts w:ascii="Calibri" w:hAnsi="Calibri" w:cs="Calibri"/>
        </w:rPr>
        <w:fldChar w:fldCharType="begin"/>
      </w:r>
      <w:r>
        <w:rPr>
          <w:rFonts w:ascii="Calibri" w:hAnsi="Calibri" w:cs="Calibri"/>
        </w:rPr>
        <w:instrText xml:space="preserve"> ADDIN ZOTERO_ITEM CSL_CITATION {"citationID":"jyvO3f32","properties":{"formattedCitation":"({\\i{}29}, {\\i{}50})","plainCitation":"(29, 50)","noteIndex":0},"citationItems":[{"id":268,"uris":["http://zotero.org/users/local/qjhRH7RZ/items/JTAVK5ST","http://zotero.org/users/11068333/items/JTAVK5ST"],"itemData":{"id":268,"type":"article-journal","abstract":"The aim of this study was to analyze different port areas (leased, nonleased and vessels) in terms of plastic segregation (scenario 1) and how much of this plastic is recycled (scenario 2). Data envelopment analysis was applied and the variables were total amount of solid waste and percentage of segregated plastic in relation to total solid waste (scenario 1) and amount of segregated plastics and percentage of recycled in relation to segregated plastics (scenario 2). Segregation efficiency was low (49%) in the nonleased area, but all the segregated material is recycled, suggesting that the management bottleneck in this case is waste segregation. Similar segregation results were obtained in the leased areas and vessels (36 and 35%, respectively), but recycling efficiency was greater in the former (92 and 24%, respectively).","container-title":"Marine Pollution Bulletin","DOI":"10.1016/j.marpolbul.2019.03.061","ISSN":"0025-326X","journalAbbreviation":"Marine Pollution Bulletin","language":"en","page":"377-383","source":"ScienceDirect","title":"Efficiency in the environmental management of plastic wastes at Brazilian ports based on data envelopment analysis","volume":"142","author":[{"family":"Gobbi","given":"Clarice Neffa"},{"family":"Sanches","given":"Vânia Maria Lourenço"},{"family":"Guimarães","given":"Maria José de Oliveira Cavalcanti"},{"family":"Freitas","given":"Marcos Aurélio Vasconcelos","dropping-particle":"de"},{"family":"Pacheco","given":"Elen Beatriz Acordi Vasques"}],"issued":{"date-parts":[["2019",5,1]]}}},{"id":82,"uris":["http://zotero.org/users/local/qjhRH7RZ/items/CPRG8NJY","http://zotero.org/users/11068333/items/CPRG8NJY"],"itemData":{"id":82,"type":"article-journal","abstract":"It is well known that Asia generates and receives large quantities of plastic waste. Through a detailed study of plastic waste generation and trade, the management and treatment of plastic waste in Asia were analyzed from the regional perspective. The amounts of plastic waste in municipal solid waste and in industrial solid waste were estimated to be 79 Mt and 42 Mt, respectively, in Asia. The overall treatment and recycling status in Asia are unsatisfactory. Asia imported 74% of the plastic waste in the world in 2016, and China (mainland) imported the most plastic waste until 2017, with 5.8 to 8.3 Mt. In 2017, about half the plastic waste imported by Asia came from other regions, and after subtracting the exported quantity, 98% of the plastic waste was left in Asia for treatment and disposal. The plastic waste imported by Asia declined about 72% in monetary value in 2018. There is still a large gap between the plastic waste quantity imported to Asia and that exported from Asia. China’s ban of plastic waste imports caused import quantities to drop to 52 kt in 2018, simultaneously, exports from the largest exporting countries or regions such as Hong Kong (China), the USA, Japan, and Germany decreased. While Vietnam, Malaysia and some other Asian countries and regions saw significant increases in plastic waste imports from 2016 to 2018. Considering this situation, countries in Asia are starting to strictly limit plastic waste imports from other countries.","container-title":"Waste Management","DOI":"10.1016/j.wasman.2020.09.049","ISSN":"0956-053X","journalAbbreviation":"Waste Management","language":"en","page":"242-253","source":"ScienceDirect","title":"An analysis of the plastic waste trade and management in Asia","volume":"119","author":[{"family":"Liang","given":"Yangyang"},{"family":"Tan","given":"Quanyin"},{"family":"Song","given":"Qingbin"},{"family":"Li","given":"Jinhui"}],"issued":{"date-parts":[["2021",1,1]]}}}],"schema":"https://github.com/citation-style-language/schema/raw/master/csl-citation.json"} </w:instrText>
      </w:r>
      <w:r w:rsidRPr="15DBCE13">
        <w:rPr>
          <w:rFonts w:ascii="Calibri" w:hAnsi="Calibri" w:cs="Calibri"/>
        </w:rPr>
        <w:fldChar w:fldCharType="separate"/>
      </w:r>
      <w:r w:rsidRPr="0042154F">
        <w:rPr>
          <w:rFonts w:ascii="Calibri" w:hAnsi="Calibri" w:cs="Calibri"/>
        </w:rPr>
        <w:t>(</w:t>
      </w:r>
      <w:r w:rsidRPr="0042154F">
        <w:rPr>
          <w:rFonts w:ascii="Calibri" w:hAnsi="Calibri" w:cs="Calibri"/>
          <w:i/>
          <w:iCs/>
        </w:rPr>
        <w:t>29</w:t>
      </w:r>
      <w:r w:rsidRPr="0042154F">
        <w:rPr>
          <w:rFonts w:ascii="Calibri" w:hAnsi="Calibri" w:cs="Calibri"/>
        </w:rPr>
        <w:t xml:space="preserve">, </w:t>
      </w:r>
      <w:r w:rsidRPr="0042154F">
        <w:rPr>
          <w:rFonts w:ascii="Calibri" w:hAnsi="Calibri" w:cs="Calibri"/>
          <w:i/>
          <w:iCs/>
        </w:rPr>
        <w:t>50</w:t>
      </w:r>
      <w:r w:rsidRPr="0042154F">
        <w:rPr>
          <w:rFonts w:ascii="Calibri" w:hAnsi="Calibri" w:cs="Calibri"/>
        </w:rPr>
        <w:t>)</w:t>
      </w:r>
      <w:r w:rsidRPr="15DBCE13">
        <w:rPr>
          <w:rFonts w:ascii="Calibri" w:hAnsi="Calibri" w:cs="Calibri"/>
        </w:rPr>
        <w:fldChar w:fldCharType="end"/>
      </w:r>
      <w:r w:rsidRPr="15DBCE13">
        <w:rPr>
          <w:rFonts w:ascii="Calibri" w:hAnsi="Calibri" w:cs="Calibri"/>
        </w:rPr>
        <w:t>.</w:t>
      </w:r>
      <w:r>
        <w:rPr>
          <w:rFonts w:ascii="Calibri" w:hAnsi="Calibri" w:cs="Calibri"/>
        </w:rPr>
        <w:t xml:space="preserve"> Moreover, contaminated plastic waste that is not suitable for recycling is routinely mislabeled as recyclable to avoid trade restriction </w:t>
      </w:r>
      <w:r>
        <w:rPr>
          <w:rFonts w:ascii="Calibri" w:hAnsi="Calibri" w:cs="Calibri"/>
        </w:rPr>
        <w:fldChar w:fldCharType="begin"/>
      </w:r>
      <w:r>
        <w:rPr>
          <w:rFonts w:ascii="Calibri" w:hAnsi="Calibri" w:cs="Calibri"/>
        </w:rPr>
        <w:instrText xml:space="preserve"> ADDIN ZOTERO_ITEM CSL_CITATION {"citationID":"zWWohpVh","properties":{"formattedCitation":"({\\i{}13}, {\\i{}51})","plainCitation":"(13, 51)","noteIndex":0},"citationItems":[{"id":1459,"uris":["http://zotero.org/users/11068333/items/IT5WFQRS"],"itemData":{"id":1459,"type":"article-journal","abstract":"As an internationally-traded commodity, plastic waste has long followed the profitability dynamics of the global waste and recycling market, leaving in its trace a disproportionate environmental and health burden on the world's most vulnerable populations. East Asian and Pacific countries, where most globally generated plastic waste has been exported since the late 1980s, are marked by underdeveloped, inefficient, or non-existent waste management infrastructures. Despite the highly visible environmental and human health impacts of plastic pollution, the global plastic waste trade has predominantly operated outside the scope of the Basel Convention on the Control of Transboundary Movements of Hazardous Wastes and Their Disposal. In 2019, however, this treaty was amended to explicitly bring all but a narrow stream of plastic waste within the category of wastes controlled as “hazardous waste,” or “waste requiring special consideration.” This essay explains the international legal implications of the amendment and discusses potential challenges related to its implementation and enforcement. It argues that in order to be effective, the new plastic waste trading rules will require further legal clarity, greater transparency in plastic waste trade that is not regulated under the Convention, and stronger law enforcement cooperation between customs and environmental protection authorities, both within and between countries. Since controlling all plastic waste trade at point of export is, in practice, impossible given the state of global shipping infrastructures and container traffic volume, the most effective approach to curbing plastic waste pollution and illegal trade lies outside the mandate of the Basel Convention, notably, in assigning financial and environmental responsibility for plastic waste within plastic product supply chains.","DOI":"10.1017/aju.2020.38","ISSN":"2398-7723","language":"en","note":"publisher: Cambridge University Press","page":"200-205","source":"Cambridge University Press","title":"Clearly Hazardous, Obscurely Regulated: Lessons from the Basel Convention on Waste Trade","title-short":"Clearly Hazardous, Obscurely Regulated","volume":"114","author":[{"family":"Khan","given":"Sabaa Ahmad"}],"issued":{"date-parts":[["2020"]],"season":"ed"}}},{"id":1457,"uris":["http://zotero.org/users/11068333/items/8LFXM55Y"],"itemData":{"id":1457,"type":"webpage","title":"Basel Convention &gt; Implementation &gt; Legal Matters &gt; Illegal Traffic &gt; Cases of Illegal Traffic","URL":"http://www.basel.int/Implementation/LegalMatters/IllegalTraffic/CasesofIllegalTraffic/tabid/3424/Default.aspx","accessed":{"date-parts":[["2023",4,3]]}}}],"schema":"https://github.com/citation-style-language/schema/raw/master/csl-citation.json"} </w:instrText>
      </w:r>
      <w:r>
        <w:rPr>
          <w:rFonts w:ascii="Calibri" w:hAnsi="Calibri" w:cs="Calibri"/>
        </w:rPr>
        <w:fldChar w:fldCharType="separate"/>
      </w:r>
      <w:r w:rsidRPr="0042154F">
        <w:rPr>
          <w:rFonts w:ascii="Calibri" w:hAnsi="Calibri" w:cs="Calibri"/>
        </w:rPr>
        <w:t>(</w:t>
      </w:r>
      <w:r w:rsidRPr="0042154F">
        <w:rPr>
          <w:rFonts w:ascii="Calibri" w:hAnsi="Calibri" w:cs="Calibri"/>
          <w:i/>
          <w:iCs/>
        </w:rPr>
        <w:t>13</w:t>
      </w:r>
      <w:r w:rsidRPr="0042154F">
        <w:rPr>
          <w:rFonts w:ascii="Calibri" w:hAnsi="Calibri" w:cs="Calibri"/>
        </w:rPr>
        <w:t xml:space="preserve">, </w:t>
      </w:r>
      <w:r w:rsidRPr="0042154F">
        <w:rPr>
          <w:rFonts w:ascii="Calibri" w:hAnsi="Calibri" w:cs="Calibri"/>
          <w:i/>
          <w:iCs/>
        </w:rPr>
        <w:t>51</w:t>
      </w:r>
      <w:r w:rsidRPr="0042154F">
        <w:rPr>
          <w:rFonts w:ascii="Calibri" w:hAnsi="Calibri" w:cs="Calibri"/>
        </w:rPr>
        <w:t>)</w:t>
      </w:r>
      <w:r>
        <w:rPr>
          <w:rFonts w:ascii="Calibri" w:hAnsi="Calibri" w:cs="Calibri"/>
        </w:rPr>
        <w:fldChar w:fldCharType="end"/>
      </w:r>
      <w:r>
        <w:rPr>
          <w:rFonts w:ascii="Calibri" w:hAnsi="Calibri" w:cs="Calibri"/>
        </w:rPr>
        <w:t xml:space="preserve">. In certain cases, waste is imported to be recycled, despite importing parties having no infrastructure to do so, increasing the likelihood of the imports being mismanaged </w:t>
      </w:r>
      <w:r>
        <w:rPr>
          <w:rFonts w:ascii="Calibri" w:hAnsi="Calibri" w:cs="Calibri"/>
        </w:rPr>
        <w:fldChar w:fldCharType="begin"/>
      </w:r>
      <w:r>
        <w:rPr>
          <w:rFonts w:ascii="Calibri" w:hAnsi="Calibri" w:cs="Calibri"/>
        </w:rPr>
        <w:instrText xml:space="preserve"> ADDIN ZOTERO_ITEM CSL_CITATION {"citationID":"bkQ99mhZ","properties":{"formattedCitation":"({\\i{}19}, {\\i{}20})","plainCitation":"(19, 20)","noteIndex":0},"citationItems":[{"id":96,"uris":["http://zotero.org/users/local/qjhRH7RZ/items/PJFEQ89Y","http://zotero.org/users/11068333/items/PJFEQ89Y"],"itemData":{"id":96,"type":"article-journal","abstract":"Turkey became a major importer of global plastic waste after China banned plastic imports on January 1, 2018. Turkey imported only 261,864 tonnes of plastic waste annually before the ban, but annual imports increased to 772,831 tonnes by 2020. Turkey recently implemented restrictions on importing plastic waste (quotas, %1 contamination limit, banned mixed plastic waste imports), yet illegal dumping and burning is widely reported. Turkey ranks second in Europe and seventh worldwide for plastics production, yet current domestic waste management and recycling programs cannot handle domestic plastic waste generation. Roughly 90% of municipal solid waste produced in Turkey ends up in landfills. Plastic waste mismanagement results in plastic leakage into the Mediterranean Sea with Turkey contributing the highest share (16.8%) of European marine plastic pollution. With this latest import restriction, Turkey now has an opportunity to strengthen and improve its own domestic waste management infrastructure to reduce indiscriminate plastic marine pollution.","container-title":"Marine Pollution Bulletin","DOI":"10.1016/j.marpolbul.2021.112772","ISSN":"0025-326X","journalAbbreviation":"Marine Pollution Bulletin","language":"en","page":"112772","source":"ScienceDirect","title":"Why Turkey should not import plastic waste pollution from developed countries?","volume":"171","author":[{"family":"Gündoğdu","given":"Sedat"},{"family":"Walker","given":"Tony R."}],"issued":{"date-parts":[["2021",10,1]]}}},{"id":1463,"uris":["http://zotero.org/users/11068333/items/P42UV523"],"itemData":{"id":1463,"type":"document","publisher":"United Nations Environment Programme","title":"Confirmed Cases of Illegal Traffic; Sri Lanka - Form transmitted October 2020","URL":"http://www.basel.int/Implementation/LegalMatters/IllegalTraffic/CasesofIllegalTraffic/tabid/3424/Default.aspx","author":[{"family":"Ministry of Environment","given":""}],"issued":{"date-parts":[["2020"]]}}}],"schema":"https://github.com/citation-style-language/schema/raw/master/csl-citation.json"} </w:instrText>
      </w:r>
      <w:r>
        <w:rPr>
          <w:rFonts w:ascii="Calibri" w:hAnsi="Calibri" w:cs="Calibri"/>
        </w:rPr>
        <w:fldChar w:fldCharType="separate"/>
      </w:r>
      <w:r w:rsidRPr="0019786B">
        <w:rPr>
          <w:rFonts w:ascii="Calibri" w:hAnsi="Calibri" w:cs="Calibri"/>
        </w:rPr>
        <w:t>(</w:t>
      </w:r>
      <w:r w:rsidRPr="0019786B">
        <w:rPr>
          <w:rFonts w:ascii="Calibri" w:hAnsi="Calibri" w:cs="Calibri"/>
          <w:i/>
          <w:iCs/>
        </w:rPr>
        <w:t>19</w:t>
      </w:r>
      <w:r w:rsidRPr="0019786B">
        <w:rPr>
          <w:rFonts w:ascii="Calibri" w:hAnsi="Calibri" w:cs="Calibri"/>
        </w:rPr>
        <w:t xml:space="preserve">, </w:t>
      </w:r>
      <w:r w:rsidRPr="0019786B">
        <w:rPr>
          <w:rFonts w:ascii="Calibri" w:hAnsi="Calibri" w:cs="Calibri"/>
          <w:i/>
          <w:iCs/>
        </w:rPr>
        <w:t>20</w:t>
      </w:r>
      <w:r w:rsidRPr="0019786B">
        <w:rPr>
          <w:rFonts w:ascii="Calibri" w:hAnsi="Calibri" w:cs="Calibri"/>
        </w:rPr>
        <w:t>)</w:t>
      </w:r>
      <w:r>
        <w:rPr>
          <w:rFonts w:ascii="Calibri" w:hAnsi="Calibri" w:cs="Calibri"/>
        </w:rPr>
        <w:fldChar w:fldCharType="end"/>
      </w:r>
      <w:r>
        <w:rPr>
          <w:rFonts w:ascii="Calibri" w:hAnsi="Calibri" w:cs="Calibri"/>
        </w:rPr>
        <w:t xml:space="preserve">. </w:t>
      </w:r>
    </w:p>
    <w:p w14:paraId="19162C9A" w14:textId="77777777" w:rsidR="00FA2316" w:rsidRDefault="00FA2316" w:rsidP="00FA2316">
      <w:pPr>
        <w:spacing w:line="480" w:lineRule="auto"/>
        <w:rPr>
          <w:rFonts w:ascii="Calibri" w:hAnsi="Calibri" w:cs="Calibri"/>
        </w:rPr>
      </w:pPr>
    </w:p>
    <w:p w14:paraId="02B9DB8D" w14:textId="77777777" w:rsidR="00FA2316" w:rsidRDefault="00FA2316" w:rsidP="00FA2316">
      <w:pPr>
        <w:spacing w:line="480" w:lineRule="auto"/>
        <w:rPr>
          <w:rFonts w:ascii="Calibri" w:hAnsi="Calibri" w:cs="Calibri"/>
        </w:rPr>
      </w:pPr>
      <w:r w:rsidRPr="15DBCE13">
        <w:rPr>
          <w:rFonts w:ascii="Calibri" w:hAnsi="Calibri" w:cs="Calibri"/>
        </w:rPr>
        <w:t>In addition to unclear mismanagement rates of both domestic and imported waste, including trade adds an additional layer regarding international and intra-national re-exports. Although we model one generation of re-exports, untangling the plastic waste trade network remains extremely arduous</w:t>
      </w:r>
      <w:r>
        <w:rPr>
          <w:rFonts w:ascii="Calibri" w:hAnsi="Calibri" w:cs="Calibri"/>
        </w:rPr>
        <w:t xml:space="preserve">. Countries are not obligated to report </w:t>
      </w:r>
      <w:r w:rsidRPr="15DBCE13">
        <w:rPr>
          <w:rFonts w:ascii="Calibri" w:hAnsi="Calibri" w:cs="Calibri"/>
        </w:rPr>
        <w:t>re-exports as such</w:t>
      </w:r>
      <w:r>
        <w:rPr>
          <w:rFonts w:ascii="Calibri" w:hAnsi="Calibri" w:cs="Calibri"/>
        </w:rPr>
        <w:t>, and may export plastic waste illegally or report the waste under unrelated HS codes</w:t>
      </w:r>
      <w:r w:rsidRPr="15DBCE13">
        <w:rPr>
          <w:rFonts w:ascii="Calibri" w:hAnsi="Calibri" w:cs="Calibri"/>
        </w:rPr>
        <w:t xml:space="preserve"> </w:t>
      </w:r>
      <w:r w:rsidRPr="15DBCE13">
        <w:rPr>
          <w:rFonts w:ascii="Calibri" w:hAnsi="Calibri" w:cs="Calibri"/>
          <w:color w:val="2B579A"/>
        </w:rPr>
        <w:fldChar w:fldCharType="begin"/>
      </w:r>
      <w:r>
        <w:rPr>
          <w:rFonts w:ascii="Calibri" w:hAnsi="Calibri" w:cs="Calibri"/>
        </w:rPr>
        <w:instrText xml:space="preserve"> ADDIN ZOTERO_ITEM CSL_CITATION {"citationID":"06XQXoSo","properties":{"formattedCitation":"({\\i{}20}, {\\i{}29}, {\\i{}35})","plainCitation":"(20, 29, 35)","noteIndex":0},"citationItems":[{"id":96,"uris":["http://zotero.org/users/local/qjhRH7RZ/items/PJFEQ89Y","http://zotero.org/users/11068333/items/PJFEQ89Y"],"itemData":{"id":96,"type":"article-journal","abstract":"Turkey became a major importer of global plastic waste after China banned plastic imports on January 1, 2018. Turkey imported only 261,864 tonnes of plastic waste annually before the ban, but annual imports increased to 772,831 tonnes by 2020. Turkey recently implemented restrictions on importing plastic waste (quotas, %1 contamination limit, banned mixed plastic waste imports), yet illegal dumping and burning is widely reported. Turkey ranks second in Europe and seventh worldwide for plastics production, yet current domestic waste management and recycling programs cannot handle domestic plastic waste generation. Roughly 90% of municipal solid waste produced in Turkey ends up in landfills. Plastic waste mismanagement results in plastic leakage into the Mediterranean Sea with Turkey contributing the highest share (16.8%) of European marine plastic pollution. With this latest import restriction, Turkey now has an opportunity to strengthen and improve its own domestic waste management infrastructure to reduce indiscriminate plastic marine pollution.","container-title":"Marine Pollution Bulletin","DOI":"10.1016/j.marpolbul.2021.112772","ISSN":"0025-326X","journalAbbreviation":"Marine Pollution Bulletin","language":"en","page":"112772","source":"ScienceDirect","title":"Why Turkey should not import plastic waste pollution from developed countries?","volume":"171","author":[{"family":"Gündoğdu","given":"Sedat"},{"family":"Walker","given":"Tony R."}],"issued":{"date-parts":[["2021",10,1]]}}},{"id":"nSLKh1sO/rOcaIjmd","uris":["http://zotero.org/users/local/qjhRH7RZ/items/EM52W2KY"],"itemData":{"id":61,"type":"article-journal","abstract":"Polyethylene (PE) is one of the most common types of plastic. Whilst an increasing share of post-consumer plastic waste from Europe is collected for recycling, 46% of separated PE waste is exported outside of the source country (including intra-EU trade). The fate of this exported European plastic is not well known. This study integrated data on PE waste flows in 2017 from UN Comtrade, an open repository providing detailed international trade data, with best available information on waste management in destination countries, to model the fate of PE exported for recycling from Europe (EU-28, Norway and Switzerland) into: recycled high-density PE (HDPE) and low-density PE (LDPE) resins, “landfill”, incineration and ocean debris. Data uncertainty was reflected in three scenarios representing high, low and average recovery efficiency factors in material recovery facilities and reprocessing facilities, and different ocean debris fate factors. The fates of exported PE were then linked back to the individual European countries of export. Our study estimated that 83,187 Mg (tonnes) (range: 32,115–180,558 Mg), or 3% (1–7%) of exported European PE in 2017 ended up in the ocean, indicating an important and hitherto undocumented pathway of plastic debris entering the oceans. The countries with the greatest percentage of exported PE ending up as recycled HDPE or LDPE were Luxembourg and Switzerland (90% recycled for all scenarios), whilst the country with the lowest share of exported PE being recycled was the United Kingdom (59–80%, average 69% recycled). The results showed strong, significant positive relationships between the percentage of PE exported out of Europe and the percentage of exports which potentially end up as ocean debris. Export countries may not be the ultimate countries of origin owing to complex intra-EU trade in PE waste. Although somewhat uncertain, these mass flows provide pertinent new evidence on the efficacy and risks of current plastic waste management practices pertinent to emerging regulations around trade in plastic waste, and to the development of a more circular economy.","container-title":"Environment International","DOI":"10.1016/j.envint.2020.105893","ISSN":"0160-4120","journalAbbreviation":"Environment International","language":"en","page":"105893","source":"ScienceDirect","title":"Recycling of European plastic is a pathway for plastic debris in the ocean","volume":"142","author":[{"family":"Bishop","given":"George"},{"family":"Styles","given":"David"},{"family":"Lens","given":"Piet N. L."}],"issued":{"date-parts":[["2020",9,1]]}}},{"id":82,"uris":["http://zotero.org/users/local/qjhRH7RZ/items/CPRG8NJY","http://zotero.org/users/11068333/items/CPRG8NJY"],"itemData":{"id":82,"type":"article-journal","abstract":"It is well known that Asia generates and receives large quantities of plastic waste. Through a detailed study of plastic waste generation and trade, the management and treatment of plastic waste in Asia were analyzed from the regional perspective. The amounts of plastic waste in municipal solid waste and in industrial solid waste were estimated to be 79 Mt and 42 Mt, respectively, in Asia. The overall treatment and recycling status in Asia are unsatisfactory. Asia imported 74% of the plastic waste in the world in 2016, and China (mainland) imported the most plastic waste until 2017, with 5.8 to 8.3 Mt. In 2017, about half the plastic waste imported by Asia came from other regions, and after subtracting the exported quantity, 98% of the plastic waste was left in Asia for treatment and disposal. The plastic waste imported by Asia declined about 72% in monetary value in 2018. There is still a large gap between the plastic waste quantity imported to Asia and that exported from Asia. China’s ban of plastic waste imports caused import quantities to drop to 52 kt in 2018, simultaneously, exports from the largest exporting countries or regions such as Hong Kong (China), the USA, Japan, and Germany decreased. While Vietnam, Malaysia and some other Asian countries and regions saw significant increases in plastic waste imports from 2016 to 2018. Considering this situation, countries in Asia are starting to strictly limit plastic waste imports from other countries.","container-title":"Waste Management","DOI":"10.1016/j.wasman.2020.09.049","ISSN":"0956-053X","journalAbbreviation":"Waste Management","language":"en","page":"242-253","source":"ScienceDirect","title":"An analysis of the plastic waste trade and management in Asia","volume":"119","author":[{"family":"Liang","given":"Yangyang"},{"family":"Tan","given":"Quanyin"},{"family":"Song","given":"Qingbin"},{"family":"Li","given":"Jinhui"}],"issued":{"date-parts":[["2021",1,1]]}}}],"schema":"https://github.com/citation-style-language/schema/raw/master/csl-citation.json"} </w:instrText>
      </w:r>
      <w:r w:rsidRPr="15DBCE13">
        <w:rPr>
          <w:rFonts w:ascii="Calibri" w:hAnsi="Calibri" w:cs="Calibri"/>
          <w:color w:val="2B579A"/>
        </w:rPr>
        <w:fldChar w:fldCharType="separate"/>
      </w:r>
      <w:r w:rsidRPr="0019786B">
        <w:rPr>
          <w:rFonts w:ascii="Calibri" w:hAnsi="Calibri" w:cs="Calibri"/>
        </w:rPr>
        <w:t>(</w:t>
      </w:r>
      <w:r w:rsidRPr="0019786B">
        <w:rPr>
          <w:rFonts w:ascii="Calibri" w:hAnsi="Calibri" w:cs="Calibri"/>
          <w:i/>
          <w:iCs/>
        </w:rPr>
        <w:t>20</w:t>
      </w:r>
      <w:r w:rsidRPr="0019786B">
        <w:rPr>
          <w:rFonts w:ascii="Calibri" w:hAnsi="Calibri" w:cs="Calibri"/>
        </w:rPr>
        <w:t xml:space="preserve">, </w:t>
      </w:r>
      <w:r w:rsidRPr="0019786B">
        <w:rPr>
          <w:rFonts w:ascii="Calibri" w:hAnsi="Calibri" w:cs="Calibri"/>
          <w:i/>
          <w:iCs/>
        </w:rPr>
        <w:t>29</w:t>
      </w:r>
      <w:r w:rsidRPr="0019786B">
        <w:rPr>
          <w:rFonts w:ascii="Calibri" w:hAnsi="Calibri" w:cs="Calibri"/>
        </w:rPr>
        <w:t xml:space="preserve">, </w:t>
      </w:r>
      <w:r w:rsidRPr="0019786B">
        <w:rPr>
          <w:rFonts w:ascii="Calibri" w:hAnsi="Calibri" w:cs="Calibri"/>
          <w:i/>
          <w:iCs/>
        </w:rPr>
        <w:t>35</w:t>
      </w:r>
      <w:r w:rsidRPr="0019786B">
        <w:rPr>
          <w:rFonts w:ascii="Calibri" w:hAnsi="Calibri" w:cs="Calibri"/>
        </w:rPr>
        <w:t>)</w:t>
      </w:r>
      <w:r w:rsidRPr="15DBCE13">
        <w:rPr>
          <w:rFonts w:ascii="Calibri" w:hAnsi="Calibri" w:cs="Calibri"/>
          <w:color w:val="2B579A"/>
        </w:rPr>
        <w:fldChar w:fldCharType="end"/>
      </w:r>
      <w:r w:rsidRPr="15DBCE13">
        <w:rPr>
          <w:rFonts w:ascii="Calibri" w:hAnsi="Calibri" w:cs="Calibri"/>
        </w:rPr>
        <w:t>.</w:t>
      </w:r>
      <w:r>
        <w:rPr>
          <w:rFonts w:ascii="Calibri" w:hAnsi="Calibri" w:cs="Calibri"/>
        </w:rPr>
        <w:t xml:space="preserve"> For example, in 2019 authorities intercepted plastic waste illegally exported from Canada to India, via Belgium </w:t>
      </w:r>
      <w:r>
        <w:rPr>
          <w:rFonts w:ascii="Calibri" w:hAnsi="Calibri" w:cs="Calibri"/>
        </w:rPr>
        <w:fldChar w:fldCharType="begin"/>
      </w:r>
      <w:r>
        <w:rPr>
          <w:rFonts w:ascii="Calibri" w:hAnsi="Calibri" w:cs="Calibri"/>
        </w:rPr>
        <w:instrText xml:space="preserve"> ADDIN ZOTERO_ITEM CSL_CITATION {"citationID":"4eX0Ux1C","properties":{"formattedCitation":"({\\i{}13}, {\\i{}51})","plainCitation":"(13, 51)","noteIndex":0},"citationItems":[{"id":1459,"uris":["http://zotero.org/users/11068333/items/IT5WFQRS"],"itemData":{"id":1459,"type":"article-journal","abstract":"As an internationally-traded commodity, plastic waste has long followed the profitability dynamics of the global waste and recycling market, leaving in its trace a disproportionate environmental and health burden on the world's most vulnerable populations. East Asian and Pacific countries, where most globally generated plastic waste has been exported since the late 1980s, are marked by underdeveloped, inefficient, or non-existent waste management infrastructures. Despite the highly visible environmental and human health impacts of plastic pollution, the global plastic waste trade has predominantly operated outside the scope of the Basel Convention on the Control of Transboundary Movements of Hazardous Wastes and Their Disposal. In 2019, however, this treaty was amended to explicitly bring all but a narrow stream of plastic waste within the category of wastes controlled as “hazardous waste,” or “waste requiring special consideration.” This essay explains the international legal implications of the amendment and discusses potential challenges related to its implementation and enforcement. It argues that in order to be effective, the new plastic waste trading rules will require further legal clarity, greater transparency in plastic waste trade that is not regulated under the Convention, and stronger law enforcement cooperation between customs and environmental protection authorities, both within and between countries. Since controlling all plastic waste trade at point of export is, in practice, impossible given the state of global shipping infrastructures and container traffic volume, the most effective approach to curbing plastic waste pollution and illegal trade lies outside the mandate of the Basel Convention, notably, in assigning financial and environmental responsibility for plastic waste within plastic product supply chains.","DOI":"10.1017/aju.2020.38","ISSN":"2398-7723","language":"en","note":"publisher: Cambridge University Press","page":"200-205","source":"Cambridge University Press","title":"Clearly Hazardous, Obscurely Regulated: Lessons from the Basel Convention on Waste Trade","title-short":"Clearly Hazardous, Obscurely Regulated","volume":"114","author":[{"family":"Khan","given":"Sabaa Ahmad"}],"issued":{"date-parts":[["2020"]],"season":"ed"}}},{"id":1457,"uris":["http://zotero.org/users/11068333/items/8LFXM55Y"],"itemData":{"id":1457,"type":"webpage","title":"Basel Convention &gt; Implementation &gt; Legal Matters &gt; Illegal Traffic &gt; Cases of Illegal Traffic","URL":"http://www.basel.int/Implementation/LegalMatters/IllegalTraffic/CasesofIllegalTraffic/tabid/3424/Default.aspx","accessed":{"date-parts":[["2023",4,3]]}}}],"schema":"https://github.com/citation-style-language/schema/raw/master/csl-citation.json"} </w:instrText>
      </w:r>
      <w:r>
        <w:rPr>
          <w:rFonts w:ascii="Calibri" w:hAnsi="Calibri" w:cs="Calibri"/>
        </w:rPr>
        <w:fldChar w:fldCharType="separate"/>
      </w:r>
      <w:r w:rsidRPr="0042154F">
        <w:rPr>
          <w:rFonts w:ascii="Calibri" w:hAnsi="Calibri" w:cs="Calibri"/>
        </w:rPr>
        <w:t>(</w:t>
      </w:r>
      <w:r w:rsidRPr="0042154F">
        <w:rPr>
          <w:rFonts w:ascii="Calibri" w:hAnsi="Calibri" w:cs="Calibri"/>
          <w:i/>
          <w:iCs/>
        </w:rPr>
        <w:t>13</w:t>
      </w:r>
      <w:r w:rsidRPr="0042154F">
        <w:rPr>
          <w:rFonts w:ascii="Calibri" w:hAnsi="Calibri" w:cs="Calibri"/>
        </w:rPr>
        <w:t xml:space="preserve">, </w:t>
      </w:r>
      <w:r w:rsidRPr="0042154F">
        <w:rPr>
          <w:rFonts w:ascii="Calibri" w:hAnsi="Calibri" w:cs="Calibri"/>
          <w:i/>
          <w:iCs/>
        </w:rPr>
        <w:t>51</w:t>
      </w:r>
      <w:r w:rsidRPr="0042154F">
        <w:rPr>
          <w:rFonts w:ascii="Calibri" w:hAnsi="Calibri" w:cs="Calibri"/>
        </w:rPr>
        <w:t>)</w:t>
      </w:r>
      <w:r>
        <w:rPr>
          <w:rFonts w:ascii="Calibri" w:hAnsi="Calibri" w:cs="Calibri"/>
        </w:rPr>
        <w:fldChar w:fldCharType="end"/>
      </w:r>
      <w:r>
        <w:rPr>
          <w:rFonts w:ascii="Calibri" w:hAnsi="Calibri" w:cs="Calibri"/>
        </w:rPr>
        <w:t xml:space="preserve">. However, with congested ports, limited workforces, and massive volumes of goods to monitor, even suspicious trade cargo are typically not inspected </w:t>
      </w:r>
      <w:r>
        <w:rPr>
          <w:rFonts w:ascii="Calibri" w:hAnsi="Calibri" w:cs="Calibri"/>
        </w:rPr>
        <w:fldChar w:fldCharType="begin"/>
      </w:r>
      <w:r>
        <w:rPr>
          <w:rFonts w:ascii="Calibri" w:hAnsi="Calibri" w:cs="Calibri"/>
        </w:rPr>
        <w:instrText xml:space="preserve"> ADDIN ZOTERO_ITEM CSL_CITATION {"citationID":"pPUuLP9s","properties":{"formattedCitation":"({\\i{}13})","plainCitation":"(13)","noteIndex":0},"citationItems":[{"id":1459,"uris":["http://zotero.org/users/11068333/items/IT5WFQRS"],"itemData":{"id":1459,"type":"article-journal","abstract":"As an internationally-traded commodity, plastic waste has long followed the profitability dynamics of the global waste and recycling market, leaving in its trace a disproportionate environmental and health burden on the world's most vulnerable populations. East Asian and Pacific countries, where most globally generated plastic waste has been exported since the late 1980s, are marked by underdeveloped, inefficient, or non-existent waste management infrastructures. Despite the highly visible environmental and human health impacts of plastic pollution, the global plastic waste trade has predominantly operated outside the scope of the Basel Convention on the Control of Transboundary Movements of Hazardous Wastes and Their Disposal. In 2019, however, this treaty was amended to explicitly bring all but a narrow stream of plastic waste within the category of wastes controlled as “hazardous waste,” or “waste requiring special consideration.” This essay explains the international legal implications of the amendment and discusses potential challenges related to its implementation and enforcement. It argues that in order to be effective, the new plastic waste trading rules will require further legal clarity, greater transparency in plastic waste trade that is not regulated under the Convention, and stronger law enforcement cooperation between customs and environmental protection authorities, both within and between countries. Since controlling all plastic waste trade at point of export is, in practice, impossible given the state of global shipping infrastructures and container traffic volume, the most effective approach to curbing plastic waste pollution and illegal trade lies outside the mandate of the Basel Convention, notably, in assigning financial and environmental responsibility for plastic waste within plastic product supply chains.","DOI":"10.1017/aju.2020.38","ISSN":"2398-7723","language":"en","note":"publisher: Cambridge University Press","page":"200-205","source":"Cambridge University Press","title":"Clearly Hazardous, Obscurely Regulated: Lessons from the Basel Convention on Waste Trade","title-short":"Clearly Hazardous, Obscurely Regulated","volume":"114","author":[{"family":"Khan","given":"Sabaa Ahmad"}],"issued":{"date-parts":[["2020"]],"season":"ed"}}}],"schema":"https://github.com/citation-style-language/schema/raw/master/csl-citation.json"} </w:instrText>
      </w:r>
      <w:r>
        <w:rPr>
          <w:rFonts w:ascii="Calibri" w:hAnsi="Calibri" w:cs="Calibri"/>
        </w:rPr>
        <w:fldChar w:fldCharType="separate"/>
      </w:r>
      <w:r w:rsidRPr="00D74771">
        <w:rPr>
          <w:rFonts w:ascii="Calibri" w:hAnsi="Calibri" w:cs="Calibri"/>
        </w:rPr>
        <w:t>(</w:t>
      </w:r>
      <w:r w:rsidRPr="00D74771">
        <w:rPr>
          <w:rFonts w:ascii="Calibri" w:hAnsi="Calibri" w:cs="Calibri"/>
          <w:i/>
          <w:iCs/>
        </w:rPr>
        <w:t>13</w:t>
      </w:r>
      <w:r w:rsidRPr="00D74771">
        <w:rPr>
          <w:rFonts w:ascii="Calibri" w:hAnsi="Calibri" w:cs="Calibri"/>
        </w:rPr>
        <w:t>)</w:t>
      </w:r>
      <w:r>
        <w:rPr>
          <w:rFonts w:ascii="Calibri" w:hAnsi="Calibri" w:cs="Calibri"/>
        </w:rPr>
        <w:fldChar w:fldCharType="end"/>
      </w:r>
      <w:r>
        <w:rPr>
          <w:rFonts w:ascii="Calibri" w:hAnsi="Calibri" w:cs="Calibri"/>
        </w:rPr>
        <w:t xml:space="preserve">. As a result, effectively </w:t>
      </w:r>
      <w:r>
        <w:rPr>
          <w:rFonts w:ascii="Calibri" w:hAnsi="Calibri" w:cs="Calibri"/>
        </w:rPr>
        <w:lastRenderedPageBreak/>
        <w:t xml:space="preserve">tracking the original source, true quality, and true quantities of plastic waste exports remains an obstacle to develop global inventories of plastic waste sources </w:t>
      </w:r>
      <w:r>
        <w:rPr>
          <w:rFonts w:ascii="Calibri" w:hAnsi="Calibri" w:cs="Calibri"/>
        </w:rPr>
        <w:fldChar w:fldCharType="begin"/>
      </w:r>
      <w:r>
        <w:rPr>
          <w:rFonts w:ascii="Calibri" w:hAnsi="Calibri" w:cs="Calibri"/>
        </w:rPr>
        <w:instrText xml:space="preserve"> ADDIN ZOTERO_ITEM CSL_CITATION {"citationID":"0rMmlg5S","properties":{"formattedCitation":"({\\i{}32})","plainCitation":"(32)","noteIndex":0},"citationItems":[{"id":1437,"uris":["http://zotero.org/users/11068333/items/BSE35R6G"],"itemData":{"id":1437,"type":"article-journal","container-title":"Science","DOI":"10.1126/science.abi9010","issue":"6550","note":"publisher: American Association for the Advancement of Science","page":"43-47","source":"science.org (Atypon)","title":"A binding global agreement to address the life cycle of plastics","volume":"373","author":[{"family":"Simon","given":"Nils"},{"family":"Raubenheimer","given":"Karen"},{"family":"Urho","given":"Niko"},{"family":"Unger","given":"Sebastian"},{"family":"Azoulay","given":"David"},{"family":"Farrelly","given":"Trisia"},{"family":"Sousa","given":"Joao"},{"family":"Asselt","given":"Harro","non-dropping-particle":"van"},{"family":"Carlini","given":"Giulia"},{"family":"Sekomo","given":"Christian"},{"family":"Schulte","given":"Maro Luisa"},{"family":"Busch","given":"Per-Olof"},{"family":"Wienrich","given":"Nicole"},{"family":"Weiand","given":"Laura"}],"issued":{"date-parts":[["2021",7,2]]}}}],"schema":"https://github.com/citation-style-language/schema/raw/master/csl-citation.json"} </w:instrText>
      </w:r>
      <w:r>
        <w:rPr>
          <w:rFonts w:ascii="Calibri" w:hAnsi="Calibri" w:cs="Calibri"/>
        </w:rPr>
        <w:fldChar w:fldCharType="separate"/>
      </w:r>
      <w:r w:rsidRPr="0019786B">
        <w:rPr>
          <w:rFonts w:ascii="Calibri" w:hAnsi="Calibri" w:cs="Calibri"/>
        </w:rPr>
        <w:t>(</w:t>
      </w:r>
      <w:r w:rsidRPr="0019786B">
        <w:rPr>
          <w:rFonts w:ascii="Calibri" w:hAnsi="Calibri" w:cs="Calibri"/>
          <w:i/>
          <w:iCs/>
        </w:rPr>
        <w:t>32</w:t>
      </w:r>
      <w:r w:rsidRPr="0019786B">
        <w:rPr>
          <w:rFonts w:ascii="Calibri" w:hAnsi="Calibri" w:cs="Calibri"/>
        </w:rPr>
        <w:t>)</w:t>
      </w:r>
      <w:r>
        <w:rPr>
          <w:rFonts w:ascii="Calibri" w:hAnsi="Calibri" w:cs="Calibri"/>
        </w:rPr>
        <w:fldChar w:fldCharType="end"/>
      </w:r>
      <w:r>
        <w:rPr>
          <w:rFonts w:ascii="Calibri" w:hAnsi="Calibri" w:cs="Calibri"/>
        </w:rPr>
        <w:t xml:space="preserve">. </w:t>
      </w:r>
    </w:p>
    <w:p w14:paraId="2F286E44" w14:textId="77777777" w:rsidR="00FA2316" w:rsidRDefault="00FA2316" w:rsidP="00FA2316">
      <w:pPr>
        <w:spacing w:line="480" w:lineRule="auto"/>
        <w:rPr>
          <w:rFonts w:ascii="Calibri" w:hAnsi="Calibri" w:cs="Calibri"/>
        </w:rPr>
      </w:pPr>
    </w:p>
    <w:p w14:paraId="3D1AE978" w14:textId="77777777" w:rsidR="00FA2316" w:rsidRDefault="00FA2316" w:rsidP="00FA2316">
      <w:pPr>
        <w:spacing w:line="480" w:lineRule="auto"/>
        <w:rPr>
          <w:rFonts w:ascii="Calibri" w:hAnsi="Calibri" w:cs="Calibri"/>
        </w:rPr>
      </w:pPr>
      <w:r>
        <w:rPr>
          <w:rFonts w:ascii="Calibri" w:hAnsi="Calibri" w:cs="Calibri"/>
        </w:rPr>
        <w:t xml:space="preserve">Probabilistic models attempt to incorporate the influence of many parameters such as wind, terrain slope, and precipitation, river flow, and stream order however these can be difficult to properly calibrate, particularly at a global scale </w:t>
      </w:r>
      <w:r>
        <w:rPr>
          <w:rFonts w:ascii="Calibri" w:hAnsi="Calibri" w:cs="Calibri"/>
        </w:rPr>
        <w:fldChar w:fldCharType="begin"/>
      </w:r>
      <w:r>
        <w:rPr>
          <w:rFonts w:ascii="Calibri" w:hAnsi="Calibri" w:cs="Calibri"/>
        </w:rPr>
        <w:instrText xml:space="preserve"> ADDIN ZOTERO_ITEM CSL_CITATION {"citationID":"xGkVfqQ9","properties":{"formattedCitation":"({\\i{}23}, {\\i{}62})","plainCitation":"(23, 62)","noteIndex":0},"citationItems":[{"id":11,"uris":["http://zotero.org/users/11068333/items/6BI59QZ2"],"itemData":{"id":11,"type":"article-journal","container-title":"Science Advances","DOI":"10.1126/sciadv.aaz5803","issue":"18","note":"publisher: American Association for the Advancement of Science","page":"eaaz5803","source":"science.org (Atypon)","title":"More than 1000 rivers account for 80% of global riverine plastic emissions into the ocean","volume":"7","author":[{"family":"Meijer","given":"Lourens J. J."},{"family":"Emmerik","given":"Tim","non-dropping-particle":"van"},{"family":"Ent","given":"Ruud","non-dropping-particle":"van der"},{"family":"Schmidt","given":"Christian"},{"family":"Lebreton","given":"Laurent"}],"issued":{"date-parts":[["2021",4,30]]}}},{"id":1546,"uris":["http://zotero.org/users/11068333/items/3BT6Y7BK"],"itemData":{"id":1546,"type":"article-journal","abstract":"Plastic pollution in the natural environment is causing increasing concern at both the local and global scale. Understanding the dispersion of plastic through the environment is of key importance for the effective implementation of preventive measures and cleanup strategies. Over the past few years, various models have been developed to estimate the transport of plastics in rivers, using limited plastic observations in river systems. However, there is a large discrepancy between the amount of plastic being modelled to leave the river systems, and the amount of plastic that has been found in the seas and oceans. Here, we investigate one of the possible causes of this mismatch by performing an extensive uncertainty analysis of the riverine plastic export estimates. We examine the uncertainty from the homogenisation of observations, model parameter uncertainty, and underlying assumptions in models. To this end, we use the to-date most complete time-series of macroplastic observations (macroplastics have been found to contain most of the plastic mass transported by rivers), coming from three European rivers. The results show that model structure and parameter uncertainty causes up to four orders of magnitude, while the homogenisation of plastic observations introduces an additional three orders of magnitude uncertainty in the estimates. Additionally, most global models assume that variations in the plastic flux are primarily driven by river discharge. However, we show that correlations between river discharge (and other environmental drivers) and the plastic flux are never above 0.5, and strongly vary between catchments. Overall, we conclude that the yearly plastic load in rivers remains poorly constrained.","container-title":"Environmental Pollution","DOI":"10.1016/j.envpol.2022.119948","ISSN":"0269-7491","journalAbbreviation":"Environmental Pollution","language":"en","page":"119948","source":"ScienceDirect","title":"The quest for the missing plastics: Large uncertainties in river plastic export into the sea","title-short":"The quest for the missing plastics","volume":"312","author":[{"family":"Roebroek","given":"Caspar T. J."},{"family":"Laufkötter","given":"Charlotte"},{"family":"González-Fernández","given":"Daniel"},{"family":"Emmerik","given":"Tim","non-dropping-particle":"van"}],"issued":{"date-parts":[["2022",11,1]]}}}],"schema":"https://github.com/citation-style-language/schema/raw/master/csl-citation.json"} </w:instrText>
      </w:r>
      <w:r>
        <w:rPr>
          <w:rFonts w:ascii="Calibri" w:hAnsi="Calibri" w:cs="Calibri"/>
        </w:rPr>
        <w:fldChar w:fldCharType="separate"/>
      </w:r>
      <w:r w:rsidRPr="006F1347">
        <w:rPr>
          <w:rFonts w:ascii="Calibri" w:hAnsi="Calibri" w:cs="Calibri"/>
        </w:rPr>
        <w:t>(</w:t>
      </w:r>
      <w:r w:rsidRPr="006F1347">
        <w:rPr>
          <w:rFonts w:ascii="Calibri" w:hAnsi="Calibri" w:cs="Calibri"/>
          <w:i/>
          <w:iCs/>
        </w:rPr>
        <w:t>23</w:t>
      </w:r>
      <w:r w:rsidRPr="006F1347">
        <w:rPr>
          <w:rFonts w:ascii="Calibri" w:hAnsi="Calibri" w:cs="Calibri"/>
        </w:rPr>
        <w:t xml:space="preserve">, </w:t>
      </w:r>
      <w:r w:rsidRPr="006F1347">
        <w:rPr>
          <w:rFonts w:ascii="Calibri" w:hAnsi="Calibri" w:cs="Calibri"/>
          <w:i/>
          <w:iCs/>
        </w:rPr>
        <w:t>62</w:t>
      </w:r>
      <w:r w:rsidRPr="006F1347">
        <w:rPr>
          <w:rFonts w:ascii="Calibri" w:hAnsi="Calibri" w:cs="Calibri"/>
        </w:rPr>
        <w:t>)</w:t>
      </w:r>
      <w:r>
        <w:rPr>
          <w:rFonts w:ascii="Calibri" w:hAnsi="Calibri" w:cs="Calibri"/>
        </w:rPr>
        <w:fldChar w:fldCharType="end"/>
      </w:r>
      <w:r>
        <w:rPr>
          <w:rFonts w:ascii="Calibri" w:hAnsi="Calibri" w:cs="Calibri"/>
        </w:rPr>
        <w:t xml:space="preserve">. Other modelling approaches include observational extrapolation or linear regression models connected to environmental drivers, though these may be skewed by incomplete or unrepresentative samples </w:t>
      </w:r>
      <w:r>
        <w:rPr>
          <w:rFonts w:ascii="Calibri" w:hAnsi="Calibri" w:cs="Calibri"/>
        </w:rPr>
        <w:fldChar w:fldCharType="begin"/>
      </w:r>
      <w:r>
        <w:rPr>
          <w:rFonts w:ascii="Calibri" w:hAnsi="Calibri" w:cs="Calibri"/>
        </w:rPr>
        <w:instrText xml:space="preserve"> ADDIN ZOTERO_ITEM CSL_CITATION {"citationID":"Xm79uPj0","properties":{"formattedCitation":"({\\i{}62}\\uc0\\u8211{}{\\i{}64})","plainCitation":"(62–64)","noteIndex":0},"citationItems":[{"id":1546,"uris":["http://zotero.org/users/11068333/items/3BT6Y7BK"],"itemData":{"id":1546,"type":"article-journal","abstract":"Plastic pollution in the natural environment is causing increasing concern at both the local and global scale. Understanding the dispersion of plastic through the environment is of key importance for the effective implementation of preventive measures and cleanup strategies. Over the past few years, various models have been developed to estimate the transport of plastics in rivers, using limited plastic observations in river systems. However, there is a large discrepancy between the amount of plastic being modelled to leave the river systems, and the amount of plastic that has been found in the seas and oceans. Here, we investigate one of the possible causes of this mismatch by performing an extensive uncertainty analysis of the riverine plastic export estimates. We examine the uncertainty from the homogenisation of observations, model parameter uncertainty, and underlying assumptions in models. To this end, we use the to-date most complete time-series of macroplastic observations (macroplastics have been found to contain most of the plastic mass transported by rivers), coming from three European rivers. The results show that model structure and parameter uncertainty causes up to four orders of magnitude, while the homogenisation of plastic observations introduces an additional three orders of magnitude uncertainty in the estimates. Additionally, most global models assume that variations in the plastic flux are primarily driven by river discharge. However, we show that correlations between river discharge (and other environmental drivers) and the plastic flux are never above 0.5, and strongly vary between catchments. Overall, we conclude that the yearly plastic load in rivers remains poorly constrained.","container-title":"Environmental Pollution","DOI":"10.1016/j.envpol.2022.119948","ISSN":"0269-7491","journalAbbreviation":"Environmental Pollution","language":"en","page":"119948","source":"ScienceDirect","title":"The quest for the missing plastics: Large uncertainties in river plastic export into the sea","title-short":"The quest for the missing plastics","volume":"312","author":[{"family":"Roebroek","given":"Caspar T. J."},{"family":"Laufkötter","given":"Charlotte"},{"family":"González-Fernández","given":"Daniel"},{"family":"Emmerik","given":"Tim","non-dropping-particle":"van"}],"issued":{"date-parts":[["2022",11,1]]}}},{"id":1502,"uris":["http://zotero.org/users/11068333/items/Z9KRVZEP"],"itemData":{"id":1502,"type":"article-journal","abstract":"Global marine plastic pollution, which is derived mainly from the input of vast amounts of land-based plastic waste, has drawn increasing public attention. Riverine plastic outflows estimated using models based on the concept of mismanaged plastic waste (MPW) are substantially greater than reported field measurements. Herein, we formulate a robust model using the Human Development Index (HDI) as the main predictor, and the modeled riverine plastic outflows are calibrated and validated by available field data. A strong correlation is achieved between model estimates and field measurements, with a regression coefficient of r2 = 0.9. The model estimates that the global plastic outflows from 1518 main rivers were in the range of 57,000–265,000 (median: 134,000) MT year–1 in 2018, which were approximately one-tenth of the estimates by MPW-based models. With increased plastic production and human development, the global riverine plastic outflow is projected to peak in 2028 in a modeled trajectory of 2010–2050. The HDI is a better indicator than MPW to estimate global riverine plastic outflows, and plastic pollution can be effectively assessed and contained during human development processes. The much lower global riverine plastic outflows should substantially ease the public’s concern about marine plastic pollution and financial pressure for remediation.","container-title":"Environmental Science &amp; Technology","DOI":"10.1021/acs.est.0c02273","ISSN":"0013-936X","issue":"16","journalAbbreviation":"Environ. Sci. Technol.","note":"publisher: American Chemical Society","page":"10049-10056","source":"ACS Publications","title":"Global Riverine Plastic Outflows","volume":"54","author":[{"family":"Mai","given":"Lei"},{"family":"Sun","given":"Xiang-Fei"},{"family":"Xia","given":"Lin-Lin"},{"family":"Bao","given":"Lian-Jun"},{"family":"Liu","given":"Liang-Ying"},{"family":"Zeng","given":"Eddy Y."}],"issued":{"date-parts":[["2020",8,18]]}}},{"id":1500,"uris":["http://zotero.org/users/11068333/items/QEQ928RC"],"itemData":{"id":1500,"type":"article-journal","abstract":"Plastic floating at the ocean surface, estimated at tens to hundreds of thousands of metric tons, represents only a small fraction of the estimated several million metric tons annually discharged by rivers. Such an imbalance promoted the search for a missing plastic sink that could explain the rapid removal of river-sourced plastics from the ocean surface. On the basis of an in-depth statistical reanalysis of updated data on microplastics—a size fraction for which both ocean and river sampling rely on equal techniques—we demonstrate that current river flux assessments are overestimated by two to three orders of magnitude. Accordingly, the average residence time of microplastics at the ocean surface rises from a few days to several years, strongly reducing the theoretical need for a missing sink.","container-title":"Science","DOI":"10.1126/science.abe0290","issue":"6550","note":"publisher: American Association for the Advancement of Science","page":"107-111","source":"science.org (Atypon)","title":"The missing ocean plastic sink: Gone with the rivers","title-short":"The missing ocean plastic sink","volume":"373","author":[{"family":"Weiss","given":"Lisa"},{"family":"Ludwig","given":"Wolfgang"},{"family":"Heussner","given":"Serge"},{"family":"Canals","given":"Miquel"},{"family":"Ghiglione","given":"Jean-François"},{"family":"Estournel","given":"Claude"},{"family":"Constant","given":"Mel"},{"family":"Kerhervé","given":"Philippe"}],"issued":{"date-parts":[["2021",7,2]]}}}],"schema":"https://github.com/citation-style-language/schema/raw/master/csl-citation.json"} </w:instrText>
      </w:r>
      <w:r>
        <w:rPr>
          <w:rFonts w:ascii="Calibri" w:hAnsi="Calibri" w:cs="Calibri"/>
        </w:rPr>
        <w:fldChar w:fldCharType="separate"/>
      </w:r>
      <w:r w:rsidRPr="006F1347">
        <w:rPr>
          <w:rFonts w:ascii="Calibri" w:hAnsi="Calibri" w:cs="Calibri"/>
        </w:rPr>
        <w:t>(</w:t>
      </w:r>
      <w:r w:rsidRPr="006F1347">
        <w:rPr>
          <w:rFonts w:ascii="Calibri" w:hAnsi="Calibri" w:cs="Calibri"/>
          <w:i/>
          <w:iCs/>
        </w:rPr>
        <w:t>62</w:t>
      </w:r>
      <w:r w:rsidRPr="006F1347">
        <w:rPr>
          <w:rFonts w:ascii="Calibri" w:hAnsi="Calibri" w:cs="Calibri"/>
        </w:rPr>
        <w:t>–</w:t>
      </w:r>
      <w:r w:rsidRPr="006F1347">
        <w:rPr>
          <w:rFonts w:ascii="Calibri" w:hAnsi="Calibri" w:cs="Calibri"/>
          <w:i/>
          <w:iCs/>
        </w:rPr>
        <w:t>64</w:t>
      </w:r>
      <w:r w:rsidRPr="006F1347">
        <w:rPr>
          <w:rFonts w:ascii="Calibri" w:hAnsi="Calibri" w:cs="Calibri"/>
        </w:rPr>
        <w:t>)</w:t>
      </w:r>
      <w:r>
        <w:rPr>
          <w:rFonts w:ascii="Calibri" w:hAnsi="Calibri" w:cs="Calibri"/>
        </w:rPr>
        <w:fldChar w:fldCharType="end"/>
      </w:r>
      <w:r>
        <w:rPr>
          <w:rFonts w:ascii="Calibri" w:hAnsi="Calibri" w:cs="Calibri"/>
        </w:rPr>
        <w:t xml:space="preserve">. These different techniques have led estimates of plastic litter in the environment spanning more than four order of magnitudes across the literature </w:t>
      </w:r>
      <w:r>
        <w:rPr>
          <w:rFonts w:ascii="Calibri" w:hAnsi="Calibri" w:cs="Calibri"/>
        </w:rPr>
        <w:fldChar w:fldCharType="begin"/>
      </w:r>
      <w:r>
        <w:rPr>
          <w:rFonts w:ascii="Calibri" w:hAnsi="Calibri" w:cs="Calibri"/>
        </w:rPr>
        <w:instrText xml:space="preserve"> ADDIN ZOTERO_ITEM CSL_CITATION {"citationID":"mGJhhWsF","properties":{"formattedCitation":"({\\i{}59})","plainCitation":"(59)","noteIndex":0},"citationItems":[{"id":1526,"uris":["http://zotero.org/users/11068333/items/4RBCHF9X"],"itemData":{"id":1526,"type":"article-journal","abstract":"Estimates of plastic input from rivers to ocean vary by up to five orders of magnitude. Harmonization of field data used to calibrate models and a better understanding of transport processes are key to reducing these uncertainties, contributing to meaningful assessments of the effectiveness of environmental regulations against plastic pollution.","container-title":"Nature Reviews Earth &amp; Environment","DOI":"10.1038/s43017-023-00448-3","ISSN":"2662-138X","journalAbbreviation":"Nat Rev Earth Environ","language":"en","license":"2023 Springer Nature Limited","note":"publisher: Nature Publishing Group","page":"1-3","source":"www.nature.com","title":"Diverging estimates of river plastic input to the ocean","author":[{"family":"González-Fernández","given":"Daniel"},{"family":"Roebroek","given":"Caspar T. J."},{"family":"Laufkötter","given":"Charlotte"},{"family":"Cózar","given":"Andrés"},{"family":"Emmerik","given":"Tim H. M.","non-dropping-particle":"van"}],"issued":{"date-parts":[["2023",6,12]]}}}],"schema":"https://github.com/citation-style-language/schema/raw/master/csl-citation.json"} </w:instrText>
      </w:r>
      <w:r>
        <w:rPr>
          <w:rFonts w:ascii="Calibri" w:hAnsi="Calibri" w:cs="Calibri"/>
        </w:rPr>
        <w:fldChar w:fldCharType="separate"/>
      </w:r>
      <w:r w:rsidRPr="006F1347">
        <w:rPr>
          <w:rFonts w:ascii="Calibri" w:hAnsi="Calibri" w:cs="Calibri"/>
        </w:rPr>
        <w:t>(</w:t>
      </w:r>
      <w:r w:rsidRPr="006F1347">
        <w:rPr>
          <w:rFonts w:ascii="Calibri" w:hAnsi="Calibri" w:cs="Calibri"/>
          <w:i/>
          <w:iCs/>
        </w:rPr>
        <w:t>59</w:t>
      </w:r>
      <w:r w:rsidRPr="006F1347">
        <w:rPr>
          <w:rFonts w:ascii="Calibri" w:hAnsi="Calibri" w:cs="Calibri"/>
        </w:rPr>
        <w:t>)</w:t>
      </w:r>
      <w:r>
        <w:rPr>
          <w:rFonts w:ascii="Calibri" w:hAnsi="Calibri" w:cs="Calibri"/>
        </w:rPr>
        <w:fldChar w:fldCharType="end"/>
      </w:r>
      <w:r>
        <w:rPr>
          <w:rFonts w:ascii="Calibri" w:hAnsi="Calibri" w:cs="Calibri"/>
        </w:rPr>
        <w:t>. In the case of our probabilistic model, the relationship between mismanaged waste and the aquatic environment was a highly uncertain parameter. W</w:t>
      </w:r>
      <w:r w:rsidRPr="00292DFA">
        <w:rPr>
          <w:rFonts w:ascii="Calibri" w:hAnsi="Calibri" w:cs="Calibri"/>
        </w:rPr>
        <w:t xml:space="preserve">e </w:t>
      </w:r>
      <w:r>
        <w:rPr>
          <w:rFonts w:ascii="Calibri" w:hAnsi="Calibri" w:cs="Calibri"/>
        </w:rPr>
        <w:t xml:space="preserve">modeled </w:t>
      </w:r>
      <w:r w:rsidRPr="00DC6325">
        <w:rPr>
          <w:rFonts w:ascii="Calibri" w:hAnsi="Calibri" w:cs="Calibri"/>
        </w:rPr>
        <w:t xml:space="preserve">the </w:t>
      </w:r>
      <w:r w:rsidRPr="00983997">
        <w:rPr>
          <w:rFonts w:ascii="Calibri" w:hAnsi="Calibri" w:cs="Calibri"/>
        </w:rPr>
        <w:t>spatial reach of the aquatic environment</w:t>
      </w:r>
      <w:r>
        <w:rPr>
          <w:rFonts w:ascii="Calibri" w:hAnsi="Calibri" w:cs="Calibri"/>
        </w:rPr>
        <w:t xml:space="preserve"> b</w:t>
      </w:r>
      <w:r w:rsidRPr="00292DFA">
        <w:rPr>
          <w:rFonts w:ascii="Calibri" w:hAnsi="Calibri" w:cs="Calibri"/>
        </w:rPr>
        <w:t>y using state-of-the-art hydrological information on the location of permanent surface water bodies,</w:t>
      </w:r>
      <w:r>
        <w:rPr>
          <w:rFonts w:ascii="Calibri" w:hAnsi="Calibri" w:cs="Calibri"/>
        </w:rPr>
        <w:t xml:space="preserve"> however the extent of the aquatic environment varies drastically depending on probability of intermittence used as the minimum threshold of a permanent water body</w:t>
      </w:r>
      <w:r w:rsidRPr="00292DFA">
        <w:rPr>
          <w:rFonts w:ascii="Calibri" w:hAnsi="Calibri" w:cs="Calibri"/>
        </w:rPr>
        <w:t xml:space="preserve"> </w:t>
      </w:r>
      <w:r>
        <w:rPr>
          <w:rFonts w:ascii="Calibri" w:hAnsi="Calibri" w:cs="Calibri"/>
        </w:rPr>
        <w:fldChar w:fldCharType="begin"/>
      </w:r>
      <w:r>
        <w:rPr>
          <w:rFonts w:ascii="Calibri" w:hAnsi="Calibri" w:cs="Calibri"/>
        </w:rPr>
        <w:instrText xml:space="preserve"> ADDIN ZOTERO_ITEM CSL_CITATION {"citationID":"FdId9Fps","properties":{"formattedCitation":"({\\i{}56})","plainCitation":"(56)","noteIndex":0},"citationItems":[{"id":13,"uris":["http://zotero.org/users/local/qjhRH7RZ/items/LNBHYQE9","http://zotero.org/users/11068333/items/LNBHYQE9"],"itemData":{"id":13,"type":"article-journal","abstract":"Flowing waters have a unique role in supporting global biodiversity, biogeochemical cycles and human societies1–5. Although the importance of permanent watercourses is well recognized, the prevalence, value and fate of non-perennial rivers and streams that periodically cease to flow tend to be overlooked, if not ignored6–8. This oversight contributes to the degradation of the main source of water and livelihood for millions of people5. Here we predict that water ceases to flow for at least one day per year along 51–60 per cent of the world’s rivers by length, demonstrating that non-perennial rivers and streams are the rule rather than the exception on Earth. Leveraging global information on the hydrology, climate, geology and surrounding land cover of the Earth’s river network, we show that non-perennial rivers occur within all climates and biomes, and on every continent. Our findings challenge the assumptions underpinning foundational river concepts across scientific disciplines9. To understand and adequately manage the world’s flowing waters, their biodiversity and functional integrity, a paradigm shift is needed towards a new conceptual model of rivers that includes flow intermittence. By mapping the distribution of non-perennial rivers and streams, we provide a stepping-stone towards addressing this grand challenge in freshwater science.","container-title":"Nature","DOI":"10.1038/s41586-021-03565-5","ISSN":"1476-4687","issue":"7863","language":"en","license":"2021 The Author(s), under exclusive licence to Springer Nature Limited","note":"number: 7863\npublisher: Nature Publishing Group","page":"391-397","source":"www.nature.com","title":"Global prevalence of non-perennial rivers and streams","volume":"594","author":[{"family":"Messager","given":"Mathis Loïc"},{"family":"Lehner","given":"Bernhard"},{"family":"Cockburn","given":"Charlotte"},{"family":"Lamouroux","given":"Nicolas"},{"family":"Pella","given":"Hervé"},{"family":"Snelder","given":"Ton"},{"family":"Tockner","given":"Klement"},{"family":"Trautmann","given":"Tim"},{"family":"Watt","given":"Caitlin"},{"family":"Datry","given":"Thibault"}],"issued":{"date-parts":[["2021",6]]}}}],"schema":"https://github.com/citation-style-language/schema/raw/master/csl-citation.json"} </w:instrText>
      </w:r>
      <w:r>
        <w:rPr>
          <w:rFonts w:ascii="Calibri" w:hAnsi="Calibri" w:cs="Calibri"/>
        </w:rPr>
        <w:fldChar w:fldCharType="separate"/>
      </w:r>
      <w:r w:rsidRPr="006F1347">
        <w:rPr>
          <w:rFonts w:ascii="Calibri" w:hAnsi="Calibri" w:cs="Calibri"/>
        </w:rPr>
        <w:t>(</w:t>
      </w:r>
      <w:r w:rsidRPr="006F1347">
        <w:rPr>
          <w:rFonts w:ascii="Calibri" w:hAnsi="Calibri" w:cs="Calibri"/>
          <w:i/>
          <w:iCs/>
        </w:rPr>
        <w:t>56</w:t>
      </w:r>
      <w:r w:rsidRPr="006F1347">
        <w:rPr>
          <w:rFonts w:ascii="Calibri" w:hAnsi="Calibri" w:cs="Calibri"/>
        </w:rPr>
        <w:t>)</w:t>
      </w:r>
      <w:r>
        <w:rPr>
          <w:rFonts w:ascii="Calibri" w:hAnsi="Calibri" w:cs="Calibri"/>
        </w:rPr>
        <w:fldChar w:fldCharType="end"/>
      </w:r>
      <w:r>
        <w:rPr>
          <w:rFonts w:ascii="Calibri" w:hAnsi="Calibri" w:cs="Calibri"/>
        </w:rPr>
        <w:t xml:space="preserve">. </w:t>
      </w:r>
    </w:p>
    <w:p w14:paraId="4C7B6501" w14:textId="77777777" w:rsidR="00FA2316" w:rsidRDefault="00FA2316" w:rsidP="00FA2316">
      <w:pPr>
        <w:spacing w:line="480" w:lineRule="auto"/>
        <w:rPr>
          <w:rFonts w:ascii="Calibri" w:hAnsi="Calibri" w:cs="Calibri"/>
        </w:rPr>
      </w:pPr>
    </w:p>
    <w:p w14:paraId="34DEAAFC" w14:textId="1E9D239E" w:rsidR="00FA2316" w:rsidRDefault="00FA2316" w:rsidP="00FA2316">
      <w:pPr>
        <w:spacing w:line="480" w:lineRule="auto"/>
        <w:rPr>
          <w:rFonts w:ascii="Calibri" w:eastAsiaTheme="minorEastAsia" w:hAnsi="Calibri" w:cs="Calibri"/>
        </w:rPr>
      </w:pPr>
      <w:r>
        <w:rPr>
          <w:rFonts w:ascii="Calibri" w:hAnsi="Calibri" w:cs="Calibri"/>
        </w:rPr>
        <w:t xml:space="preserve">To explore the influence of these uncertain factors on our model, </w:t>
      </w:r>
      <w:r>
        <w:rPr>
          <w:rFonts w:ascii="Calibri" w:eastAsiaTheme="minorEastAsia" w:hAnsi="Calibri" w:cs="Calibri"/>
        </w:rPr>
        <w:t xml:space="preserve">we performed a sensitivity analysis on five key input </w:t>
      </w:r>
      <w:r w:rsidRPr="004B597C">
        <w:rPr>
          <w:rFonts w:ascii="Calibri" w:eastAsiaTheme="minorEastAsia" w:hAnsi="Calibri" w:cs="Calibri"/>
        </w:rPr>
        <w:t>parameters (</w:t>
      </w:r>
      <w:r w:rsidR="00F54BBA">
        <w:rPr>
          <w:rFonts w:ascii="Calibri" w:eastAsiaTheme="minorEastAsia" w:hAnsi="Calibri" w:cs="Calibri"/>
        </w:rPr>
        <w:fldChar w:fldCharType="begin"/>
      </w:r>
      <w:r w:rsidR="00F54BBA">
        <w:rPr>
          <w:rFonts w:ascii="Calibri" w:eastAsiaTheme="minorEastAsia" w:hAnsi="Calibri" w:cs="Calibri"/>
        </w:rPr>
        <w:instrText xml:space="preserve"> REF _Ref142470214 \h </w:instrText>
      </w:r>
      <w:r w:rsidR="00F54BBA">
        <w:rPr>
          <w:rFonts w:ascii="Calibri" w:eastAsiaTheme="minorEastAsia" w:hAnsi="Calibri" w:cs="Calibri"/>
        </w:rPr>
      </w:r>
      <w:r w:rsidR="00F54BBA">
        <w:rPr>
          <w:rFonts w:ascii="Calibri" w:eastAsiaTheme="minorEastAsia" w:hAnsi="Calibri" w:cs="Calibri"/>
        </w:rPr>
        <w:fldChar w:fldCharType="separate"/>
      </w:r>
      <w:r w:rsidR="00F54BBA" w:rsidRPr="00F54BBA">
        <w:rPr>
          <w:rFonts w:ascii="Calibri" w:hAnsi="Calibri" w:cs="Calibri"/>
        </w:rPr>
        <w:t xml:space="preserve">Supplementary Fig. </w:t>
      </w:r>
      <w:r w:rsidR="00F54BBA" w:rsidRPr="00F54BBA">
        <w:rPr>
          <w:rFonts w:ascii="Calibri" w:hAnsi="Calibri" w:cs="Calibri"/>
          <w:noProof/>
        </w:rPr>
        <w:t>1</w:t>
      </w:r>
      <w:r w:rsidR="00F54BBA">
        <w:rPr>
          <w:rFonts w:ascii="Calibri" w:eastAsiaTheme="minorEastAsia" w:hAnsi="Calibri" w:cs="Calibri"/>
        </w:rPr>
        <w:fldChar w:fldCharType="end"/>
      </w:r>
      <w:r w:rsidRPr="004B597C">
        <w:rPr>
          <w:rFonts w:ascii="Calibri" w:eastAsiaTheme="minorEastAsia" w:hAnsi="Calibri" w:cs="Calibri"/>
        </w:rPr>
        <w:t>).</w:t>
      </w:r>
      <w:r w:rsidRPr="004B597C">
        <w:rPr>
          <w:rFonts w:ascii="Calibri" w:hAnsi="Calibri" w:cs="Calibri"/>
        </w:rPr>
        <w:t xml:space="preserve"> </w:t>
      </w:r>
      <w:r w:rsidRPr="004B597C">
        <w:rPr>
          <w:rFonts w:ascii="Calibri" w:eastAsiaTheme="minorEastAsia" w:hAnsi="Calibri" w:cs="Calibri"/>
        </w:rPr>
        <w:t>First,</w:t>
      </w:r>
      <w:r>
        <w:rPr>
          <w:rFonts w:ascii="Calibri" w:eastAsiaTheme="minorEastAsia" w:hAnsi="Calibri" w:cs="Calibri"/>
        </w:rPr>
        <w:t xml:space="preserve"> we develop minimum and maximum plastic mismanagement waste rates for each country using the data reported by </w:t>
      </w:r>
      <w:r>
        <w:rPr>
          <w:rFonts w:ascii="Calibri" w:hAnsi="Calibri" w:cs="Calibri"/>
        </w:rPr>
        <w:t>Kaza et al. (2018) and Lebreton and Andrady (2019)</w:t>
      </w:r>
      <w:r>
        <w:rPr>
          <w:rFonts w:ascii="Calibri" w:eastAsiaTheme="minorEastAsia" w:hAnsi="Calibri" w:cs="Calibri"/>
        </w:rPr>
        <w:t xml:space="preserve">, and their mean as a midpoint estimate. We find this decreases total aquatic plastic waste to a </w:t>
      </w:r>
      <w:r w:rsidRPr="004B597C">
        <w:rPr>
          <w:rFonts w:ascii="Calibri" w:eastAsiaTheme="minorEastAsia" w:hAnsi="Calibri" w:cs="Calibri"/>
        </w:rPr>
        <w:t>minimum of 23 Mt and a maximum of 50 Mt, highlighting the wide ranges of expected mismanaged wastes (</w:t>
      </w:r>
      <w:r w:rsidR="007B05A2" w:rsidRPr="00812DD7">
        <w:rPr>
          <w:rFonts w:ascii="Calibri" w:eastAsiaTheme="minorEastAsia" w:hAnsi="Calibri" w:cs="Calibri"/>
        </w:rPr>
        <w:t xml:space="preserve">Supplementary Table </w:t>
      </w:r>
      <w:r w:rsidRPr="00812DD7">
        <w:rPr>
          <w:rFonts w:ascii="Calibri" w:eastAsiaTheme="minorEastAsia" w:hAnsi="Calibri" w:cs="Calibri"/>
        </w:rPr>
        <w:t>1</w:t>
      </w:r>
      <w:r w:rsidRPr="004B597C">
        <w:rPr>
          <w:rFonts w:ascii="Calibri" w:eastAsiaTheme="minorEastAsia" w:hAnsi="Calibri" w:cs="Calibri"/>
        </w:rPr>
        <w:t xml:space="preserve">) for </w:t>
      </w:r>
      <w:r w:rsidRPr="004B597C">
        <w:rPr>
          <w:rFonts w:ascii="Calibri" w:eastAsiaTheme="minorEastAsia" w:hAnsi="Calibri" w:cs="Calibri"/>
        </w:rPr>
        <w:lastRenderedPageBreak/>
        <w:t>certain critical countries that generate large amounts of plastic waste annually such as China (range: 11Mt), Russia (range: 5Mt) and Indonesia (range: 1 Mt). Secondly, we modified which waste disposal pathways may be considered mismanaged for each income level. In this analysis we only consider dumped and unaccounted waste across all income levels as mismanaged waste</w:t>
      </w:r>
      <w:r>
        <w:rPr>
          <w:rFonts w:ascii="Calibri" w:eastAsiaTheme="minorEastAsia" w:hAnsi="Calibri" w:cs="Calibri"/>
        </w:rPr>
        <w:t xml:space="preserve"> (</w:t>
      </w:r>
      <w:r w:rsidR="0019207E" w:rsidRPr="003E7F77">
        <w:rPr>
          <w:rFonts w:ascii="Calibri" w:hAnsi="Calibri" w:cs="Calibri"/>
        </w:rPr>
        <w:t xml:space="preserve">Extended Data Table </w:t>
      </w:r>
      <w:r w:rsidR="0019207E" w:rsidRPr="003E7F77">
        <w:rPr>
          <w:rFonts w:ascii="Calibri" w:hAnsi="Calibri" w:cs="Calibri"/>
        </w:rPr>
        <w:fldChar w:fldCharType="begin"/>
      </w:r>
      <w:r w:rsidR="0019207E" w:rsidRPr="003E7F77">
        <w:rPr>
          <w:rFonts w:ascii="Calibri" w:hAnsi="Calibri" w:cs="Calibri"/>
        </w:rPr>
        <w:instrText xml:space="preserve"> SEQ Extended_Data_Table \* ARABIC </w:instrText>
      </w:r>
      <w:r w:rsidR="0019207E" w:rsidRPr="003E7F77">
        <w:rPr>
          <w:rFonts w:ascii="Calibri" w:hAnsi="Calibri" w:cs="Calibri"/>
        </w:rPr>
        <w:fldChar w:fldCharType="separate"/>
      </w:r>
      <w:r w:rsidR="0019207E" w:rsidRPr="003E7F77">
        <w:rPr>
          <w:rFonts w:ascii="Calibri" w:hAnsi="Calibri" w:cs="Calibri"/>
          <w:noProof/>
        </w:rPr>
        <w:t>1</w:t>
      </w:r>
      <w:r w:rsidR="0019207E" w:rsidRPr="003E7F77">
        <w:rPr>
          <w:rFonts w:ascii="Calibri" w:hAnsi="Calibri" w:cs="Calibri"/>
        </w:rPr>
        <w:fldChar w:fldCharType="end"/>
      </w:r>
      <w:r>
        <w:rPr>
          <w:rFonts w:ascii="Calibri" w:eastAsiaTheme="minorEastAsia" w:hAnsi="Calibri" w:cs="Calibri"/>
        </w:rPr>
        <w:t>)</w:t>
      </w:r>
      <w:r w:rsidRPr="004B597C">
        <w:rPr>
          <w:rFonts w:ascii="Calibri" w:eastAsiaTheme="minorEastAsia" w:hAnsi="Calibri" w:cs="Calibri"/>
        </w:rPr>
        <w:t>. Doing so</w:t>
      </w:r>
      <w:r>
        <w:rPr>
          <w:rFonts w:ascii="Calibri" w:eastAsiaTheme="minorEastAsia" w:hAnsi="Calibri" w:cs="Calibri"/>
        </w:rPr>
        <w:t xml:space="preserve"> decreases mismanaged plastic waste to 28 Mt, with Indonesia (4 Mt) and China (2 Mt) accounting for the majority of this decrease. These two </w:t>
      </w:r>
      <w:r w:rsidRPr="004B597C">
        <w:rPr>
          <w:rFonts w:ascii="Calibri" w:eastAsiaTheme="minorEastAsia" w:hAnsi="Calibri" w:cs="Calibri"/>
        </w:rPr>
        <w:t>countries generate large amounts of</w:t>
      </w:r>
      <w:r>
        <w:rPr>
          <w:rFonts w:ascii="Calibri" w:eastAsiaTheme="minorEastAsia" w:hAnsi="Calibri" w:cs="Calibri"/>
        </w:rPr>
        <w:t xml:space="preserve"> </w:t>
      </w:r>
      <w:r w:rsidRPr="004B597C">
        <w:rPr>
          <w:rFonts w:ascii="Calibri" w:eastAsiaTheme="minorEastAsia" w:hAnsi="Calibri" w:cs="Calibri"/>
        </w:rPr>
        <w:t>plastic waste, of which more than 60% is disposed of in ‘unspecified landfills’ (</w:t>
      </w:r>
      <w:r w:rsidR="00812DD7" w:rsidRPr="00812DD7">
        <w:rPr>
          <w:rFonts w:ascii="Calibri" w:eastAsiaTheme="minorEastAsia" w:hAnsi="Calibri" w:cs="Calibri"/>
        </w:rPr>
        <w:t xml:space="preserve">Supplementary Table </w:t>
      </w:r>
      <w:r w:rsidR="00C7613E">
        <w:rPr>
          <w:rFonts w:ascii="Calibri" w:eastAsiaTheme="minorEastAsia" w:hAnsi="Calibri" w:cs="Calibri"/>
        </w:rPr>
        <w:t>6</w:t>
      </w:r>
      <w:r w:rsidRPr="004B597C">
        <w:rPr>
          <w:rFonts w:ascii="Calibri" w:eastAsiaTheme="minorEastAsia" w:hAnsi="Calibri" w:cs="Calibri"/>
        </w:rPr>
        <w:t>). Nevertheless, excluding these two countries, the majority of mismanaged waste in the midpoint estimate is reported as dumped or is unaccounted for, with only a fraction of mismanaged waste being considered as disposed of in various types of landfill</w:t>
      </w:r>
      <w:r w:rsidRPr="00812DD7">
        <w:rPr>
          <w:rFonts w:ascii="Calibri" w:eastAsiaTheme="minorEastAsia" w:hAnsi="Calibri" w:cs="Calibri"/>
        </w:rPr>
        <w:t>s (</w:t>
      </w:r>
      <w:r w:rsidR="00812DD7" w:rsidRPr="00812DD7">
        <w:rPr>
          <w:rFonts w:ascii="Calibri" w:eastAsiaTheme="minorEastAsia" w:hAnsi="Calibri" w:cs="Calibri"/>
        </w:rPr>
        <w:t xml:space="preserve">Supplementary Table </w:t>
      </w:r>
      <w:r w:rsidR="00C7613E">
        <w:rPr>
          <w:rFonts w:ascii="Calibri" w:eastAsiaTheme="minorEastAsia" w:hAnsi="Calibri" w:cs="Calibri"/>
        </w:rPr>
        <w:t>6</w:t>
      </w:r>
      <w:r w:rsidRPr="004B597C">
        <w:rPr>
          <w:rFonts w:ascii="Calibri" w:eastAsiaTheme="minorEastAsia" w:hAnsi="Calibri" w:cs="Calibri"/>
        </w:rPr>
        <w:t xml:space="preserve">.  Thirdly, we adjusted the rate of waste mismanagement of imports by </w:t>
      </w:r>
      <w:r w:rsidRPr="004B597C">
        <w:rPr>
          <w:rFonts w:ascii="Symbol" w:eastAsiaTheme="minorEastAsia" w:hAnsi="Symbol" w:cs="Symbol"/>
        </w:rPr>
        <w:t></w:t>
      </w:r>
      <w:r w:rsidRPr="004B597C">
        <w:rPr>
          <w:rFonts w:ascii="Calibri" w:eastAsiaTheme="minorEastAsia" w:hAnsi="Calibri" w:cs="Calibri"/>
        </w:rPr>
        <w:t xml:space="preserve"> 50% (maximum of</w:t>
      </w:r>
      <w:r w:rsidRPr="00E03AB0">
        <w:rPr>
          <w:rFonts w:ascii="Calibri" w:eastAsiaTheme="minorEastAsia" w:hAnsi="Calibri" w:cs="Calibri"/>
        </w:rPr>
        <w:t xml:space="preserve"> 100%) of the mismanagement rate of domestic waste. Doing so creates a range between 0.7-2.1Mt of trade plastic waste reaching the aquatic environment, most affecting Malaysia (range: 0.3 Mt), </w:t>
      </w:r>
      <w:r w:rsidRPr="004B597C">
        <w:rPr>
          <w:rFonts w:ascii="Calibri" w:eastAsiaTheme="minorEastAsia" w:hAnsi="Calibri" w:cs="Calibri"/>
        </w:rPr>
        <w:t xml:space="preserve">Vietnam (range: 0.3 Mt), and Thailand (range: 0.2 Mt) highlighting the importance of ensuring adequate plastic waste disposal capacity in all major importing nations. Fourthly, we explored the impact of removing our re-export modelling due to the inherent uncertainty from a lack of reported data. This slightly reduces our estimate to 1.2 Mt (from 1.5 Mt), as the majority of intermediaries were found to be high-income countries before reaching their final destination. Without the re-export algorithm these high-income countries, with low mismanagement rates become the destination of trade plastic waste, reducing the global mismanagement rate of traded plastics. With this form of the plastic waste trade, we expect Vietnam would leak 0.15 Mt less plastic </w:t>
      </w:r>
      <w:r w:rsidRPr="004B597C">
        <w:rPr>
          <w:rFonts w:ascii="Calibri" w:eastAsiaTheme="minorEastAsia" w:hAnsi="Calibri" w:cs="Calibri"/>
        </w:rPr>
        <w:lastRenderedPageBreak/>
        <w:t xml:space="preserve">waste, Thailand 0.08 Mt, and Malaysia 0.05 </w:t>
      </w:r>
      <w:r>
        <w:rPr>
          <w:rFonts w:ascii="Calibri" w:eastAsiaTheme="minorEastAsia" w:hAnsi="Calibri" w:cs="Calibri"/>
        </w:rPr>
        <w:t>M</w:t>
      </w:r>
      <w:r w:rsidRPr="004B597C">
        <w:rPr>
          <w:rFonts w:ascii="Calibri" w:eastAsiaTheme="minorEastAsia" w:hAnsi="Calibri" w:cs="Calibri"/>
        </w:rPr>
        <w:t xml:space="preserve">t. Finally, we altered the spatial reach of the aquatic environment, adjusting our criteria from rivers with a </w:t>
      </w:r>
      <w:r w:rsidRPr="004B597C">
        <w:rPr>
          <w:rFonts w:ascii="Calibri" w:hAnsi="Calibri" w:cs="Calibri"/>
        </w:rPr>
        <w:t>50% chance or less of intermittence of at least 1 day per year</w:t>
      </w:r>
      <w:r w:rsidRPr="004B597C">
        <w:rPr>
          <w:rFonts w:ascii="Calibri" w:eastAsiaTheme="minorEastAsia" w:hAnsi="Calibri" w:cs="Calibri"/>
        </w:rPr>
        <w:t xml:space="preserve"> to rivers with a 25% chance or less for a minimum estimate and a 75% chance or less for a maximum estimate. This parameter yields a total range of 25-43 Mt of total plastic waste entering the aquatic environment (</w:t>
      </w:r>
      <w:r w:rsidR="00F54BBA">
        <w:rPr>
          <w:rFonts w:ascii="Calibri" w:eastAsiaTheme="minorEastAsia" w:hAnsi="Calibri" w:cs="Calibri"/>
        </w:rPr>
        <w:fldChar w:fldCharType="begin"/>
      </w:r>
      <w:r w:rsidR="00F54BBA">
        <w:rPr>
          <w:rFonts w:ascii="Calibri" w:eastAsiaTheme="minorEastAsia" w:hAnsi="Calibri" w:cs="Calibri"/>
        </w:rPr>
        <w:instrText xml:space="preserve"> REF _Ref142470214 \h </w:instrText>
      </w:r>
      <w:r w:rsidR="00F54BBA">
        <w:rPr>
          <w:rFonts w:ascii="Calibri" w:eastAsiaTheme="minorEastAsia" w:hAnsi="Calibri" w:cs="Calibri"/>
        </w:rPr>
      </w:r>
      <w:r w:rsidR="00F54BBA">
        <w:rPr>
          <w:rFonts w:ascii="Calibri" w:eastAsiaTheme="minorEastAsia" w:hAnsi="Calibri" w:cs="Calibri"/>
        </w:rPr>
        <w:fldChar w:fldCharType="separate"/>
      </w:r>
      <w:r w:rsidR="00F54BBA" w:rsidRPr="00F54BBA">
        <w:rPr>
          <w:rFonts w:ascii="Calibri" w:hAnsi="Calibri" w:cs="Calibri"/>
        </w:rPr>
        <w:t xml:space="preserve">Supplementary Fig. </w:t>
      </w:r>
      <w:r w:rsidR="00F54BBA" w:rsidRPr="00F54BBA">
        <w:rPr>
          <w:rFonts w:ascii="Calibri" w:hAnsi="Calibri" w:cs="Calibri"/>
          <w:noProof/>
        </w:rPr>
        <w:t>1</w:t>
      </w:r>
      <w:r w:rsidR="00F54BBA">
        <w:rPr>
          <w:rFonts w:ascii="Calibri" w:eastAsiaTheme="minorEastAsia" w:hAnsi="Calibri" w:cs="Calibri"/>
        </w:rPr>
        <w:fldChar w:fldCharType="end"/>
      </w:r>
      <w:r w:rsidRPr="004B597C">
        <w:rPr>
          <w:rFonts w:ascii="Calibri" w:eastAsiaTheme="minorEastAsia" w:hAnsi="Calibri" w:cs="Calibri"/>
        </w:rPr>
        <w:t>), particularly altering estimates in Asia, with China (range: 4 Mt), Thailand (range: 2Mt), India (range: 2Mt), Indonesia (range: 2Mt) accounting for the largest disparities.</w:t>
      </w:r>
    </w:p>
    <w:p w14:paraId="34011099" w14:textId="77777777" w:rsidR="00F54BBA" w:rsidRDefault="00FA2316" w:rsidP="00F54BBA">
      <w:pPr>
        <w:keepNext/>
        <w:spacing w:line="480" w:lineRule="auto"/>
      </w:pPr>
      <w:r>
        <w:rPr>
          <w:noProof/>
        </w:rPr>
        <w:drawing>
          <wp:inline distT="0" distB="0" distL="0" distR="0" wp14:anchorId="6E3A746D" wp14:editId="5391700F">
            <wp:extent cx="5897461" cy="3685913"/>
            <wp:effectExtent l="0" t="0" r="0" b="0"/>
            <wp:docPr id="5" name="Picture 5" descr="A picture containing text, screenshot, diagram, lin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descr="A picture containing text, screenshot, diagram, line&#10;&#10;Description automatically generated"/>
                    <pic:cNvPicPr/>
                  </pic:nvPicPr>
                  <pic:blipFill>
                    <a:blip r:embed="rId7" cstate="print">
                      <a:extLst>
                        <a:ext uri="{28A0092B-C50C-407E-A947-70E740481C1C}">
                          <a14:useLocalDpi xmlns:a14="http://schemas.microsoft.com/office/drawing/2010/main" val="0"/>
                        </a:ext>
                      </a:extLst>
                    </a:blip>
                    <a:stretch>
                      <a:fillRect/>
                    </a:stretch>
                  </pic:blipFill>
                  <pic:spPr>
                    <a:xfrm>
                      <a:off x="0" y="0"/>
                      <a:ext cx="5899252" cy="3687032"/>
                    </a:xfrm>
                    <a:prstGeom prst="rect">
                      <a:avLst/>
                    </a:prstGeom>
                  </pic:spPr>
                </pic:pic>
              </a:graphicData>
            </a:graphic>
          </wp:inline>
        </w:drawing>
      </w:r>
    </w:p>
    <w:p w14:paraId="5ECE2B72" w14:textId="797543E1" w:rsidR="005F22D4" w:rsidRDefault="00F54BBA" w:rsidP="00FC4862">
      <w:pPr>
        <w:spacing w:line="480" w:lineRule="auto"/>
        <w:rPr>
          <w:rFonts w:ascii="Calibri" w:hAnsi="Calibri" w:cs="Calibri"/>
        </w:rPr>
      </w:pPr>
      <w:bookmarkStart w:id="0" w:name="_Ref142470214"/>
      <w:r w:rsidRPr="00F54BBA">
        <w:rPr>
          <w:rFonts w:ascii="Calibri" w:hAnsi="Calibri" w:cs="Calibri"/>
        </w:rPr>
        <w:t xml:space="preserve">Supplementary Fig. </w:t>
      </w:r>
      <w:r w:rsidRPr="00F54BBA">
        <w:rPr>
          <w:rFonts w:ascii="Calibri" w:hAnsi="Calibri" w:cs="Calibri"/>
        </w:rPr>
        <w:fldChar w:fldCharType="begin"/>
      </w:r>
      <w:r w:rsidRPr="00F54BBA">
        <w:rPr>
          <w:rFonts w:ascii="Calibri" w:hAnsi="Calibri" w:cs="Calibri"/>
        </w:rPr>
        <w:instrText xml:space="preserve"> SEQ Supplementary_Fig. \* ARABIC </w:instrText>
      </w:r>
      <w:r w:rsidRPr="00F54BBA">
        <w:rPr>
          <w:rFonts w:ascii="Calibri" w:hAnsi="Calibri" w:cs="Calibri"/>
        </w:rPr>
        <w:fldChar w:fldCharType="separate"/>
      </w:r>
      <w:r w:rsidRPr="00F54BBA">
        <w:rPr>
          <w:rFonts w:ascii="Calibri" w:hAnsi="Calibri" w:cs="Calibri"/>
          <w:noProof/>
        </w:rPr>
        <w:t>1</w:t>
      </w:r>
      <w:r w:rsidRPr="00F54BBA">
        <w:rPr>
          <w:rFonts w:ascii="Calibri" w:hAnsi="Calibri" w:cs="Calibri"/>
        </w:rPr>
        <w:fldChar w:fldCharType="end"/>
      </w:r>
      <w:bookmarkEnd w:id="0"/>
      <w:r w:rsidRPr="00F54BBA">
        <w:rPr>
          <w:rFonts w:ascii="Calibri" w:hAnsi="Calibri" w:cs="Calibri"/>
        </w:rPr>
        <w:t xml:space="preserve"> Results of sensitivity analysis. ‘Mismanaged waste rates’ indicates the ranges in domestic mismanaged waste rates provided by Kaza et al. (2018) and Lebreton and Andrady (2019). ‘Mismanaged import rates’ indicates a change of</w:t>
      </w:r>
      <w:r w:rsidR="00C954FF">
        <w:rPr>
          <w:rFonts w:ascii="Calibri" w:hAnsi="Calibri" w:cs="Calibri"/>
        </w:rPr>
        <w:t xml:space="preserve"> plus or minus</w:t>
      </w:r>
      <w:r w:rsidRPr="00F54BBA">
        <w:rPr>
          <w:rFonts w:ascii="Calibri" w:hAnsi="Calibri" w:cs="Calibri"/>
        </w:rPr>
        <w:t xml:space="preserve"> 50% (maximum of 100%) in mismanaged rates of imports compared to domestic waste. ‘No re-exports’ removes the re-export algorithm applied to net-exporters (see methods). ‘Mismanaged </w:t>
      </w:r>
      <w:r w:rsidRPr="00F54BBA">
        <w:rPr>
          <w:rFonts w:ascii="Calibri" w:hAnsi="Calibri" w:cs="Calibri"/>
        </w:rPr>
        <w:lastRenderedPageBreak/>
        <w:t xml:space="preserve">pathways’ adjusts the mismanaged waste rates of Kaza et al. (2018) using only dumped or unaccounted waste (see </w:t>
      </w:r>
      <w:r w:rsidR="00513F78">
        <w:rPr>
          <w:rFonts w:ascii="Calibri" w:hAnsi="Calibri" w:cs="Calibri"/>
        </w:rPr>
        <w:t>Supplementary</w:t>
      </w:r>
      <w:r w:rsidR="00730112" w:rsidRPr="003E7F77">
        <w:rPr>
          <w:rFonts w:ascii="Calibri" w:hAnsi="Calibri" w:cs="Calibri"/>
        </w:rPr>
        <w:t xml:space="preserve"> Table </w:t>
      </w:r>
      <w:r w:rsidR="0024578F">
        <w:rPr>
          <w:rFonts w:ascii="Calibri" w:hAnsi="Calibri" w:cs="Calibri"/>
        </w:rPr>
        <w:t>6</w:t>
      </w:r>
      <w:r w:rsidRPr="00F54BBA">
        <w:rPr>
          <w:rFonts w:ascii="Calibri" w:hAnsi="Calibri" w:cs="Calibri"/>
        </w:rPr>
        <w:t xml:space="preserve">). ‘Aquatic environment’ adjusts the criteria of perennial rivers from 25-75% chance of intermittence for at least 1 day in year (midpoint = 50%). </w:t>
      </w:r>
      <w:r w:rsidR="00FA2316" w:rsidRPr="00B149AE">
        <w:rPr>
          <w:rFonts w:ascii="Calibri" w:hAnsi="Calibri" w:cs="Calibri"/>
        </w:rPr>
        <w:t xml:space="preserve"> </w:t>
      </w:r>
    </w:p>
    <w:p w14:paraId="49362B14" w14:textId="77777777" w:rsidR="00FC4862" w:rsidRDefault="00FC4862" w:rsidP="00FC4862">
      <w:pPr>
        <w:spacing w:line="480" w:lineRule="auto"/>
        <w:rPr>
          <w:rFonts w:ascii="Calibri" w:hAnsi="Calibri" w:cs="Calibri"/>
        </w:rPr>
      </w:pPr>
    </w:p>
    <w:p w14:paraId="7F47CCA3" w14:textId="15C09AF8" w:rsidR="00FC4862" w:rsidRPr="00FC4862" w:rsidRDefault="00FC4862" w:rsidP="00FC4862">
      <w:pPr>
        <w:spacing w:line="480" w:lineRule="auto"/>
        <w:rPr>
          <w:rFonts w:ascii="Calibri" w:eastAsiaTheme="minorEastAsia" w:hAnsi="Calibri" w:cs="Calibri"/>
        </w:rPr>
      </w:pPr>
      <w:r w:rsidRPr="00FC4862">
        <w:rPr>
          <w:rFonts w:ascii="Calibri" w:hAnsi="Calibri" w:cs="Calibri"/>
        </w:rPr>
        <w:t xml:space="preserve">Supplementary Table </w:t>
      </w:r>
      <w:r w:rsidR="00C56A83">
        <w:rPr>
          <w:rFonts w:ascii="Calibri" w:hAnsi="Calibri" w:cs="Calibri"/>
        </w:rPr>
        <w:t>6.</w:t>
      </w:r>
      <w:r w:rsidRPr="00FC4862">
        <w:rPr>
          <w:rFonts w:ascii="Calibri" w:hAnsi="Calibri" w:cs="Calibri"/>
        </w:rPr>
        <w:t xml:space="preserve"> Disposal pathways of plastic waste and their contribution to mismanagement. </w:t>
      </w:r>
      <w:r w:rsidRPr="00FC4862">
        <w:rPr>
          <w:rFonts w:ascii="Calibri" w:eastAsiaTheme="minorEastAsia" w:hAnsi="Calibri" w:cs="Calibri"/>
        </w:rPr>
        <w:t>In red are pathways assumed to contribute to mismanagement in our midpoint estimate. These pathways are reduced to 0 in our sensitivity analysis to better understand their contribution to total plastic waste mismanagement.</w:t>
      </w:r>
    </w:p>
    <w:tbl>
      <w:tblPr>
        <w:tblW w:w="7300" w:type="dxa"/>
        <w:tblLook w:val="04A0" w:firstRow="1" w:lastRow="0" w:firstColumn="1" w:lastColumn="0" w:noHBand="0" w:noVBand="1"/>
      </w:tblPr>
      <w:tblGrid>
        <w:gridCol w:w="2340"/>
        <w:gridCol w:w="919"/>
        <w:gridCol w:w="1519"/>
        <w:gridCol w:w="1364"/>
        <w:gridCol w:w="1158"/>
      </w:tblGrid>
      <w:tr w:rsidR="00FC4862" w14:paraId="0DB83C98" w14:textId="77777777" w:rsidTr="00FE56F0">
        <w:trPr>
          <w:trHeight w:val="320"/>
        </w:trPr>
        <w:tc>
          <w:tcPr>
            <w:tcW w:w="2340" w:type="dxa"/>
            <w:tcBorders>
              <w:top w:val="nil"/>
              <w:left w:val="nil"/>
              <w:bottom w:val="nil"/>
              <w:right w:val="single" w:sz="4" w:space="0" w:color="auto"/>
            </w:tcBorders>
            <w:shd w:val="clear" w:color="auto" w:fill="auto"/>
            <w:noWrap/>
            <w:vAlign w:val="bottom"/>
            <w:hideMark/>
          </w:tcPr>
          <w:p w14:paraId="5B5A2167" w14:textId="77777777" w:rsidR="00FC4862" w:rsidRDefault="00FC4862" w:rsidP="00FE56F0">
            <w:pPr>
              <w:rPr>
                <w:rFonts w:ascii="Calibri" w:hAnsi="Calibri" w:cs="Calibri"/>
                <w:color w:val="000000"/>
              </w:rPr>
            </w:pPr>
            <w:r>
              <w:rPr>
                <w:rFonts w:ascii="Calibri" w:hAnsi="Calibri" w:cs="Calibri"/>
                <w:color w:val="000000"/>
              </w:rPr>
              <w:t> </w:t>
            </w:r>
          </w:p>
        </w:tc>
        <w:tc>
          <w:tcPr>
            <w:tcW w:w="4960" w:type="dxa"/>
            <w:gridSpan w:val="4"/>
            <w:tcBorders>
              <w:top w:val="nil"/>
              <w:left w:val="nil"/>
              <w:bottom w:val="nil"/>
              <w:right w:val="nil"/>
            </w:tcBorders>
            <w:shd w:val="clear" w:color="auto" w:fill="auto"/>
            <w:noWrap/>
            <w:vAlign w:val="bottom"/>
            <w:hideMark/>
          </w:tcPr>
          <w:p w14:paraId="2BC05CE3" w14:textId="77777777" w:rsidR="00FC4862" w:rsidRDefault="00FC4862" w:rsidP="00FE56F0">
            <w:pPr>
              <w:jc w:val="center"/>
              <w:rPr>
                <w:rFonts w:ascii="Calibri" w:hAnsi="Calibri" w:cs="Calibri"/>
                <w:color w:val="000000"/>
              </w:rPr>
            </w:pPr>
            <w:r>
              <w:rPr>
                <w:rFonts w:ascii="Calibri" w:hAnsi="Calibri" w:cs="Calibri"/>
                <w:color w:val="000000"/>
              </w:rPr>
              <w:t>Mismanaged waste (%)</w:t>
            </w:r>
          </w:p>
        </w:tc>
      </w:tr>
      <w:tr w:rsidR="00FC4862" w14:paraId="05E24DAD" w14:textId="77777777" w:rsidTr="00FE56F0">
        <w:trPr>
          <w:trHeight w:val="320"/>
        </w:trPr>
        <w:tc>
          <w:tcPr>
            <w:tcW w:w="2340" w:type="dxa"/>
            <w:tcBorders>
              <w:top w:val="nil"/>
              <w:left w:val="nil"/>
              <w:bottom w:val="single" w:sz="4" w:space="0" w:color="auto"/>
              <w:right w:val="single" w:sz="4" w:space="0" w:color="auto"/>
            </w:tcBorders>
            <w:shd w:val="clear" w:color="auto" w:fill="auto"/>
            <w:noWrap/>
            <w:vAlign w:val="center"/>
            <w:hideMark/>
          </w:tcPr>
          <w:p w14:paraId="6FF95BAC" w14:textId="77777777" w:rsidR="00FC4862" w:rsidRDefault="00FC4862" w:rsidP="00FE56F0">
            <w:pPr>
              <w:rPr>
                <w:rFonts w:ascii="Calibri" w:hAnsi="Calibri" w:cs="Calibri"/>
                <w:color w:val="000000"/>
              </w:rPr>
            </w:pPr>
            <w:r>
              <w:rPr>
                <w:rFonts w:ascii="Calibri" w:hAnsi="Calibri" w:cs="Calibri"/>
                <w:color w:val="000000"/>
              </w:rPr>
              <w:t> </w:t>
            </w:r>
          </w:p>
        </w:tc>
        <w:tc>
          <w:tcPr>
            <w:tcW w:w="919" w:type="dxa"/>
            <w:tcBorders>
              <w:top w:val="nil"/>
              <w:left w:val="nil"/>
              <w:bottom w:val="single" w:sz="4" w:space="0" w:color="auto"/>
              <w:right w:val="nil"/>
            </w:tcBorders>
            <w:shd w:val="clear" w:color="auto" w:fill="auto"/>
            <w:noWrap/>
            <w:vAlign w:val="center"/>
            <w:hideMark/>
          </w:tcPr>
          <w:p w14:paraId="4C3EC820" w14:textId="77777777" w:rsidR="00FC4862" w:rsidRDefault="00FC4862" w:rsidP="00FE56F0">
            <w:pPr>
              <w:jc w:val="right"/>
              <w:rPr>
                <w:rFonts w:ascii="Calibri" w:hAnsi="Calibri" w:cs="Calibri"/>
                <w:color w:val="000000"/>
              </w:rPr>
            </w:pPr>
            <w:r>
              <w:rPr>
                <w:rFonts w:ascii="Calibri" w:hAnsi="Calibri" w:cs="Calibri"/>
                <w:color w:val="000000"/>
              </w:rPr>
              <w:t>HIC</w:t>
            </w:r>
          </w:p>
        </w:tc>
        <w:tc>
          <w:tcPr>
            <w:tcW w:w="1519" w:type="dxa"/>
            <w:tcBorders>
              <w:top w:val="nil"/>
              <w:left w:val="nil"/>
              <w:bottom w:val="single" w:sz="4" w:space="0" w:color="auto"/>
              <w:right w:val="nil"/>
            </w:tcBorders>
            <w:shd w:val="clear" w:color="auto" w:fill="auto"/>
            <w:noWrap/>
            <w:vAlign w:val="center"/>
            <w:hideMark/>
          </w:tcPr>
          <w:p w14:paraId="1F904A05" w14:textId="77777777" w:rsidR="00FC4862" w:rsidRDefault="00FC4862" w:rsidP="00FE56F0">
            <w:pPr>
              <w:jc w:val="right"/>
              <w:rPr>
                <w:rFonts w:ascii="Calibri" w:hAnsi="Calibri" w:cs="Calibri"/>
                <w:color w:val="000000"/>
              </w:rPr>
            </w:pPr>
            <w:r>
              <w:rPr>
                <w:rFonts w:ascii="Calibri" w:hAnsi="Calibri" w:cs="Calibri"/>
                <w:color w:val="000000"/>
              </w:rPr>
              <w:t>UMC</w:t>
            </w:r>
          </w:p>
        </w:tc>
        <w:tc>
          <w:tcPr>
            <w:tcW w:w="1364" w:type="dxa"/>
            <w:tcBorders>
              <w:top w:val="nil"/>
              <w:left w:val="nil"/>
              <w:bottom w:val="single" w:sz="4" w:space="0" w:color="auto"/>
              <w:right w:val="nil"/>
            </w:tcBorders>
            <w:shd w:val="clear" w:color="auto" w:fill="auto"/>
            <w:noWrap/>
            <w:vAlign w:val="center"/>
            <w:hideMark/>
          </w:tcPr>
          <w:p w14:paraId="7D7465D9" w14:textId="77777777" w:rsidR="00FC4862" w:rsidRDefault="00FC4862" w:rsidP="00FE56F0">
            <w:pPr>
              <w:jc w:val="right"/>
              <w:rPr>
                <w:rFonts w:ascii="Calibri" w:hAnsi="Calibri" w:cs="Calibri"/>
                <w:color w:val="000000"/>
              </w:rPr>
            </w:pPr>
            <w:r>
              <w:rPr>
                <w:rFonts w:ascii="Calibri" w:hAnsi="Calibri" w:cs="Calibri"/>
                <w:color w:val="000000"/>
              </w:rPr>
              <w:t>LMC</w:t>
            </w:r>
          </w:p>
        </w:tc>
        <w:tc>
          <w:tcPr>
            <w:tcW w:w="1158" w:type="dxa"/>
            <w:tcBorders>
              <w:top w:val="nil"/>
              <w:left w:val="nil"/>
              <w:bottom w:val="single" w:sz="4" w:space="0" w:color="auto"/>
              <w:right w:val="nil"/>
            </w:tcBorders>
            <w:shd w:val="clear" w:color="auto" w:fill="auto"/>
            <w:noWrap/>
            <w:vAlign w:val="center"/>
            <w:hideMark/>
          </w:tcPr>
          <w:p w14:paraId="75743356" w14:textId="77777777" w:rsidR="00FC4862" w:rsidRDefault="00FC4862" w:rsidP="00FE56F0">
            <w:pPr>
              <w:jc w:val="right"/>
              <w:rPr>
                <w:rFonts w:ascii="Calibri" w:hAnsi="Calibri" w:cs="Calibri"/>
                <w:color w:val="000000"/>
              </w:rPr>
            </w:pPr>
            <w:r>
              <w:rPr>
                <w:rFonts w:ascii="Calibri" w:hAnsi="Calibri" w:cs="Calibri"/>
                <w:color w:val="000000"/>
              </w:rPr>
              <w:t>LIC</w:t>
            </w:r>
          </w:p>
        </w:tc>
      </w:tr>
      <w:tr w:rsidR="00FC4862" w14:paraId="03EC14FA" w14:textId="77777777" w:rsidTr="00FE56F0">
        <w:trPr>
          <w:trHeight w:val="320"/>
        </w:trPr>
        <w:tc>
          <w:tcPr>
            <w:tcW w:w="2340" w:type="dxa"/>
            <w:tcBorders>
              <w:top w:val="nil"/>
              <w:left w:val="nil"/>
              <w:bottom w:val="nil"/>
              <w:right w:val="single" w:sz="4" w:space="0" w:color="auto"/>
            </w:tcBorders>
            <w:shd w:val="clear" w:color="auto" w:fill="auto"/>
            <w:noWrap/>
            <w:vAlign w:val="center"/>
            <w:hideMark/>
          </w:tcPr>
          <w:p w14:paraId="55CA9AD2" w14:textId="77777777" w:rsidR="00FC4862" w:rsidRDefault="00FC4862" w:rsidP="00FE56F0">
            <w:pPr>
              <w:rPr>
                <w:rFonts w:ascii="Calibri" w:hAnsi="Calibri" w:cs="Calibri"/>
                <w:color w:val="000000"/>
              </w:rPr>
            </w:pPr>
            <w:r>
              <w:rPr>
                <w:rFonts w:ascii="Calibri" w:hAnsi="Calibri" w:cs="Calibri"/>
                <w:color w:val="000000"/>
              </w:rPr>
              <w:t>Open dump</w:t>
            </w:r>
          </w:p>
        </w:tc>
        <w:tc>
          <w:tcPr>
            <w:tcW w:w="919" w:type="dxa"/>
            <w:tcBorders>
              <w:top w:val="nil"/>
              <w:left w:val="nil"/>
              <w:bottom w:val="nil"/>
              <w:right w:val="nil"/>
            </w:tcBorders>
            <w:shd w:val="clear" w:color="auto" w:fill="auto"/>
            <w:noWrap/>
            <w:vAlign w:val="center"/>
            <w:hideMark/>
          </w:tcPr>
          <w:p w14:paraId="58A2543D" w14:textId="77777777" w:rsidR="00FC4862" w:rsidRDefault="00FC4862" w:rsidP="00FE56F0">
            <w:pPr>
              <w:jc w:val="right"/>
              <w:rPr>
                <w:rFonts w:ascii="Calibri" w:hAnsi="Calibri" w:cs="Calibri"/>
                <w:color w:val="000000"/>
              </w:rPr>
            </w:pPr>
            <w:r>
              <w:rPr>
                <w:rFonts w:ascii="Calibri" w:hAnsi="Calibri" w:cs="Calibri"/>
                <w:color w:val="000000"/>
              </w:rPr>
              <w:t>100</w:t>
            </w:r>
          </w:p>
        </w:tc>
        <w:tc>
          <w:tcPr>
            <w:tcW w:w="1519" w:type="dxa"/>
            <w:tcBorders>
              <w:top w:val="nil"/>
              <w:left w:val="nil"/>
              <w:bottom w:val="nil"/>
              <w:right w:val="nil"/>
            </w:tcBorders>
            <w:shd w:val="clear" w:color="auto" w:fill="auto"/>
            <w:noWrap/>
            <w:vAlign w:val="center"/>
            <w:hideMark/>
          </w:tcPr>
          <w:p w14:paraId="66867BDA" w14:textId="77777777" w:rsidR="00FC4862" w:rsidRDefault="00FC4862" w:rsidP="00FE56F0">
            <w:pPr>
              <w:jc w:val="right"/>
              <w:rPr>
                <w:rFonts w:ascii="Calibri" w:hAnsi="Calibri" w:cs="Calibri"/>
                <w:color w:val="000000"/>
              </w:rPr>
            </w:pPr>
            <w:r>
              <w:rPr>
                <w:rFonts w:ascii="Calibri" w:hAnsi="Calibri" w:cs="Calibri"/>
                <w:color w:val="000000"/>
              </w:rPr>
              <w:t>100</w:t>
            </w:r>
          </w:p>
        </w:tc>
        <w:tc>
          <w:tcPr>
            <w:tcW w:w="1364" w:type="dxa"/>
            <w:tcBorders>
              <w:top w:val="nil"/>
              <w:left w:val="nil"/>
              <w:bottom w:val="nil"/>
              <w:right w:val="nil"/>
            </w:tcBorders>
            <w:shd w:val="clear" w:color="auto" w:fill="auto"/>
            <w:noWrap/>
            <w:vAlign w:val="center"/>
            <w:hideMark/>
          </w:tcPr>
          <w:p w14:paraId="504A5647" w14:textId="77777777" w:rsidR="00FC4862" w:rsidRDefault="00FC4862" w:rsidP="00FE56F0">
            <w:pPr>
              <w:jc w:val="right"/>
              <w:rPr>
                <w:rFonts w:ascii="Calibri" w:hAnsi="Calibri" w:cs="Calibri"/>
                <w:color w:val="000000"/>
              </w:rPr>
            </w:pPr>
            <w:r>
              <w:rPr>
                <w:rFonts w:ascii="Calibri" w:hAnsi="Calibri" w:cs="Calibri"/>
                <w:color w:val="000000"/>
              </w:rPr>
              <w:t>100</w:t>
            </w:r>
          </w:p>
        </w:tc>
        <w:tc>
          <w:tcPr>
            <w:tcW w:w="1158" w:type="dxa"/>
            <w:tcBorders>
              <w:top w:val="nil"/>
              <w:left w:val="nil"/>
              <w:bottom w:val="nil"/>
              <w:right w:val="nil"/>
            </w:tcBorders>
            <w:shd w:val="clear" w:color="auto" w:fill="auto"/>
            <w:noWrap/>
            <w:vAlign w:val="center"/>
            <w:hideMark/>
          </w:tcPr>
          <w:p w14:paraId="4EDCB3D7" w14:textId="77777777" w:rsidR="00FC4862" w:rsidRDefault="00FC4862" w:rsidP="00FE56F0">
            <w:pPr>
              <w:jc w:val="right"/>
              <w:rPr>
                <w:rFonts w:ascii="Calibri" w:hAnsi="Calibri" w:cs="Calibri"/>
                <w:color w:val="000000"/>
              </w:rPr>
            </w:pPr>
            <w:r>
              <w:rPr>
                <w:rFonts w:ascii="Calibri" w:hAnsi="Calibri" w:cs="Calibri"/>
                <w:color w:val="000000"/>
              </w:rPr>
              <w:t>100</w:t>
            </w:r>
          </w:p>
        </w:tc>
      </w:tr>
      <w:tr w:rsidR="00FC4862" w14:paraId="34944FB1" w14:textId="77777777" w:rsidTr="00FE56F0">
        <w:trPr>
          <w:trHeight w:val="320"/>
        </w:trPr>
        <w:tc>
          <w:tcPr>
            <w:tcW w:w="2340" w:type="dxa"/>
            <w:tcBorders>
              <w:top w:val="nil"/>
              <w:left w:val="nil"/>
              <w:bottom w:val="nil"/>
              <w:right w:val="single" w:sz="4" w:space="0" w:color="auto"/>
            </w:tcBorders>
            <w:shd w:val="clear" w:color="auto" w:fill="auto"/>
            <w:noWrap/>
            <w:vAlign w:val="center"/>
            <w:hideMark/>
          </w:tcPr>
          <w:p w14:paraId="12ED7471" w14:textId="77777777" w:rsidR="00FC4862" w:rsidRDefault="00FC4862" w:rsidP="00FE56F0">
            <w:pPr>
              <w:rPr>
                <w:rFonts w:ascii="Calibri" w:hAnsi="Calibri" w:cs="Calibri"/>
                <w:color w:val="000000"/>
              </w:rPr>
            </w:pPr>
            <w:r>
              <w:rPr>
                <w:rFonts w:ascii="Calibri" w:hAnsi="Calibri" w:cs="Calibri"/>
                <w:color w:val="000000"/>
              </w:rPr>
              <w:t>Incineration</w:t>
            </w:r>
          </w:p>
        </w:tc>
        <w:tc>
          <w:tcPr>
            <w:tcW w:w="919" w:type="dxa"/>
            <w:tcBorders>
              <w:top w:val="nil"/>
              <w:left w:val="nil"/>
              <w:bottom w:val="nil"/>
              <w:right w:val="nil"/>
            </w:tcBorders>
            <w:shd w:val="clear" w:color="auto" w:fill="auto"/>
            <w:noWrap/>
            <w:vAlign w:val="center"/>
            <w:hideMark/>
          </w:tcPr>
          <w:p w14:paraId="3A98E0AD" w14:textId="77777777" w:rsidR="00FC4862" w:rsidRDefault="00FC4862" w:rsidP="00FE56F0">
            <w:pPr>
              <w:jc w:val="right"/>
              <w:rPr>
                <w:rFonts w:ascii="Calibri" w:hAnsi="Calibri" w:cs="Calibri"/>
                <w:color w:val="000000"/>
              </w:rPr>
            </w:pPr>
            <w:r>
              <w:rPr>
                <w:rFonts w:ascii="Calibri" w:hAnsi="Calibri" w:cs="Calibri"/>
                <w:color w:val="000000"/>
              </w:rPr>
              <w:t>0</w:t>
            </w:r>
          </w:p>
        </w:tc>
        <w:tc>
          <w:tcPr>
            <w:tcW w:w="1519" w:type="dxa"/>
            <w:tcBorders>
              <w:top w:val="nil"/>
              <w:left w:val="nil"/>
              <w:bottom w:val="nil"/>
              <w:right w:val="nil"/>
            </w:tcBorders>
            <w:shd w:val="clear" w:color="auto" w:fill="auto"/>
            <w:noWrap/>
            <w:vAlign w:val="center"/>
            <w:hideMark/>
          </w:tcPr>
          <w:p w14:paraId="15F02D95" w14:textId="77777777" w:rsidR="00FC4862" w:rsidRDefault="00FC4862" w:rsidP="00FE56F0">
            <w:pPr>
              <w:jc w:val="right"/>
              <w:rPr>
                <w:rFonts w:ascii="Calibri" w:hAnsi="Calibri" w:cs="Calibri"/>
                <w:color w:val="000000"/>
              </w:rPr>
            </w:pPr>
            <w:r>
              <w:rPr>
                <w:rFonts w:ascii="Calibri" w:hAnsi="Calibri" w:cs="Calibri"/>
                <w:color w:val="000000"/>
              </w:rPr>
              <w:t>0</w:t>
            </w:r>
          </w:p>
        </w:tc>
        <w:tc>
          <w:tcPr>
            <w:tcW w:w="1364" w:type="dxa"/>
            <w:tcBorders>
              <w:top w:val="nil"/>
              <w:left w:val="nil"/>
              <w:bottom w:val="nil"/>
              <w:right w:val="nil"/>
            </w:tcBorders>
            <w:shd w:val="clear" w:color="auto" w:fill="auto"/>
            <w:noWrap/>
            <w:vAlign w:val="center"/>
            <w:hideMark/>
          </w:tcPr>
          <w:p w14:paraId="3A1173B6" w14:textId="77777777" w:rsidR="00FC4862" w:rsidRDefault="00FC4862" w:rsidP="00FE56F0">
            <w:pPr>
              <w:jc w:val="right"/>
              <w:rPr>
                <w:rFonts w:ascii="Calibri" w:hAnsi="Calibri" w:cs="Calibri"/>
                <w:color w:val="000000"/>
              </w:rPr>
            </w:pPr>
            <w:r>
              <w:rPr>
                <w:rFonts w:ascii="Calibri" w:hAnsi="Calibri" w:cs="Calibri"/>
                <w:color w:val="000000"/>
              </w:rPr>
              <w:t>0</w:t>
            </w:r>
          </w:p>
        </w:tc>
        <w:tc>
          <w:tcPr>
            <w:tcW w:w="1158" w:type="dxa"/>
            <w:tcBorders>
              <w:top w:val="nil"/>
              <w:left w:val="nil"/>
              <w:bottom w:val="nil"/>
              <w:right w:val="nil"/>
            </w:tcBorders>
            <w:shd w:val="clear" w:color="auto" w:fill="auto"/>
            <w:noWrap/>
            <w:vAlign w:val="center"/>
            <w:hideMark/>
          </w:tcPr>
          <w:p w14:paraId="4A90EB01" w14:textId="77777777" w:rsidR="00FC4862" w:rsidRDefault="00FC4862" w:rsidP="00FE56F0">
            <w:pPr>
              <w:jc w:val="right"/>
              <w:rPr>
                <w:rFonts w:ascii="Calibri" w:hAnsi="Calibri" w:cs="Calibri"/>
                <w:color w:val="000000"/>
              </w:rPr>
            </w:pPr>
            <w:r>
              <w:rPr>
                <w:rFonts w:ascii="Calibri" w:hAnsi="Calibri" w:cs="Calibri"/>
                <w:color w:val="000000"/>
              </w:rPr>
              <w:t>0</w:t>
            </w:r>
          </w:p>
        </w:tc>
      </w:tr>
      <w:tr w:rsidR="00FC4862" w:rsidRPr="00372364" w14:paraId="3BE7345A" w14:textId="77777777" w:rsidTr="00FE56F0">
        <w:trPr>
          <w:trHeight w:val="320"/>
        </w:trPr>
        <w:tc>
          <w:tcPr>
            <w:tcW w:w="2340" w:type="dxa"/>
            <w:tcBorders>
              <w:top w:val="nil"/>
              <w:left w:val="nil"/>
              <w:bottom w:val="nil"/>
              <w:right w:val="single" w:sz="4" w:space="0" w:color="auto"/>
            </w:tcBorders>
            <w:shd w:val="clear" w:color="auto" w:fill="auto"/>
            <w:noWrap/>
            <w:vAlign w:val="center"/>
            <w:hideMark/>
          </w:tcPr>
          <w:p w14:paraId="38C21A55" w14:textId="77777777" w:rsidR="00FC4862" w:rsidRDefault="00FC4862" w:rsidP="00FE56F0">
            <w:pPr>
              <w:rPr>
                <w:rFonts w:ascii="Calibri" w:hAnsi="Calibri" w:cs="Calibri"/>
                <w:color w:val="000000"/>
              </w:rPr>
            </w:pPr>
            <w:r>
              <w:rPr>
                <w:rFonts w:ascii="Calibri" w:hAnsi="Calibri" w:cs="Calibri"/>
                <w:color w:val="000000"/>
              </w:rPr>
              <w:t>Unspecified landfill</w:t>
            </w:r>
          </w:p>
        </w:tc>
        <w:tc>
          <w:tcPr>
            <w:tcW w:w="919" w:type="dxa"/>
            <w:tcBorders>
              <w:top w:val="nil"/>
              <w:left w:val="nil"/>
              <w:bottom w:val="nil"/>
              <w:right w:val="nil"/>
            </w:tcBorders>
            <w:shd w:val="clear" w:color="auto" w:fill="auto"/>
            <w:noWrap/>
            <w:vAlign w:val="center"/>
            <w:hideMark/>
          </w:tcPr>
          <w:p w14:paraId="09791157" w14:textId="77777777" w:rsidR="00FC4862" w:rsidRDefault="00FC4862" w:rsidP="00FE56F0">
            <w:pPr>
              <w:jc w:val="right"/>
              <w:rPr>
                <w:rFonts w:ascii="Calibri" w:hAnsi="Calibri" w:cs="Calibri"/>
                <w:color w:val="000000"/>
              </w:rPr>
            </w:pPr>
            <w:r>
              <w:rPr>
                <w:rFonts w:ascii="Calibri" w:hAnsi="Calibri" w:cs="Calibri"/>
                <w:color w:val="000000"/>
              </w:rPr>
              <w:t>0</w:t>
            </w:r>
          </w:p>
        </w:tc>
        <w:tc>
          <w:tcPr>
            <w:tcW w:w="1519" w:type="dxa"/>
            <w:tcBorders>
              <w:top w:val="nil"/>
              <w:left w:val="nil"/>
              <w:bottom w:val="nil"/>
              <w:right w:val="nil"/>
            </w:tcBorders>
            <w:shd w:val="clear" w:color="auto" w:fill="auto"/>
            <w:noWrap/>
            <w:vAlign w:val="center"/>
            <w:hideMark/>
          </w:tcPr>
          <w:p w14:paraId="049ADDA6" w14:textId="77777777" w:rsidR="00FC4862" w:rsidRPr="00372364" w:rsidRDefault="00FC4862" w:rsidP="00FE56F0">
            <w:pPr>
              <w:jc w:val="right"/>
              <w:rPr>
                <w:rFonts w:ascii="Calibri" w:hAnsi="Calibri" w:cs="Calibri"/>
                <w:color w:val="FF0000"/>
              </w:rPr>
            </w:pPr>
            <w:r>
              <w:rPr>
                <w:rFonts w:ascii="Calibri" w:hAnsi="Calibri" w:cs="Calibri"/>
                <w:color w:val="FF0000"/>
              </w:rPr>
              <w:t>0</w:t>
            </w:r>
          </w:p>
        </w:tc>
        <w:tc>
          <w:tcPr>
            <w:tcW w:w="1364" w:type="dxa"/>
            <w:tcBorders>
              <w:top w:val="nil"/>
              <w:left w:val="nil"/>
              <w:bottom w:val="nil"/>
              <w:right w:val="nil"/>
            </w:tcBorders>
            <w:shd w:val="clear" w:color="auto" w:fill="auto"/>
            <w:noWrap/>
            <w:vAlign w:val="center"/>
            <w:hideMark/>
          </w:tcPr>
          <w:p w14:paraId="4435CEC5" w14:textId="77777777" w:rsidR="00FC4862" w:rsidRPr="00372364" w:rsidRDefault="00FC4862" w:rsidP="00FE56F0">
            <w:pPr>
              <w:jc w:val="right"/>
              <w:rPr>
                <w:rFonts w:ascii="Calibri" w:hAnsi="Calibri" w:cs="Calibri"/>
                <w:color w:val="FF0000"/>
              </w:rPr>
            </w:pPr>
            <w:r w:rsidRPr="00372364">
              <w:rPr>
                <w:rFonts w:ascii="Calibri" w:hAnsi="Calibri" w:cs="Calibri"/>
                <w:color w:val="FF0000"/>
              </w:rPr>
              <w:t>0</w:t>
            </w:r>
          </w:p>
        </w:tc>
        <w:tc>
          <w:tcPr>
            <w:tcW w:w="1158" w:type="dxa"/>
            <w:tcBorders>
              <w:top w:val="nil"/>
              <w:left w:val="nil"/>
              <w:bottom w:val="nil"/>
              <w:right w:val="nil"/>
            </w:tcBorders>
            <w:shd w:val="clear" w:color="auto" w:fill="auto"/>
            <w:noWrap/>
            <w:vAlign w:val="center"/>
            <w:hideMark/>
          </w:tcPr>
          <w:p w14:paraId="5F4A2E83" w14:textId="77777777" w:rsidR="00FC4862" w:rsidRPr="00372364" w:rsidRDefault="00FC4862" w:rsidP="00FE56F0">
            <w:pPr>
              <w:jc w:val="right"/>
              <w:rPr>
                <w:rFonts w:ascii="Calibri" w:hAnsi="Calibri" w:cs="Calibri"/>
                <w:color w:val="FF0000"/>
              </w:rPr>
            </w:pPr>
            <w:r w:rsidRPr="00372364">
              <w:rPr>
                <w:rFonts w:ascii="Calibri" w:hAnsi="Calibri" w:cs="Calibri"/>
                <w:color w:val="FF0000"/>
              </w:rPr>
              <w:t>0</w:t>
            </w:r>
          </w:p>
        </w:tc>
      </w:tr>
      <w:tr w:rsidR="00FC4862" w:rsidRPr="00372364" w14:paraId="73DF8202" w14:textId="77777777" w:rsidTr="00FE56F0">
        <w:trPr>
          <w:trHeight w:val="320"/>
        </w:trPr>
        <w:tc>
          <w:tcPr>
            <w:tcW w:w="2340" w:type="dxa"/>
            <w:tcBorders>
              <w:top w:val="nil"/>
              <w:left w:val="nil"/>
              <w:bottom w:val="nil"/>
              <w:right w:val="single" w:sz="4" w:space="0" w:color="auto"/>
            </w:tcBorders>
            <w:shd w:val="clear" w:color="auto" w:fill="auto"/>
            <w:noWrap/>
            <w:vAlign w:val="center"/>
            <w:hideMark/>
          </w:tcPr>
          <w:p w14:paraId="2FD03597" w14:textId="77777777" w:rsidR="00FC4862" w:rsidRDefault="00FC4862" w:rsidP="00FE56F0">
            <w:pPr>
              <w:rPr>
                <w:rFonts w:ascii="Calibri" w:hAnsi="Calibri" w:cs="Calibri"/>
                <w:color w:val="000000"/>
              </w:rPr>
            </w:pPr>
            <w:r>
              <w:rPr>
                <w:rFonts w:ascii="Calibri" w:hAnsi="Calibri" w:cs="Calibri"/>
                <w:color w:val="000000"/>
              </w:rPr>
              <w:t>Controlled landfill</w:t>
            </w:r>
          </w:p>
        </w:tc>
        <w:tc>
          <w:tcPr>
            <w:tcW w:w="919" w:type="dxa"/>
            <w:tcBorders>
              <w:top w:val="nil"/>
              <w:left w:val="nil"/>
              <w:bottom w:val="nil"/>
              <w:right w:val="nil"/>
            </w:tcBorders>
            <w:shd w:val="clear" w:color="auto" w:fill="auto"/>
            <w:noWrap/>
            <w:vAlign w:val="center"/>
            <w:hideMark/>
          </w:tcPr>
          <w:p w14:paraId="61A4B3FA" w14:textId="77777777" w:rsidR="00FC4862" w:rsidRDefault="00FC4862" w:rsidP="00FE56F0">
            <w:pPr>
              <w:jc w:val="right"/>
              <w:rPr>
                <w:rFonts w:ascii="Calibri" w:hAnsi="Calibri" w:cs="Calibri"/>
                <w:color w:val="000000"/>
              </w:rPr>
            </w:pPr>
            <w:r>
              <w:rPr>
                <w:rFonts w:ascii="Calibri" w:hAnsi="Calibri" w:cs="Calibri"/>
                <w:color w:val="000000"/>
              </w:rPr>
              <w:t>0</w:t>
            </w:r>
          </w:p>
        </w:tc>
        <w:tc>
          <w:tcPr>
            <w:tcW w:w="1519" w:type="dxa"/>
            <w:tcBorders>
              <w:top w:val="nil"/>
              <w:left w:val="nil"/>
              <w:bottom w:val="nil"/>
              <w:right w:val="nil"/>
            </w:tcBorders>
            <w:shd w:val="clear" w:color="auto" w:fill="auto"/>
            <w:noWrap/>
            <w:vAlign w:val="center"/>
            <w:hideMark/>
          </w:tcPr>
          <w:p w14:paraId="06995AA9" w14:textId="77777777" w:rsidR="00FC4862" w:rsidRDefault="00FC4862" w:rsidP="00FE56F0">
            <w:pPr>
              <w:jc w:val="right"/>
              <w:rPr>
                <w:rFonts w:ascii="Calibri" w:hAnsi="Calibri" w:cs="Calibri"/>
                <w:color w:val="000000"/>
              </w:rPr>
            </w:pPr>
            <w:r>
              <w:rPr>
                <w:rFonts w:ascii="Calibri" w:hAnsi="Calibri" w:cs="Calibri"/>
                <w:color w:val="000000"/>
              </w:rPr>
              <w:t>0</w:t>
            </w:r>
          </w:p>
        </w:tc>
        <w:tc>
          <w:tcPr>
            <w:tcW w:w="1364" w:type="dxa"/>
            <w:tcBorders>
              <w:top w:val="nil"/>
              <w:left w:val="nil"/>
              <w:bottom w:val="nil"/>
              <w:right w:val="nil"/>
            </w:tcBorders>
            <w:shd w:val="clear" w:color="auto" w:fill="auto"/>
            <w:noWrap/>
            <w:vAlign w:val="center"/>
            <w:hideMark/>
          </w:tcPr>
          <w:p w14:paraId="4437BAE5" w14:textId="77777777" w:rsidR="00FC4862" w:rsidRPr="00372364" w:rsidRDefault="00FC4862" w:rsidP="00FE56F0">
            <w:pPr>
              <w:jc w:val="right"/>
              <w:rPr>
                <w:rFonts w:ascii="Calibri" w:hAnsi="Calibri" w:cs="Calibri"/>
                <w:color w:val="FF0000"/>
              </w:rPr>
            </w:pPr>
            <w:r w:rsidRPr="00372364">
              <w:rPr>
                <w:rFonts w:ascii="Calibri" w:hAnsi="Calibri" w:cs="Calibri"/>
                <w:color w:val="FF0000"/>
              </w:rPr>
              <w:t>0</w:t>
            </w:r>
          </w:p>
        </w:tc>
        <w:tc>
          <w:tcPr>
            <w:tcW w:w="1158" w:type="dxa"/>
            <w:tcBorders>
              <w:top w:val="nil"/>
              <w:left w:val="nil"/>
              <w:bottom w:val="nil"/>
              <w:right w:val="nil"/>
            </w:tcBorders>
            <w:shd w:val="clear" w:color="auto" w:fill="auto"/>
            <w:noWrap/>
            <w:vAlign w:val="center"/>
            <w:hideMark/>
          </w:tcPr>
          <w:p w14:paraId="2909B132" w14:textId="77777777" w:rsidR="00FC4862" w:rsidRPr="00372364" w:rsidRDefault="00FC4862" w:rsidP="00FE56F0">
            <w:pPr>
              <w:jc w:val="right"/>
              <w:rPr>
                <w:rFonts w:ascii="Calibri" w:hAnsi="Calibri" w:cs="Calibri"/>
                <w:color w:val="FF0000"/>
              </w:rPr>
            </w:pPr>
            <w:r w:rsidRPr="00372364">
              <w:rPr>
                <w:rFonts w:ascii="Calibri" w:hAnsi="Calibri" w:cs="Calibri"/>
                <w:color w:val="FF0000"/>
              </w:rPr>
              <w:t>0</w:t>
            </w:r>
          </w:p>
        </w:tc>
      </w:tr>
      <w:tr w:rsidR="00FC4862" w14:paraId="38064495" w14:textId="77777777" w:rsidTr="00FE56F0">
        <w:trPr>
          <w:trHeight w:val="320"/>
        </w:trPr>
        <w:tc>
          <w:tcPr>
            <w:tcW w:w="2340" w:type="dxa"/>
            <w:tcBorders>
              <w:top w:val="nil"/>
              <w:left w:val="nil"/>
              <w:bottom w:val="nil"/>
              <w:right w:val="single" w:sz="4" w:space="0" w:color="auto"/>
            </w:tcBorders>
            <w:shd w:val="clear" w:color="auto" w:fill="auto"/>
            <w:noWrap/>
            <w:vAlign w:val="center"/>
            <w:hideMark/>
          </w:tcPr>
          <w:p w14:paraId="608B856E" w14:textId="77777777" w:rsidR="00FC4862" w:rsidRDefault="00FC4862" w:rsidP="00FE56F0">
            <w:pPr>
              <w:rPr>
                <w:rFonts w:ascii="Calibri" w:hAnsi="Calibri" w:cs="Calibri"/>
                <w:color w:val="000000"/>
              </w:rPr>
            </w:pPr>
            <w:r>
              <w:rPr>
                <w:rFonts w:ascii="Calibri" w:hAnsi="Calibri" w:cs="Calibri"/>
                <w:color w:val="000000"/>
              </w:rPr>
              <w:t>Sanitary landfill gas</w:t>
            </w:r>
          </w:p>
        </w:tc>
        <w:tc>
          <w:tcPr>
            <w:tcW w:w="919" w:type="dxa"/>
            <w:tcBorders>
              <w:top w:val="nil"/>
              <w:left w:val="nil"/>
              <w:bottom w:val="nil"/>
              <w:right w:val="nil"/>
            </w:tcBorders>
            <w:shd w:val="clear" w:color="auto" w:fill="auto"/>
            <w:noWrap/>
            <w:vAlign w:val="center"/>
            <w:hideMark/>
          </w:tcPr>
          <w:p w14:paraId="638AACCB" w14:textId="77777777" w:rsidR="00FC4862" w:rsidRDefault="00FC4862" w:rsidP="00FE56F0">
            <w:pPr>
              <w:jc w:val="right"/>
              <w:rPr>
                <w:rFonts w:ascii="Calibri" w:hAnsi="Calibri" w:cs="Calibri"/>
                <w:color w:val="000000"/>
              </w:rPr>
            </w:pPr>
            <w:r>
              <w:rPr>
                <w:rFonts w:ascii="Calibri" w:hAnsi="Calibri" w:cs="Calibri"/>
                <w:color w:val="000000"/>
              </w:rPr>
              <w:t>0</w:t>
            </w:r>
          </w:p>
        </w:tc>
        <w:tc>
          <w:tcPr>
            <w:tcW w:w="1519" w:type="dxa"/>
            <w:tcBorders>
              <w:top w:val="nil"/>
              <w:left w:val="nil"/>
              <w:bottom w:val="nil"/>
              <w:right w:val="nil"/>
            </w:tcBorders>
            <w:shd w:val="clear" w:color="auto" w:fill="auto"/>
            <w:noWrap/>
            <w:vAlign w:val="center"/>
            <w:hideMark/>
          </w:tcPr>
          <w:p w14:paraId="5A13CDCC" w14:textId="77777777" w:rsidR="00FC4862" w:rsidRDefault="00FC4862" w:rsidP="00FE56F0">
            <w:pPr>
              <w:jc w:val="right"/>
              <w:rPr>
                <w:rFonts w:ascii="Calibri" w:hAnsi="Calibri" w:cs="Calibri"/>
                <w:color w:val="000000"/>
              </w:rPr>
            </w:pPr>
            <w:r>
              <w:rPr>
                <w:rFonts w:ascii="Calibri" w:hAnsi="Calibri" w:cs="Calibri"/>
                <w:color w:val="000000"/>
              </w:rPr>
              <w:t>0</w:t>
            </w:r>
          </w:p>
        </w:tc>
        <w:tc>
          <w:tcPr>
            <w:tcW w:w="1364" w:type="dxa"/>
            <w:tcBorders>
              <w:top w:val="nil"/>
              <w:left w:val="nil"/>
              <w:bottom w:val="nil"/>
              <w:right w:val="nil"/>
            </w:tcBorders>
            <w:shd w:val="clear" w:color="auto" w:fill="auto"/>
            <w:noWrap/>
            <w:vAlign w:val="center"/>
            <w:hideMark/>
          </w:tcPr>
          <w:p w14:paraId="44CAF415" w14:textId="77777777" w:rsidR="00FC4862" w:rsidRDefault="00FC4862" w:rsidP="00FE56F0">
            <w:pPr>
              <w:jc w:val="right"/>
              <w:rPr>
                <w:rFonts w:ascii="Calibri" w:hAnsi="Calibri" w:cs="Calibri"/>
                <w:color w:val="000000"/>
              </w:rPr>
            </w:pPr>
            <w:r>
              <w:rPr>
                <w:rFonts w:ascii="Calibri" w:hAnsi="Calibri" w:cs="Calibri"/>
                <w:color w:val="000000"/>
              </w:rPr>
              <w:t>0</w:t>
            </w:r>
          </w:p>
        </w:tc>
        <w:tc>
          <w:tcPr>
            <w:tcW w:w="1158" w:type="dxa"/>
            <w:tcBorders>
              <w:top w:val="nil"/>
              <w:left w:val="nil"/>
              <w:bottom w:val="nil"/>
              <w:right w:val="nil"/>
            </w:tcBorders>
            <w:shd w:val="clear" w:color="auto" w:fill="auto"/>
            <w:noWrap/>
            <w:vAlign w:val="center"/>
            <w:hideMark/>
          </w:tcPr>
          <w:p w14:paraId="3902B5D3" w14:textId="77777777" w:rsidR="00FC4862" w:rsidRDefault="00FC4862" w:rsidP="00FE56F0">
            <w:pPr>
              <w:jc w:val="right"/>
              <w:rPr>
                <w:rFonts w:ascii="Calibri" w:hAnsi="Calibri" w:cs="Calibri"/>
                <w:color w:val="000000"/>
              </w:rPr>
            </w:pPr>
            <w:r>
              <w:rPr>
                <w:rFonts w:ascii="Calibri" w:hAnsi="Calibri" w:cs="Calibri"/>
                <w:color w:val="000000"/>
              </w:rPr>
              <w:t>0</w:t>
            </w:r>
          </w:p>
        </w:tc>
      </w:tr>
      <w:tr w:rsidR="00FC4862" w14:paraId="219CFC5C" w14:textId="77777777" w:rsidTr="00FE56F0">
        <w:trPr>
          <w:trHeight w:val="320"/>
        </w:trPr>
        <w:tc>
          <w:tcPr>
            <w:tcW w:w="2340" w:type="dxa"/>
            <w:tcBorders>
              <w:top w:val="nil"/>
              <w:left w:val="nil"/>
              <w:bottom w:val="nil"/>
              <w:right w:val="single" w:sz="4" w:space="0" w:color="auto"/>
            </w:tcBorders>
            <w:shd w:val="clear" w:color="auto" w:fill="auto"/>
            <w:noWrap/>
            <w:vAlign w:val="center"/>
            <w:hideMark/>
          </w:tcPr>
          <w:p w14:paraId="6381D54E" w14:textId="77777777" w:rsidR="00FC4862" w:rsidRDefault="00FC4862" w:rsidP="00FE56F0">
            <w:pPr>
              <w:rPr>
                <w:rFonts w:ascii="Calibri" w:hAnsi="Calibri" w:cs="Calibri"/>
                <w:color w:val="000000"/>
              </w:rPr>
            </w:pPr>
            <w:r>
              <w:rPr>
                <w:rFonts w:ascii="Calibri" w:hAnsi="Calibri" w:cs="Calibri"/>
                <w:color w:val="000000"/>
              </w:rPr>
              <w:t>Recycling</w:t>
            </w:r>
          </w:p>
        </w:tc>
        <w:tc>
          <w:tcPr>
            <w:tcW w:w="919" w:type="dxa"/>
            <w:tcBorders>
              <w:top w:val="nil"/>
              <w:left w:val="nil"/>
              <w:bottom w:val="nil"/>
              <w:right w:val="nil"/>
            </w:tcBorders>
            <w:shd w:val="clear" w:color="auto" w:fill="auto"/>
            <w:noWrap/>
            <w:vAlign w:val="center"/>
            <w:hideMark/>
          </w:tcPr>
          <w:p w14:paraId="06E0EEA0" w14:textId="77777777" w:rsidR="00FC4862" w:rsidRDefault="00FC4862" w:rsidP="00FE56F0">
            <w:pPr>
              <w:jc w:val="right"/>
              <w:rPr>
                <w:rFonts w:ascii="Calibri" w:hAnsi="Calibri" w:cs="Calibri"/>
                <w:color w:val="000000"/>
              </w:rPr>
            </w:pPr>
            <w:r>
              <w:rPr>
                <w:rFonts w:ascii="Calibri" w:hAnsi="Calibri" w:cs="Calibri"/>
                <w:color w:val="000000"/>
              </w:rPr>
              <w:t>0</w:t>
            </w:r>
          </w:p>
        </w:tc>
        <w:tc>
          <w:tcPr>
            <w:tcW w:w="1519" w:type="dxa"/>
            <w:tcBorders>
              <w:top w:val="nil"/>
              <w:left w:val="nil"/>
              <w:bottom w:val="nil"/>
              <w:right w:val="nil"/>
            </w:tcBorders>
            <w:shd w:val="clear" w:color="auto" w:fill="auto"/>
            <w:noWrap/>
            <w:vAlign w:val="center"/>
            <w:hideMark/>
          </w:tcPr>
          <w:p w14:paraId="7E2F2911" w14:textId="77777777" w:rsidR="00FC4862" w:rsidRDefault="00FC4862" w:rsidP="00FE56F0">
            <w:pPr>
              <w:jc w:val="right"/>
              <w:rPr>
                <w:rFonts w:ascii="Calibri" w:hAnsi="Calibri" w:cs="Calibri"/>
                <w:color w:val="000000"/>
              </w:rPr>
            </w:pPr>
            <w:r>
              <w:rPr>
                <w:rFonts w:ascii="Calibri" w:hAnsi="Calibri" w:cs="Calibri"/>
                <w:color w:val="000000"/>
              </w:rPr>
              <w:t>0</w:t>
            </w:r>
          </w:p>
        </w:tc>
        <w:tc>
          <w:tcPr>
            <w:tcW w:w="1364" w:type="dxa"/>
            <w:tcBorders>
              <w:top w:val="nil"/>
              <w:left w:val="nil"/>
              <w:bottom w:val="nil"/>
              <w:right w:val="nil"/>
            </w:tcBorders>
            <w:shd w:val="clear" w:color="auto" w:fill="auto"/>
            <w:noWrap/>
            <w:vAlign w:val="center"/>
            <w:hideMark/>
          </w:tcPr>
          <w:p w14:paraId="7247732C" w14:textId="77777777" w:rsidR="00FC4862" w:rsidRDefault="00FC4862" w:rsidP="00FE56F0">
            <w:pPr>
              <w:jc w:val="right"/>
              <w:rPr>
                <w:rFonts w:ascii="Calibri" w:hAnsi="Calibri" w:cs="Calibri"/>
                <w:color w:val="000000"/>
              </w:rPr>
            </w:pPr>
            <w:r>
              <w:rPr>
                <w:rFonts w:ascii="Calibri" w:hAnsi="Calibri" w:cs="Calibri"/>
                <w:color w:val="000000"/>
              </w:rPr>
              <w:t>0</w:t>
            </w:r>
          </w:p>
        </w:tc>
        <w:tc>
          <w:tcPr>
            <w:tcW w:w="1158" w:type="dxa"/>
            <w:tcBorders>
              <w:top w:val="nil"/>
              <w:left w:val="nil"/>
              <w:bottom w:val="nil"/>
              <w:right w:val="nil"/>
            </w:tcBorders>
            <w:shd w:val="clear" w:color="auto" w:fill="auto"/>
            <w:noWrap/>
            <w:vAlign w:val="center"/>
            <w:hideMark/>
          </w:tcPr>
          <w:p w14:paraId="3A1A64E2" w14:textId="77777777" w:rsidR="00FC4862" w:rsidRDefault="00FC4862" w:rsidP="00FE56F0">
            <w:pPr>
              <w:jc w:val="right"/>
              <w:rPr>
                <w:rFonts w:ascii="Calibri" w:hAnsi="Calibri" w:cs="Calibri"/>
                <w:color w:val="000000"/>
              </w:rPr>
            </w:pPr>
            <w:r>
              <w:rPr>
                <w:rFonts w:ascii="Calibri" w:hAnsi="Calibri" w:cs="Calibri"/>
                <w:color w:val="000000"/>
              </w:rPr>
              <w:t>0</w:t>
            </w:r>
          </w:p>
        </w:tc>
      </w:tr>
      <w:tr w:rsidR="00FC4862" w14:paraId="4D35E2A7" w14:textId="77777777" w:rsidTr="00FE56F0">
        <w:trPr>
          <w:trHeight w:val="320"/>
        </w:trPr>
        <w:tc>
          <w:tcPr>
            <w:tcW w:w="2340" w:type="dxa"/>
            <w:tcBorders>
              <w:top w:val="nil"/>
              <w:left w:val="nil"/>
              <w:bottom w:val="nil"/>
              <w:right w:val="single" w:sz="4" w:space="0" w:color="auto"/>
            </w:tcBorders>
            <w:shd w:val="clear" w:color="auto" w:fill="auto"/>
            <w:noWrap/>
            <w:vAlign w:val="center"/>
            <w:hideMark/>
          </w:tcPr>
          <w:p w14:paraId="1E8A0920" w14:textId="77777777" w:rsidR="00FC4862" w:rsidRDefault="00FC4862" w:rsidP="00FE56F0">
            <w:pPr>
              <w:rPr>
                <w:rFonts w:ascii="Calibri" w:hAnsi="Calibri" w:cs="Calibri"/>
                <w:color w:val="000000"/>
              </w:rPr>
            </w:pPr>
            <w:r>
              <w:rPr>
                <w:rFonts w:ascii="Calibri" w:hAnsi="Calibri" w:cs="Calibri"/>
                <w:color w:val="000000"/>
              </w:rPr>
              <w:t>Other</w:t>
            </w:r>
          </w:p>
        </w:tc>
        <w:tc>
          <w:tcPr>
            <w:tcW w:w="919" w:type="dxa"/>
            <w:tcBorders>
              <w:top w:val="nil"/>
              <w:left w:val="nil"/>
              <w:bottom w:val="nil"/>
              <w:right w:val="nil"/>
            </w:tcBorders>
            <w:shd w:val="clear" w:color="auto" w:fill="auto"/>
            <w:noWrap/>
            <w:vAlign w:val="center"/>
            <w:hideMark/>
          </w:tcPr>
          <w:p w14:paraId="308CD0D7" w14:textId="77777777" w:rsidR="00FC4862" w:rsidRDefault="00FC4862" w:rsidP="00FE56F0">
            <w:pPr>
              <w:jc w:val="right"/>
              <w:rPr>
                <w:rFonts w:ascii="Calibri" w:hAnsi="Calibri" w:cs="Calibri"/>
                <w:color w:val="000000"/>
              </w:rPr>
            </w:pPr>
            <w:r>
              <w:rPr>
                <w:rFonts w:ascii="Calibri" w:hAnsi="Calibri" w:cs="Calibri"/>
                <w:color w:val="000000"/>
              </w:rPr>
              <w:t>0</w:t>
            </w:r>
          </w:p>
        </w:tc>
        <w:tc>
          <w:tcPr>
            <w:tcW w:w="1519" w:type="dxa"/>
            <w:tcBorders>
              <w:top w:val="nil"/>
              <w:left w:val="nil"/>
              <w:bottom w:val="nil"/>
              <w:right w:val="nil"/>
            </w:tcBorders>
            <w:shd w:val="clear" w:color="auto" w:fill="auto"/>
            <w:noWrap/>
            <w:vAlign w:val="center"/>
            <w:hideMark/>
          </w:tcPr>
          <w:p w14:paraId="25349522" w14:textId="77777777" w:rsidR="00FC4862" w:rsidRPr="00372364" w:rsidRDefault="00FC4862" w:rsidP="00FE56F0">
            <w:pPr>
              <w:jc w:val="right"/>
              <w:rPr>
                <w:rFonts w:ascii="Calibri" w:hAnsi="Calibri" w:cs="Calibri"/>
                <w:color w:val="FF0000"/>
              </w:rPr>
            </w:pPr>
            <w:r>
              <w:rPr>
                <w:rFonts w:ascii="Calibri" w:hAnsi="Calibri" w:cs="Calibri"/>
                <w:color w:val="FF0000"/>
              </w:rPr>
              <w:t>0</w:t>
            </w:r>
          </w:p>
        </w:tc>
        <w:tc>
          <w:tcPr>
            <w:tcW w:w="1364" w:type="dxa"/>
            <w:tcBorders>
              <w:top w:val="nil"/>
              <w:left w:val="nil"/>
              <w:bottom w:val="nil"/>
              <w:right w:val="nil"/>
            </w:tcBorders>
            <w:shd w:val="clear" w:color="auto" w:fill="auto"/>
            <w:noWrap/>
            <w:vAlign w:val="center"/>
            <w:hideMark/>
          </w:tcPr>
          <w:p w14:paraId="6D4A08B3" w14:textId="77777777" w:rsidR="00FC4862" w:rsidRPr="00372364" w:rsidRDefault="00FC4862" w:rsidP="00FE56F0">
            <w:pPr>
              <w:jc w:val="right"/>
              <w:rPr>
                <w:rFonts w:ascii="Calibri" w:hAnsi="Calibri" w:cs="Calibri"/>
                <w:color w:val="FF0000"/>
              </w:rPr>
            </w:pPr>
            <w:r w:rsidRPr="00372364">
              <w:rPr>
                <w:rFonts w:ascii="Calibri" w:hAnsi="Calibri" w:cs="Calibri"/>
                <w:color w:val="FF0000"/>
              </w:rPr>
              <w:t>0</w:t>
            </w:r>
          </w:p>
        </w:tc>
        <w:tc>
          <w:tcPr>
            <w:tcW w:w="1158" w:type="dxa"/>
            <w:tcBorders>
              <w:top w:val="nil"/>
              <w:left w:val="nil"/>
              <w:bottom w:val="nil"/>
              <w:right w:val="nil"/>
            </w:tcBorders>
            <w:shd w:val="clear" w:color="auto" w:fill="auto"/>
            <w:noWrap/>
            <w:vAlign w:val="center"/>
            <w:hideMark/>
          </w:tcPr>
          <w:p w14:paraId="4C3CA294" w14:textId="77777777" w:rsidR="00FC4862" w:rsidRPr="00372364" w:rsidRDefault="00FC4862" w:rsidP="00FE56F0">
            <w:pPr>
              <w:jc w:val="right"/>
              <w:rPr>
                <w:rFonts w:ascii="Calibri" w:hAnsi="Calibri" w:cs="Calibri"/>
                <w:color w:val="FF0000"/>
              </w:rPr>
            </w:pPr>
            <w:r w:rsidRPr="00372364">
              <w:rPr>
                <w:rFonts w:ascii="Calibri" w:hAnsi="Calibri" w:cs="Calibri"/>
                <w:color w:val="FF0000"/>
              </w:rPr>
              <w:t>0</w:t>
            </w:r>
          </w:p>
        </w:tc>
      </w:tr>
      <w:tr w:rsidR="00FC4862" w14:paraId="720D828B" w14:textId="77777777" w:rsidTr="00FE56F0">
        <w:trPr>
          <w:trHeight w:val="320"/>
        </w:trPr>
        <w:tc>
          <w:tcPr>
            <w:tcW w:w="2340" w:type="dxa"/>
            <w:tcBorders>
              <w:top w:val="nil"/>
              <w:left w:val="nil"/>
              <w:bottom w:val="nil"/>
              <w:right w:val="single" w:sz="4" w:space="0" w:color="auto"/>
            </w:tcBorders>
            <w:shd w:val="clear" w:color="auto" w:fill="auto"/>
            <w:noWrap/>
            <w:vAlign w:val="center"/>
            <w:hideMark/>
          </w:tcPr>
          <w:p w14:paraId="2745072C" w14:textId="77777777" w:rsidR="00FC4862" w:rsidRDefault="00FC4862" w:rsidP="00FE56F0">
            <w:pPr>
              <w:rPr>
                <w:rFonts w:ascii="Calibri" w:hAnsi="Calibri" w:cs="Calibri"/>
                <w:color w:val="000000"/>
              </w:rPr>
            </w:pPr>
            <w:r>
              <w:rPr>
                <w:rFonts w:ascii="Calibri" w:hAnsi="Calibri" w:cs="Calibri"/>
                <w:color w:val="000000"/>
              </w:rPr>
              <w:t xml:space="preserve">Unaccounted </w:t>
            </w:r>
          </w:p>
        </w:tc>
        <w:tc>
          <w:tcPr>
            <w:tcW w:w="919" w:type="dxa"/>
            <w:tcBorders>
              <w:top w:val="nil"/>
              <w:left w:val="nil"/>
              <w:bottom w:val="nil"/>
              <w:right w:val="nil"/>
            </w:tcBorders>
            <w:shd w:val="clear" w:color="auto" w:fill="auto"/>
            <w:noWrap/>
            <w:vAlign w:val="center"/>
            <w:hideMark/>
          </w:tcPr>
          <w:p w14:paraId="1E30E90B" w14:textId="77777777" w:rsidR="00FC4862" w:rsidRDefault="00FC4862" w:rsidP="00FE56F0">
            <w:pPr>
              <w:jc w:val="right"/>
              <w:rPr>
                <w:rFonts w:ascii="Calibri" w:hAnsi="Calibri" w:cs="Calibri"/>
                <w:color w:val="000000"/>
              </w:rPr>
            </w:pPr>
            <w:r>
              <w:rPr>
                <w:rFonts w:ascii="Calibri" w:hAnsi="Calibri" w:cs="Calibri"/>
                <w:color w:val="000000"/>
              </w:rPr>
              <w:t>100</w:t>
            </w:r>
          </w:p>
        </w:tc>
        <w:tc>
          <w:tcPr>
            <w:tcW w:w="1519" w:type="dxa"/>
            <w:tcBorders>
              <w:top w:val="nil"/>
              <w:left w:val="nil"/>
              <w:bottom w:val="nil"/>
              <w:right w:val="nil"/>
            </w:tcBorders>
            <w:shd w:val="clear" w:color="auto" w:fill="auto"/>
            <w:noWrap/>
            <w:vAlign w:val="center"/>
            <w:hideMark/>
          </w:tcPr>
          <w:p w14:paraId="55691E77" w14:textId="77777777" w:rsidR="00FC4862" w:rsidRDefault="00FC4862" w:rsidP="00FE56F0">
            <w:pPr>
              <w:jc w:val="right"/>
              <w:rPr>
                <w:rFonts w:ascii="Calibri" w:hAnsi="Calibri" w:cs="Calibri"/>
                <w:color w:val="000000"/>
              </w:rPr>
            </w:pPr>
            <w:r>
              <w:rPr>
                <w:rFonts w:ascii="Calibri" w:hAnsi="Calibri" w:cs="Calibri"/>
                <w:color w:val="000000"/>
              </w:rPr>
              <w:t>100</w:t>
            </w:r>
          </w:p>
        </w:tc>
        <w:tc>
          <w:tcPr>
            <w:tcW w:w="1364" w:type="dxa"/>
            <w:tcBorders>
              <w:top w:val="nil"/>
              <w:left w:val="nil"/>
              <w:bottom w:val="nil"/>
              <w:right w:val="nil"/>
            </w:tcBorders>
            <w:shd w:val="clear" w:color="auto" w:fill="auto"/>
            <w:noWrap/>
            <w:vAlign w:val="center"/>
            <w:hideMark/>
          </w:tcPr>
          <w:p w14:paraId="3CC2A268" w14:textId="77777777" w:rsidR="00FC4862" w:rsidRDefault="00FC4862" w:rsidP="00FE56F0">
            <w:pPr>
              <w:jc w:val="right"/>
              <w:rPr>
                <w:rFonts w:ascii="Calibri" w:hAnsi="Calibri" w:cs="Calibri"/>
                <w:color w:val="000000"/>
              </w:rPr>
            </w:pPr>
            <w:r>
              <w:rPr>
                <w:rFonts w:ascii="Calibri" w:hAnsi="Calibri" w:cs="Calibri"/>
                <w:color w:val="000000"/>
              </w:rPr>
              <w:t>100</w:t>
            </w:r>
          </w:p>
        </w:tc>
        <w:tc>
          <w:tcPr>
            <w:tcW w:w="1158" w:type="dxa"/>
            <w:tcBorders>
              <w:top w:val="nil"/>
              <w:left w:val="nil"/>
              <w:bottom w:val="nil"/>
              <w:right w:val="nil"/>
            </w:tcBorders>
            <w:shd w:val="clear" w:color="auto" w:fill="auto"/>
            <w:noWrap/>
            <w:vAlign w:val="center"/>
            <w:hideMark/>
          </w:tcPr>
          <w:p w14:paraId="11DD4E32" w14:textId="77777777" w:rsidR="00FC4862" w:rsidRDefault="00FC4862" w:rsidP="00FE56F0">
            <w:pPr>
              <w:jc w:val="right"/>
              <w:rPr>
                <w:rFonts w:ascii="Calibri" w:hAnsi="Calibri" w:cs="Calibri"/>
                <w:color w:val="000000"/>
              </w:rPr>
            </w:pPr>
            <w:r>
              <w:rPr>
                <w:rFonts w:ascii="Calibri" w:hAnsi="Calibri" w:cs="Calibri"/>
                <w:color w:val="000000"/>
              </w:rPr>
              <w:t>100</w:t>
            </w:r>
          </w:p>
        </w:tc>
      </w:tr>
      <w:tr w:rsidR="00FC4862" w14:paraId="440B7CC2" w14:textId="77777777" w:rsidTr="00FE56F0">
        <w:trPr>
          <w:trHeight w:val="320"/>
        </w:trPr>
        <w:tc>
          <w:tcPr>
            <w:tcW w:w="2340" w:type="dxa"/>
            <w:tcBorders>
              <w:top w:val="nil"/>
              <w:left w:val="nil"/>
              <w:bottom w:val="nil"/>
              <w:right w:val="single" w:sz="4" w:space="0" w:color="auto"/>
            </w:tcBorders>
            <w:shd w:val="clear" w:color="auto" w:fill="auto"/>
            <w:noWrap/>
            <w:vAlign w:val="center"/>
            <w:hideMark/>
          </w:tcPr>
          <w:p w14:paraId="0B55F90C" w14:textId="77777777" w:rsidR="00FC4862" w:rsidRDefault="00FC4862" w:rsidP="00FE56F0">
            <w:pPr>
              <w:rPr>
                <w:rFonts w:ascii="Calibri" w:hAnsi="Calibri" w:cs="Calibri"/>
                <w:color w:val="000000"/>
              </w:rPr>
            </w:pPr>
            <w:r>
              <w:rPr>
                <w:rFonts w:ascii="Calibri" w:hAnsi="Calibri" w:cs="Calibri"/>
                <w:color w:val="000000"/>
              </w:rPr>
              <w:t>Marine Dump</w:t>
            </w:r>
          </w:p>
        </w:tc>
        <w:tc>
          <w:tcPr>
            <w:tcW w:w="919" w:type="dxa"/>
            <w:tcBorders>
              <w:top w:val="nil"/>
              <w:left w:val="nil"/>
              <w:bottom w:val="nil"/>
              <w:right w:val="nil"/>
            </w:tcBorders>
            <w:shd w:val="clear" w:color="auto" w:fill="auto"/>
            <w:noWrap/>
            <w:vAlign w:val="center"/>
            <w:hideMark/>
          </w:tcPr>
          <w:p w14:paraId="7C400012" w14:textId="77777777" w:rsidR="00FC4862" w:rsidRDefault="00FC4862" w:rsidP="00FE56F0">
            <w:pPr>
              <w:jc w:val="right"/>
              <w:rPr>
                <w:rFonts w:ascii="Calibri" w:hAnsi="Calibri" w:cs="Calibri"/>
                <w:color w:val="000000"/>
              </w:rPr>
            </w:pPr>
            <w:r>
              <w:rPr>
                <w:rFonts w:ascii="Calibri" w:hAnsi="Calibri" w:cs="Calibri"/>
                <w:color w:val="000000"/>
              </w:rPr>
              <w:t>100</w:t>
            </w:r>
          </w:p>
        </w:tc>
        <w:tc>
          <w:tcPr>
            <w:tcW w:w="1519" w:type="dxa"/>
            <w:tcBorders>
              <w:top w:val="nil"/>
              <w:left w:val="nil"/>
              <w:bottom w:val="nil"/>
              <w:right w:val="nil"/>
            </w:tcBorders>
            <w:shd w:val="clear" w:color="auto" w:fill="auto"/>
            <w:noWrap/>
            <w:vAlign w:val="center"/>
            <w:hideMark/>
          </w:tcPr>
          <w:p w14:paraId="3E4FB404" w14:textId="77777777" w:rsidR="00FC4862" w:rsidRDefault="00FC4862" w:rsidP="00FE56F0">
            <w:pPr>
              <w:jc w:val="right"/>
              <w:rPr>
                <w:rFonts w:ascii="Calibri" w:hAnsi="Calibri" w:cs="Calibri"/>
                <w:color w:val="000000"/>
              </w:rPr>
            </w:pPr>
            <w:r>
              <w:rPr>
                <w:rFonts w:ascii="Calibri" w:hAnsi="Calibri" w:cs="Calibri"/>
                <w:color w:val="000000"/>
              </w:rPr>
              <w:t>100</w:t>
            </w:r>
          </w:p>
        </w:tc>
        <w:tc>
          <w:tcPr>
            <w:tcW w:w="1364" w:type="dxa"/>
            <w:tcBorders>
              <w:top w:val="nil"/>
              <w:left w:val="nil"/>
              <w:bottom w:val="nil"/>
              <w:right w:val="nil"/>
            </w:tcBorders>
            <w:shd w:val="clear" w:color="auto" w:fill="auto"/>
            <w:noWrap/>
            <w:vAlign w:val="center"/>
            <w:hideMark/>
          </w:tcPr>
          <w:p w14:paraId="12B9D280" w14:textId="77777777" w:rsidR="00FC4862" w:rsidRDefault="00FC4862" w:rsidP="00FE56F0">
            <w:pPr>
              <w:jc w:val="right"/>
              <w:rPr>
                <w:rFonts w:ascii="Calibri" w:hAnsi="Calibri" w:cs="Calibri"/>
                <w:color w:val="000000"/>
              </w:rPr>
            </w:pPr>
            <w:r>
              <w:rPr>
                <w:rFonts w:ascii="Calibri" w:hAnsi="Calibri" w:cs="Calibri"/>
                <w:color w:val="000000"/>
              </w:rPr>
              <w:t>100</w:t>
            </w:r>
          </w:p>
        </w:tc>
        <w:tc>
          <w:tcPr>
            <w:tcW w:w="1158" w:type="dxa"/>
            <w:tcBorders>
              <w:top w:val="nil"/>
              <w:left w:val="nil"/>
              <w:bottom w:val="nil"/>
              <w:right w:val="nil"/>
            </w:tcBorders>
            <w:shd w:val="clear" w:color="auto" w:fill="auto"/>
            <w:noWrap/>
            <w:vAlign w:val="center"/>
            <w:hideMark/>
          </w:tcPr>
          <w:p w14:paraId="7DCD3231" w14:textId="77777777" w:rsidR="00FC4862" w:rsidRDefault="00FC4862" w:rsidP="00FE56F0">
            <w:pPr>
              <w:keepNext/>
              <w:jc w:val="right"/>
              <w:rPr>
                <w:rFonts w:ascii="Calibri" w:hAnsi="Calibri" w:cs="Calibri"/>
                <w:color w:val="000000"/>
              </w:rPr>
            </w:pPr>
            <w:r>
              <w:rPr>
                <w:rFonts w:ascii="Calibri" w:hAnsi="Calibri" w:cs="Calibri"/>
                <w:color w:val="000000"/>
              </w:rPr>
              <w:t>100</w:t>
            </w:r>
          </w:p>
        </w:tc>
      </w:tr>
    </w:tbl>
    <w:p w14:paraId="4C43A784" w14:textId="77777777" w:rsidR="00FC4862" w:rsidRPr="008215F1" w:rsidRDefault="00FC4862" w:rsidP="008215F1">
      <w:pPr>
        <w:spacing w:line="480" w:lineRule="auto"/>
        <w:rPr>
          <w:rFonts w:ascii="Calibri" w:eastAsiaTheme="minorEastAsia" w:hAnsi="Calibri" w:cs="Calibri"/>
        </w:rPr>
      </w:pPr>
    </w:p>
    <w:sectPr w:rsidR="00FC4862" w:rsidRPr="008215F1" w:rsidSect="008215F1">
      <w:footerReference w:type="even" r:id="rId8"/>
      <w:footerReference w:type="default" r:id="rId9"/>
      <w:pgSz w:w="12240" w:h="15840"/>
      <w:pgMar w:top="1440" w:right="1440" w:bottom="1440" w:left="1440" w:header="720" w:footer="720" w:gutter="0"/>
      <w:lnNumType w:countBy="1" w:restart="continuous"/>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7C52BF5" w14:textId="77777777" w:rsidR="009975A0" w:rsidRDefault="009975A0" w:rsidP="008215F1">
      <w:r>
        <w:separator/>
      </w:r>
    </w:p>
  </w:endnote>
  <w:endnote w:type="continuationSeparator" w:id="0">
    <w:p w14:paraId="7C074A7E" w14:textId="77777777" w:rsidR="009975A0" w:rsidRDefault="009975A0" w:rsidP="008215F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0002AFF" w:usb1="C000ACFF"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rPr>
      <w:id w:val="1841271924"/>
      <w:docPartObj>
        <w:docPartGallery w:val="Page Numbers (Bottom of Page)"/>
        <w:docPartUnique/>
      </w:docPartObj>
    </w:sdtPr>
    <w:sdtContent>
      <w:p w14:paraId="50CC802B" w14:textId="393F2072" w:rsidR="008215F1" w:rsidRDefault="008215F1" w:rsidP="00B61895">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518AB19C" w14:textId="77777777" w:rsidR="008215F1" w:rsidRDefault="008215F1" w:rsidP="008215F1">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rPr>
      <w:id w:val="100077012"/>
      <w:docPartObj>
        <w:docPartGallery w:val="Page Numbers (Bottom of Page)"/>
        <w:docPartUnique/>
      </w:docPartObj>
    </w:sdtPr>
    <w:sdtContent>
      <w:p w14:paraId="142D811C" w14:textId="70FF939F" w:rsidR="008215F1" w:rsidRDefault="008215F1" w:rsidP="00B61895">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sdtContent>
  </w:sdt>
  <w:p w14:paraId="121A409D" w14:textId="77777777" w:rsidR="008215F1" w:rsidRDefault="008215F1" w:rsidP="008215F1">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91DC4ED" w14:textId="77777777" w:rsidR="009975A0" w:rsidRDefault="009975A0" w:rsidP="008215F1">
      <w:r>
        <w:separator/>
      </w:r>
    </w:p>
  </w:footnote>
  <w:footnote w:type="continuationSeparator" w:id="0">
    <w:p w14:paraId="471F3BCF" w14:textId="77777777" w:rsidR="009975A0" w:rsidRDefault="009975A0" w:rsidP="008215F1">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9"/>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D715A"/>
    <w:rsid w:val="001422B2"/>
    <w:rsid w:val="0019207E"/>
    <w:rsid w:val="0024578F"/>
    <w:rsid w:val="00297BB4"/>
    <w:rsid w:val="002C2332"/>
    <w:rsid w:val="00513F78"/>
    <w:rsid w:val="005E5005"/>
    <w:rsid w:val="005F22D4"/>
    <w:rsid w:val="00730112"/>
    <w:rsid w:val="00765BF3"/>
    <w:rsid w:val="00795356"/>
    <w:rsid w:val="007B05A2"/>
    <w:rsid w:val="007C6699"/>
    <w:rsid w:val="007D715A"/>
    <w:rsid w:val="007F42EF"/>
    <w:rsid w:val="00812DD7"/>
    <w:rsid w:val="008215F1"/>
    <w:rsid w:val="00976615"/>
    <w:rsid w:val="009975A0"/>
    <w:rsid w:val="00A8275C"/>
    <w:rsid w:val="00B851F0"/>
    <w:rsid w:val="00C56A83"/>
    <w:rsid w:val="00C7613E"/>
    <w:rsid w:val="00C92372"/>
    <w:rsid w:val="00C954FF"/>
    <w:rsid w:val="00D13F14"/>
    <w:rsid w:val="00D574F6"/>
    <w:rsid w:val="00E610B4"/>
    <w:rsid w:val="00F54BBA"/>
    <w:rsid w:val="00F7281C"/>
    <w:rsid w:val="00FA2316"/>
    <w:rsid w:val="00FC2B33"/>
    <w:rsid w:val="00FC486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3456BCF"/>
  <w15:chartTrackingRefBased/>
  <w15:docId w15:val="{7C00D5B4-77F2-6041-BFCE-E4B71FBB877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A2316"/>
    <w:rPr>
      <w:rFonts w:ascii="Times New Roman" w:eastAsia="Times New Roman" w:hAnsi="Times New Roman"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unhideWhenUsed/>
    <w:rsid w:val="008215F1"/>
    <w:pPr>
      <w:tabs>
        <w:tab w:val="center" w:pos="4680"/>
        <w:tab w:val="right" w:pos="9360"/>
      </w:tabs>
    </w:pPr>
  </w:style>
  <w:style w:type="character" w:customStyle="1" w:styleId="FooterChar">
    <w:name w:val="Footer Char"/>
    <w:basedOn w:val="DefaultParagraphFont"/>
    <w:link w:val="Footer"/>
    <w:uiPriority w:val="99"/>
    <w:rsid w:val="008215F1"/>
    <w:rPr>
      <w:rFonts w:ascii="Times New Roman" w:eastAsia="Times New Roman" w:hAnsi="Times New Roman" w:cs="Times New Roman"/>
    </w:rPr>
  </w:style>
  <w:style w:type="character" w:styleId="PageNumber">
    <w:name w:val="page number"/>
    <w:basedOn w:val="DefaultParagraphFont"/>
    <w:uiPriority w:val="99"/>
    <w:semiHidden/>
    <w:unhideWhenUsed/>
    <w:rsid w:val="008215F1"/>
  </w:style>
  <w:style w:type="character" w:styleId="LineNumber">
    <w:name w:val="line number"/>
    <w:basedOn w:val="DefaultParagraphFont"/>
    <w:uiPriority w:val="99"/>
    <w:semiHidden/>
    <w:unhideWhenUsed/>
    <w:rsid w:val="008215F1"/>
  </w:style>
  <w:style w:type="paragraph" w:styleId="Caption">
    <w:name w:val="caption"/>
    <w:basedOn w:val="Normal"/>
    <w:next w:val="Normal"/>
    <w:uiPriority w:val="35"/>
    <w:unhideWhenUsed/>
    <w:qFormat/>
    <w:rsid w:val="00F54BBA"/>
    <w:pPr>
      <w:spacing w:after="200"/>
    </w:pPr>
    <w:rPr>
      <w:i/>
      <w:iCs/>
      <w:color w:val="44546A" w:themeColor="text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C7D30BE-E1AA-C34C-A63F-E3036F26BCF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7</Pages>
  <Words>10909</Words>
  <Characters>62186</Characters>
  <Application>Microsoft Office Word</Application>
  <DocSecurity>0</DocSecurity>
  <Lines>518</Lines>
  <Paragraphs>145</Paragraphs>
  <ScaleCrop>false</ScaleCrop>
  <Company/>
  <LinksUpToDate>false</LinksUpToDate>
  <CharactersWithSpaces>72950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Nicolas Navarre</dc:creator>
  <cp:keywords/>
  <dc:description/>
  <cp:lastModifiedBy>Nicolas Navarre</cp:lastModifiedBy>
  <cp:revision>9</cp:revision>
  <dcterms:created xsi:type="dcterms:W3CDTF">2023-08-18T10:22:00Z</dcterms:created>
  <dcterms:modified xsi:type="dcterms:W3CDTF">2023-08-18T10:24:00Z</dcterms:modified>
</cp:coreProperties>
</file>