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5DAE82" w14:textId="39B1DACD" w:rsidR="002877BB" w:rsidRDefault="002877BB" w:rsidP="008835EA">
      <w:pPr>
        <w:pStyle w:val="Title"/>
        <w:rPr>
          <w:rFonts w:ascii="Times New Roman" w:hAnsi="Times New Roman" w:cs="Times New Roman"/>
          <w:b/>
          <w:sz w:val="28"/>
          <w:szCs w:val="28"/>
        </w:rPr>
      </w:pPr>
      <w:bookmarkStart w:id="0" w:name="_Hlk125621012"/>
      <w:bookmarkStart w:id="1" w:name="_Hlk123913742"/>
      <w:bookmarkStart w:id="2" w:name="_GoBack"/>
      <w:bookmarkEnd w:id="2"/>
      <w:r>
        <w:rPr>
          <w:rFonts w:ascii="Times New Roman" w:hAnsi="Times New Roman" w:cs="Times New Roman"/>
          <w:b/>
          <w:sz w:val="28"/>
          <w:szCs w:val="28"/>
        </w:rPr>
        <w:t xml:space="preserve">Supplementary material </w:t>
      </w:r>
    </w:p>
    <w:p w14:paraId="63A7810B" w14:textId="77777777" w:rsidR="008067B2" w:rsidRPr="00FA0473" w:rsidRDefault="008067B2" w:rsidP="008067B2">
      <w:pPr>
        <w:pStyle w:val="Title"/>
        <w:rPr>
          <w:rFonts w:ascii="Times New Roman" w:hAnsi="Times New Roman" w:cs="Times New Roman"/>
          <w:b/>
          <w:sz w:val="28"/>
          <w:szCs w:val="28"/>
        </w:rPr>
      </w:pPr>
      <w:bookmarkStart w:id="3" w:name="_Hlk143175819"/>
      <w:bookmarkEnd w:id="0"/>
      <w:bookmarkEnd w:id="1"/>
      <w:r w:rsidRPr="00FA0473">
        <w:rPr>
          <w:rFonts w:ascii="Times New Roman" w:hAnsi="Times New Roman" w:cs="Times New Roman"/>
          <w:b/>
          <w:sz w:val="28"/>
          <w:szCs w:val="28"/>
        </w:rPr>
        <w:t>Thermodynamics of continental deformation</w:t>
      </w:r>
      <w:bookmarkEnd w:id="3"/>
      <w:r w:rsidRPr="00FA0473">
        <w:rPr>
          <w:rFonts w:ascii="Times New Roman" w:hAnsi="Times New Roman" w:cs="Times New Roman"/>
          <w:b/>
          <w:sz w:val="28"/>
          <w:szCs w:val="28"/>
        </w:rPr>
        <w:t xml:space="preserve"> </w:t>
      </w:r>
    </w:p>
    <w:p w14:paraId="2C0E6AEC" w14:textId="77777777" w:rsidR="008067B2" w:rsidRPr="00FA0473" w:rsidRDefault="008067B2" w:rsidP="008067B2">
      <w:pPr>
        <w:pStyle w:val="Standard1"/>
        <w:spacing w:line="360" w:lineRule="auto"/>
        <w:jc w:val="both"/>
        <w:rPr>
          <w:rFonts w:ascii="Times New Roman" w:hAnsi="Times New Roman" w:cs="Times New Roman"/>
          <w:b/>
          <w:sz w:val="22"/>
          <w:szCs w:val="22"/>
        </w:rPr>
      </w:pPr>
      <w:r w:rsidRPr="00FA0473">
        <w:rPr>
          <w:rFonts w:ascii="Times New Roman" w:hAnsi="Times New Roman" w:cs="Times New Roman"/>
          <w:b/>
          <w:sz w:val="22"/>
          <w:szCs w:val="22"/>
        </w:rPr>
        <w:t>Ajay Kumar</w:t>
      </w:r>
      <w:r w:rsidRPr="00FA0473">
        <w:rPr>
          <w:rFonts w:ascii="Times New Roman" w:hAnsi="Times New Roman" w:cs="Times New Roman"/>
          <w:b/>
          <w:sz w:val="22"/>
          <w:szCs w:val="22"/>
          <w:vertAlign w:val="superscript"/>
        </w:rPr>
        <w:t>1*</w:t>
      </w:r>
      <w:r w:rsidRPr="00FA0473">
        <w:rPr>
          <w:rFonts w:ascii="Times New Roman" w:hAnsi="Times New Roman" w:cs="Times New Roman"/>
          <w:b/>
          <w:sz w:val="22"/>
          <w:szCs w:val="22"/>
        </w:rPr>
        <w:t>, Mauro Cacace</w:t>
      </w:r>
      <w:r w:rsidRPr="00FA0473">
        <w:rPr>
          <w:rFonts w:ascii="Times New Roman" w:hAnsi="Times New Roman" w:cs="Times New Roman"/>
          <w:b/>
          <w:sz w:val="22"/>
          <w:szCs w:val="22"/>
          <w:vertAlign w:val="superscript"/>
        </w:rPr>
        <w:t>1</w:t>
      </w:r>
      <w:r w:rsidRPr="00FA0473">
        <w:rPr>
          <w:rFonts w:ascii="Times New Roman" w:hAnsi="Times New Roman" w:cs="Times New Roman"/>
          <w:b/>
          <w:sz w:val="22"/>
          <w:szCs w:val="22"/>
        </w:rPr>
        <w:t>, Magdalena Scheck-Wenderoth</w:t>
      </w:r>
      <w:r w:rsidRPr="00FA0473">
        <w:rPr>
          <w:rFonts w:ascii="Times New Roman" w:hAnsi="Times New Roman" w:cs="Times New Roman"/>
          <w:b/>
          <w:sz w:val="22"/>
          <w:szCs w:val="22"/>
          <w:vertAlign w:val="superscript"/>
        </w:rPr>
        <w:t>1,2</w:t>
      </w:r>
      <w:r w:rsidRPr="00FA0473">
        <w:rPr>
          <w:rFonts w:ascii="Times New Roman" w:hAnsi="Times New Roman" w:cs="Times New Roman"/>
          <w:b/>
          <w:sz w:val="22"/>
          <w:szCs w:val="22"/>
        </w:rPr>
        <w:t xml:space="preserve"> </w:t>
      </w:r>
    </w:p>
    <w:p w14:paraId="4028B71A" w14:textId="77777777" w:rsidR="008067B2" w:rsidRPr="00FA0473" w:rsidRDefault="008067B2" w:rsidP="008067B2">
      <w:pPr>
        <w:pStyle w:val="Standard1"/>
        <w:jc w:val="both"/>
        <w:rPr>
          <w:rFonts w:ascii="Times New Roman" w:hAnsi="Times New Roman" w:cs="Times New Roman"/>
          <w:sz w:val="22"/>
          <w:szCs w:val="22"/>
        </w:rPr>
      </w:pPr>
      <w:r w:rsidRPr="00FA0473">
        <w:rPr>
          <w:rFonts w:ascii="Times New Roman" w:hAnsi="Times New Roman" w:cs="Times New Roman"/>
          <w:sz w:val="22"/>
          <w:szCs w:val="22"/>
          <w:vertAlign w:val="superscript"/>
        </w:rPr>
        <w:t>1</w:t>
      </w:r>
      <w:r w:rsidRPr="00FA0473">
        <w:rPr>
          <w:rFonts w:ascii="Times New Roman" w:hAnsi="Times New Roman" w:cs="Times New Roman"/>
          <w:sz w:val="22"/>
          <w:szCs w:val="22"/>
        </w:rPr>
        <w:t>GFZ German Research Centre for Geosciences, Potsdam Germany</w:t>
      </w:r>
    </w:p>
    <w:p w14:paraId="75053257" w14:textId="77777777" w:rsidR="008067B2" w:rsidRPr="00FA0473" w:rsidRDefault="008067B2" w:rsidP="008067B2">
      <w:pPr>
        <w:pStyle w:val="Standard1"/>
        <w:jc w:val="both"/>
        <w:rPr>
          <w:rFonts w:ascii="Times New Roman" w:hAnsi="Times New Roman" w:cs="Times New Roman"/>
          <w:sz w:val="22"/>
          <w:szCs w:val="22"/>
        </w:rPr>
      </w:pPr>
      <w:r w:rsidRPr="00FA0473">
        <w:rPr>
          <w:rFonts w:ascii="Times New Roman" w:hAnsi="Times New Roman" w:cs="Times New Roman"/>
          <w:sz w:val="22"/>
          <w:szCs w:val="22"/>
          <w:vertAlign w:val="superscript"/>
        </w:rPr>
        <w:t>2</w:t>
      </w:r>
      <w:r w:rsidRPr="00FA0473">
        <w:rPr>
          <w:rFonts w:ascii="Times New Roman" w:hAnsi="Times New Roman" w:cs="Times New Roman"/>
          <w:sz w:val="22"/>
          <w:szCs w:val="22"/>
        </w:rPr>
        <w:t>Faculty of Georesources and Materials Engineering, RWTH Aachen University, Aachen, Germany.</w:t>
      </w:r>
    </w:p>
    <w:p w14:paraId="636921E6" w14:textId="77777777" w:rsidR="008067B2" w:rsidRPr="00FA0473" w:rsidRDefault="008067B2" w:rsidP="008067B2">
      <w:pPr>
        <w:rPr>
          <w:sz w:val="20"/>
        </w:rPr>
      </w:pPr>
      <w:r w:rsidRPr="00FA0473">
        <w:rPr>
          <w:b/>
          <w:szCs w:val="22"/>
        </w:rPr>
        <w:t>*</w:t>
      </w:r>
      <w:r w:rsidRPr="00FA0473">
        <w:rPr>
          <w:szCs w:val="22"/>
        </w:rPr>
        <w:t>kumar@gfz-potsdam.de</w:t>
      </w:r>
    </w:p>
    <w:p w14:paraId="4AF760A6" w14:textId="05C03FDD" w:rsidR="0059611F" w:rsidRPr="006B3A08" w:rsidRDefault="0059611F" w:rsidP="008067B2">
      <w:pPr>
        <w:widowControl w:val="0"/>
        <w:autoSpaceDE w:val="0"/>
        <w:autoSpaceDN w:val="0"/>
        <w:adjustRightInd w:val="0"/>
      </w:pPr>
      <w:r w:rsidRPr="006B3A08">
        <w:br w:type="page"/>
      </w:r>
    </w:p>
    <w:p w14:paraId="0F43A709" w14:textId="5BE68DB2" w:rsidR="0059611F" w:rsidRPr="006B3A08" w:rsidRDefault="001C1362" w:rsidP="0059611F">
      <w:pPr>
        <w:pStyle w:val="Heading1"/>
      </w:pPr>
      <w:r>
        <w:lastRenderedPageBreak/>
        <w:t>This file contains</w:t>
      </w:r>
      <w:r w:rsidR="0059611F" w:rsidRPr="006B3A08">
        <w:t>: Table</w:t>
      </w:r>
      <w:r w:rsidR="00341403">
        <w:t xml:space="preserve"> S1</w:t>
      </w:r>
      <w:r w:rsidR="0059611F" w:rsidRPr="006B3A08">
        <w:t xml:space="preserve"> and </w:t>
      </w:r>
      <w:r w:rsidR="00341403">
        <w:t>F</w:t>
      </w:r>
      <w:r w:rsidR="0059611F" w:rsidRPr="006B3A08">
        <w:t>igures</w:t>
      </w:r>
      <w:r w:rsidR="00341403">
        <w:t xml:space="preserve"> S1-S10</w:t>
      </w:r>
    </w:p>
    <w:p w14:paraId="316BB8DF" w14:textId="525D2C78" w:rsidR="0059611F" w:rsidRPr="006B3A08" w:rsidRDefault="0059611F" w:rsidP="0059611F">
      <w:pPr>
        <w:pStyle w:val="Heading1"/>
      </w:pPr>
      <w:r w:rsidRPr="006B3A08">
        <w:t xml:space="preserve">Table </w:t>
      </w:r>
      <w:r w:rsidR="00C96FAE">
        <w:t>S</w:t>
      </w:r>
      <w:r w:rsidRPr="006B3A08">
        <w:t>1 | Rheological properties of the additionally tested lithologies.</w:t>
      </w:r>
    </w:p>
    <w:tbl>
      <w:tblPr>
        <w:tblpPr w:leftFromText="180" w:rightFromText="180" w:vertAnchor="text" w:horzAnchor="margin" w:tblpXSpec="center" w:tblpY="117"/>
        <w:tblW w:w="10479" w:type="dxa"/>
        <w:tblLook w:val="04A0" w:firstRow="1" w:lastRow="0" w:firstColumn="1" w:lastColumn="0" w:noHBand="0" w:noVBand="1"/>
      </w:tblPr>
      <w:tblGrid>
        <w:gridCol w:w="2127"/>
        <w:gridCol w:w="2985"/>
        <w:gridCol w:w="2259"/>
        <w:gridCol w:w="3108"/>
      </w:tblGrid>
      <w:tr w:rsidR="0059611F" w:rsidRPr="006B3A08" w14:paraId="59D8204B" w14:textId="77777777" w:rsidTr="00ED072A">
        <w:trPr>
          <w:trHeight w:val="135"/>
        </w:trPr>
        <w:tc>
          <w:tcPr>
            <w:tcW w:w="2127" w:type="dxa"/>
          </w:tcPr>
          <w:p w14:paraId="0CA00A1F" w14:textId="77777777" w:rsidR="0059611F" w:rsidRPr="006B3A08" w:rsidRDefault="0059611F" w:rsidP="00ED072A">
            <w:pPr>
              <w:spacing w:before="0" w:after="0"/>
              <w:jc w:val="center"/>
              <w:rPr>
                <w:b/>
                <w:sz w:val="16"/>
                <w:szCs w:val="16"/>
              </w:rPr>
            </w:pPr>
            <w:r w:rsidRPr="006B3A08">
              <w:rPr>
                <w:b/>
                <w:sz w:val="16"/>
                <w:szCs w:val="16"/>
              </w:rPr>
              <w:t>Lithology</w:t>
            </w:r>
          </w:p>
        </w:tc>
        <w:tc>
          <w:tcPr>
            <w:tcW w:w="2985" w:type="dxa"/>
          </w:tcPr>
          <w:p w14:paraId="72B10932" w14:textId="77777777" w:rsidR="0059611F" w:rsidRPr="006B3A08" w:rsidRDefault="0059611F" w:rsidP="00ED072A">
            <w:pPr>
              <w:spacing w:before="0" w:after="0"/>
              <w:jc w:val="center"/>
              <w:rPr>
                <w:b/>
                <w:sz w:val="16"/>
                <w:szCs w:val="16"/>
              </w:rPr>
            </w:pPr>
            <w:r w:rsidRPr="006B3A08">
              <w:rPr>
                <w:b/>
                <w:sz w:val="16"/>
                <w:szCs w:val="16"/>
              </w:rPr>
              <w:t>Power-law strain rate</w:t>
            </w:r>
            <w:r>
              <w:rPr>
                <w:b/>
                <w:sz w:val="16"/>
                <w:szCs w:val="16"/>
              </w:rPr>
              <w:t xml:space="preserve"> </w:t>
            </w:r>
            <w:r w:rsidRPr="006B3A08">
              <w:rPr>
                <w:b/>
                <w:sz w:val="16"/>
                <w:szCs w:val="16"/>
              </w:rPr>
              <w:t>A (Pa</w:t>
            </w:r>
            <w:r w:rsidRPr="006B3A08">
              <w:rPr>
                <w:b/>
                <w:sz w:val="16"/>
                <w:szCs w:val="16"/>
                <w:vertAlign w:val="superscript"/>
              </w:rPr>
              <w:t xml:space="preserve">-n </w:t>
            </w:r>
            <w:r w:rsidRPr="006B3A08">
              <w:rPr>
                <w:b/>
                <w:sz w:val="16"/>
                <w:szCs w:val="16"/>
              </w:rPr>
              <w:t>s</w:t>
            </w:r>
            <w:r w:rsidRPr="006B3A08">
              <w:rPr>
                <w:b/>
                <w:sz w:val="16"/>
                <w:szCs w:val="16"/>
                <w:vertAlign w:val="superscript"/>
              </w:rPr>
              <w:t>-1</w:t>
            </w:r>
            <w:r w:rsidRPr="006B3A08">
              <w:rPr>
                <w:b/>
                <w:sz w:val="16"/>
                <w:szCs w:val="16"/>
              </w:rPr>
              <w:t>)</w:t>
            </w:r>
          </w:p>
        </w:tc>
        <w:tc>
          <w:tcPr>
            <w:tcW w:w="2259" w:type="dxa"/>
          </w:tcPr>
          <w:p w14:paraId="0CBABD60" w14:textId="77777777" w:rsidR="0059611F" w:rsidRPr="006B3A08" w:rsidRDefault="0059611F" w:rsidP="00ED072A">
            <w:pPr>
              <w:spacing w:before="0" w:after="0"/>
              <w:jc w:val="center"/>
              <w:rPr>
                <w:b/>
                <w:sz w:val="16"/>
                <w:szCs w:val="16"/>
              </w:rPr>
            </w:pPr>
            <w:r w:rsidRPr="006B3A08">
              <w:rPr>
                <w:b/>
                <w:sz w:val="16"/>
                <w:szCs w:val="16"/>
              </w:rPr>
              <w:t>Power-law Exponent</w:t>
            </w:r>
            <w:r>
              <w:rPr>
                <w:b/>
                <w:sz w:val="16"/>
                <w:szCs w:val="16"/>
              </w:rPr>
              <w:t xml:space="preserve"> </w:t>
            </w:r>
            <w:r w:rsidRPr="006B3A08">
              <w:rPr>
                <w:b/>
                <w:sz w:val="16"/>
                <w:szCs w:val="16"/>
              </w:rPr>
              <w:t>n</w:t>
            </w:r>
          </w:p>
        </w:tc>
        <w:tc>
          <w:tcPr>
            <w:tcW w:w="3108" w:type="dxa"/>
          </w:tcPr>
          <w:p w14:paraId="72FFC93D" w14:textId="77777777" w:rsidR="0059611F" w:rsidRPr="006B3A08" w:rsidRDefault="0059611F" w:rsidP="00ED072A">
            <w:pPr>
              <w:spacing w:before="0" w:after="0"/>
              <w:jc w:val="center"/>
              <w:rPr>
                <w:b/>
                <w:sz w:val="16"/>
                <w:szCs w:val="16"/>
              </w:rPr>
            </w:pPr>
            <w:r w:rsidRPr="006B3A08">
              <w:rPr>
                <w:b/>
                <w:sz w:val="16"/>
                <w:szCs w:val="16"/>
              </w:rPr>
              <w:t>Activation Enthalpy</w:t>
            </w:r>
            <w:r>
              <w:rPr>
                <w:b/>
                <w:sz w:val="16"/>
                <w:szCs w:val="16"/>
              </w:rPr>
              <w:t xml:space="preserve"> </w:t>
            </w:r>
            <w:r w:rsidRPr="006B3A08">
              <w:rPr>
                <w:b/>
                <w:sz w:val="16"/>
                <w:szCs w:val="16"/>
              </w:rPr>
              <w:t>H (J mol</w:t>
            </w:r>
            <w:r w:rsidRPr="006B3A08">
              <w:rPr>
                <w:b/>
                <w:sz w:val="16"/>
                <w:szCs w:val="16"/>
                <w:vertAlign w:val="superscript"/>
              </w:rPr>
              <w:t>-1</w:t>
            </w:r>
            <w:r w:rsidRPr="006B3A08">
              <w:rPr>
                <w:b/>
                <w:sz w:val="16"/>
                <w:szCs w:val="16"/>
              </w:rPr>
              <w:t>)</w:t>
            </w:r>
          </w:p>
        </w:tc>
      </w:tr>
      <w:tr w:rsidR="0059611F" w:rsidRPr="006B3A08" w14:paraId="57FC9B29" w14:textId="77777777" w:rsidTr="00ED072A">
        <w:trPr>
          <w:trHeight w:val="135"/>
        </w:trPr>
        <w:tc>
          <w:tcPr>
            <w:tcW w:w="2127" w:type="dxa"/>
          </w:tcPr>
          <w:p w14:paraId="535BD641" w14:textId="3B9D93E0" w:rsidR="0059611F" w:rsidRPr="006B3A08" w:rsidRDefault="0059611F" w:rsidP="00ED072A">
            <w:pPr>
              <w:tabs>
                <w:tab w:val="center" w:pos="1364"/>
                <w:tab w:val="right" w:pos="2728"/>
              </w:tabs>
              <w:spacing w:before="0" w:after="0"/>
              <w:jc w:val="center"/>
              <w:rPr>
                <w:b/>
                <w:sz w:val="16"/>
                <w:szCs w:val="16"/>
              </w:rPr>
            </w:pPr>
            <w:r w:rsidRPr="006B3A08">
              <w:rPr>
                <w:b/>
                <w:sz w:val="16"/>
                <w:szCs w:val="16"/>
              </w:rPr>
              <w:t>Quartzite wet</w:t>
            </w:r>
            <w:r w:rsidRPr="006B3A08">
              <w:rPr>
                <w:b/>
                <w:sz w:val="16"/>
                <w:szCs w:val="16"/>
              </w:rPr>
              <w:fldChar w:fldCharType="begin" w:fldLock="1"/>
            </w:r>
            <w:r w:rsidR="00700726">
              <w:rPr>
                <w:b/>
                <w:sz w:val="16"/>
                <w:szCs w:val="16"/>
              </w:rPr>
              <w:instrText>ADDIN CSL_CITATION {"citationItems":[{"id":"ITEM-1","itemData":{"DOI":"10.1016/0040-1951(87)90348-9","ISSN":"00401951","abstract":"The rheology of the lithosphere is estimated on the basis of pore-pressure dependent frictional failure in the brittle regime, and power-law steady-state creep in the ductile regime. Different petrological models of the continental and oceanic lithosphere, combined with different geotherms and thicknesses, are used to generate models covering a variety of geodynamic situations. Results show that the depth-dependence of lithospheric rheology varies with the tectonic province, and that in many instances the continental lithosphere has one (at the bottom of the crust) or two (the previous one plus another at mid-crustal levels) soft ductile layers sandwiched between brittle layers. The depth distribution of geophysical parameters (seismicity, seismic wave velocity, and electrical conductivity) matches the theological predictions well. The lithospheric rheological profiles are used to analyze observed variations in the structural style of deformed continental margin and oceanic terranes in the southeastern Canadian Cordillera. The large-scale characteristics of the system show a satisfactory agreement with the inferred rheological structure. Sub-horizontal decollements should be the rule rather than the exception where the lithospheric rheology is strongly stratified. © 1987.","author":[{"dropping-particle":"","family":"Ranalli","given":"Giorgio","non-dropping-particle":"","parse-names":false,"suffix":""},{"dropping-particle":"","family":"Murphy","given":"Donald C.","non-dropping-particle":"","parse-names":false,"suffix":""}],"container-title":"Tectonophysics","id":"ITEM-1","issue":"4","issued":{"date-parts":[["1987"]]},"page":"281-295","title":"Rheological stratification of the lithosphere","type":"article-journal","volume":"132"},"uris":["http://www.mendeley.com/documents/?uuid=f61293d9-89a0-4419-b3ba-034d6328cdb5"]}],"mendeley":{"formattedCitation":"(Ranalli and Murphy 1987)","plainTextFormattedCitation":"(Ranalli and Murphy 1987)","previouslyFormattedCitation":"&lt;sup&gt;1&lt;/sup&gt;"},"properties":{"noteIndex":0},"schema":"https://github.com/citation-style-language/schema/raw/master/csl-citation.json"}</w:instrText>
            </w:r>
            <w:r w:rsidRPr="006B3A08">
              <w:rPr>
                <w:b/>
                <w:sz w:val="16"/>
                <w:szCs w:val="16"/>
              </w:rPr>
              <w:fldChar w:fldCharType="separate"/>
            </w:r>
            <w:r w:rsidR="00700726" w:rsidRPr="00700726">
              <w:rPr>
                <w:sz w:val="16"/>
                <w:szCs w:val="16"/>
              </w:rPr>
              <w:t>(Ranalli and Murphy 1987)</w:t>
            </w:r>
            <w:r w:rsidRPr="006B3A08">
              <w:rPr>
                <w:b/>
                <w:sz w:val="16"/>
                <w:szCs w:val="16"/>
              </w:rPr>
              <w:fldChar w:fldCharType="end"/>
            </w:r>
          </w:p>
        </w:tc>
        <w:tc>
          <w:tcPr>
            <w:tcW w:w="2985" w:type="dxa"/>
          </w:tcPr>
          <w:p w14:paraId="053762DE" w14:textId="77777777" w:rsidR="0059611F" w:rsidRPr="006B3A08" w:rsidRDefault="0059611F" w:rsidP="00ED072A">
            <w:pPr>
              <w:spacing w:before="0" w:after="0"/>
              <w:jc w:val="center"/>
              <w:rPr>
                <w:sz w:val="16"/>
                <w:szCs w:val="16"/>
              </w:rPr>
            </w:pPr>
            <w:r w:rsidRPr="006B3A08">
              <w:rPr>
                <w:sz w:val="16"/>
                <w:szCs w:val="16"/>
              </w:rPr>
              <w:t>3.99 E-18</w:t>
            </w:r>
          </w:p>
        </w:tc>
        <w:tc>
          <w:tcPr>
            <w:tcW w:w="2259" w:type="dxa"/>
          </w:tcPr>
          <w:p w14:paraId="38D89DAA" w14:textId="77777777" w:rsidR="0059611F" w:rsidRPr="006B3A08" w:rsidRDefault="0059611F" w:rsidP="00ED072A">
            <w:pPr>
              <w:spacing w:before="0" w:after="0"/>
              <w:jc w:val="center"/>
              <w:rPr>
                <w:sz w:val="16"/>
                <w:szCs w:val="16"/>
              </w:rPr>
            </w:pPr>
            <w:r w:rsidRPr="006B3A08">
              <w:rPr>
                <w:sz w:val="16"/>
                <w:szCs w:val="16"/>
              </w:rPr>
              <w:t>2.3</w:t>
            </w:r>
          </w:p>
        </w:tc>
        <w:tc>
          <w:tcPr>
            <w:tcW w:w="3108" w:type="dxa"/>
          </w:tcPr>
          <w:p w14:paraId="69255361" w14:textId="77777777" w:rsidR="0059611F" w:rsidRPr="006B3A08" w:rsidRDefault="0059611F" w:rsidP="00ED072A">
            <w:pPr>
              <w:spacing w:before="0" w:after="0"/>
              <w:jc w:val="center"/>
              <w:rPr>
                <w:sz w:val="16"/>
                <w:szCs w:val="16"/>
              </w:rPr>
            </w:pPr>
            <w:r w:rsidRPr="006B3A08">
              <w:rPr>
                <w:sz w:val="16"/>
                <w:szCs w:val="16"/>
              </w:rPr>
              <w:t>1.54E+05</w:t>
            </w:r>
          </w:p>
        </w:tc>
      </w:tr>
      <w:tr w:rsidR="0059611F" w:rsidRPr="006B3A08" w14:paraId="303A1031" w14:textId="77777777" w:rsidTr="00ED072A">
        <w:trPr>
          <w:trHeight w:val="135"/>
        </w:trPr>
        <w:tc>
          <w:tcPr>
            <w:tcW w:w="2127" w:type="dxa"/>
          </w:tcPr>
          <w:p w14:paraId="10D95574" w14:textId="612BC00B" w:rsidR="0059611F" w:rsidRPr="006B3A08" w:rsidRDefault="0059611F" w:rsidP="00ED072A">
            <w:pPr>
              <w:spacing w:before="0" w:after="0"/>
              <w:jc w:val="center"/>
              <w:rPr>
                <w:b/>
                <w:sz w:val="16"/>
                <w:szCs w:val="16"/>
              </w:rPr>
            </w:pPr>
            <w:r w:rsidRPr="006B3A08">
              <w:rPr>
                <w:b/>
                <w:sz w:val="16"/>
                <w:szCs w:val="16"/>
              </w:rPr>
              <w:t>Quartzite dry</w:t>
            </w:r>
            <w:r w:rsidRPr="006B3A08">
              <w:rPr>
                <w:b/>
                <w:sz w:val="16"/>
                <w:szCs w:val="16"/>
              </w:rPr>
              <w:fldChar w:fldCharType="begin" w:fldLock="1"/>
            </w:r>
            <w:r w:rsidR="00700726">
              <w:rPr>
                <w:b/>
                <w:sz w:val="16"/>
                <w:szCs w:val="16"/>
              </w:rPr>
              <w:instrText>ADDIN CSL_CITATION {"citationItems":[{"id":"ITEM-1","itemData":{"DOI":"10.1016/0040-1951(87)90348-9","ISSN":"00401951","abstract":"The rheology of the lithosphere is estimated on the basis of pore-pressure dependent frictional failure in the brittle regime, and power-law steady-state creep in the ductile regime. Different petrological models of the continental and oceanic lithosphere, combined with different geotherms and thicknesses, are used to generate models covering a variety of geodynamic situations. Results show that the depth-dependence of lithospheric rheology varies with the tectonic province, and that in many instances the continental lithosphere has one (at the bottom of the crust) or two (the previous one plus another at mid-crustal levels) soft ductile layers sandwiched between brittle layers. The depth distribution of geophysical parameters (seismicity, seismic wave velocity, and electrical conductivity) matches the theological predictions well. The lithospheric rheological profiles are used to analyze observed variations in the structural style of deformed continental margin and oceanic terranes in the southeastern Canadian Cordillera. The large-scale characteristics of the system show a satisfactory agreement with the inferred rheological structure. Sub-horizontal decollements should be the rule rather than the exception where the lithospheric rheology is strongly stratified. © 1987.","author":[{"dropping-particle":"","family":"Ranalli","given":"Giorgio","non-dropping-particle":"","parse-names":false,"suffix":""},{"dropping-particle":"","family":"Murphy","given":"Donald C.","non-dropping-particle":"","parse-names":false,"suffix":""}],"container-title":"Tectonophysics","id":"ITEM-1","issue":"4","issued":{"date-parts":[["1987"]]},"page":"281-295","title":"Rheological stratification of the lithosphere","type":"article-journal","volume":"132"},"uris":["http://www.mendeley.com/documents/?uuid=f61293d9-89a0-4419-b3ba-034d6328cdb5"]}],"mendeley":{"formattedCitation":"(Ranalli and Murphy 1987)","plainTextFormattedCitation":"(Ranalli and Murphy 1987)","previouslyFormattedCitation":"&lt;sup&gt;1&lt;/sup&gt;"},"properties":{"noteIndex":0},"schema":"https://github.com/citation-style-language/schema/raw/master/csl-citation.json"}</w:instrText>
            </w:r>
            <w:r w:rsidRPr="006B3A08">
              <w:rPr>
                <w:b/>
                <w:sz w:val="16"/>
                <w:szCs w:val="16"/>
              </w:rPr>
              <w:fldChar w:fldCharType="separate"/>
            </w:r>
            <w:r w:rsidR="00700726" w:rsidRPr="00700726">
              <w:rPr>
                <w:sz w:val="16"/>
                <w:szCs w:val="16"/>
              </w:rPr>
              <w:t>(Ranalli and Murphy 1987)</w:t>
            </w:r>
            <w:r w:rsidRPr="006B3A08">
              <w:rPr>
                <w:b/>
                <w:sz w:val="16"/>
                <w:szCs w:val="16"/>
              </w:rPr>
              <w:fldChar w:fldCharType="end"/>
            </w:r>
          </w:p>
        </w:tc>
        <w:tc>
          <w:tcPr>
            <w:tcW w:w="2985" w:type="dxa"/>
          </w:tcPr>
          <w:p w14:paraId="7CB009A5" w14:textId="77777777" w:rsidR="0059611F" w:rsidRPr="006B3A08" w:rsidRDefault="0059611F" w:rsidP="00ED072A">
            <w:pPr>
              <w:spacing w:before="0" w:after="0"/>
              <w:jc w:val="center"/>
              <w:rPr>
                <w:sz w:val="16"/>
                <w:szCs w:val="16"/>
              </w:rPr>
            </w:pPr>
            <w:r w:rsidRPr="006B3A08">
              <w:rPr>
                <w:sz w:val="16"/>
                <w:szCs w:val="16"/>
              </w:rPr>
              <w:t>2.51 E-20</w:t>
            </w:r>
          </w:p>
        </w:tc>
        <w:tc>
          <w:tcPr>
            <w:tcW w:w="2259" w:type="dxa"/>
          </w:tcPr>
          <w:p w14:paraId="086EFC3A" w14:textId="77777777" w:rsidR="0059611F" w:rsidRPr="006B3A08" w:rsidRDefault="0059611F" w:rsidP="00ED072A">
            <w:pPr>
              <w:spacing w:before="0" w:after="0"/>
              <w:jc w:val="center"/>
              <w:rPr>
                <w:sz w:val="16"/>
                <w:szCs w:val="16"/>
              </w:rPr>
            </w:pPr>
            <w:r w:rsidRPr="006B3A08">
              <w:rPr>
                <w:sz w:val="16"/>
                <w:szCs w:val="16"/>
              </w:rPr>
              <w:t>2.4</w:t>
            </w:r>
          </w:p>
        </w:tc>
        <w:tc>
          <w:tcPr>
            <w:tcW w:w="3108" w:type="dxa"/>
          </w:tcPr>
          <w:p w14:paraId="24CEE529" w14:textId="77777777" w:rsidR="0059611F" w:rsidRPr="006B3A08" w:rsidRDefault="0059611F" w:rsidP="00ED072A">
            <w:pPr>
              <w:spacing w:before="0" w:after="0"/>
              <w:jc w:val="center"/>
              <w:rPr>
                <w:sz w:val="16"/>
                <w:szCs w:val="16"/>
              </w:rPr>
            </w:pPr>
            <w:r w:rsidRPr="006B3A08">
              <w:rPr>
                <w:sz w:val="16"/>
                <w:szCs w:val="16"/>
              </w:rPr>
              <w:t>1.56E+05</w:t>
            </w:r>
          </w:p>
        </w:tc>
      </w:tr>
      <w:tr w:rsidR="0059611F" w:rsidRPr="006B3A08" w14:paraId="5BE42E97" w14:textId="77777777" w:rsidTr="00ED072A">
        <w:trPr>
          <w:trHeight w:val="135"/>
        </w:trPr>
        <w:tc>
          <w:tcPr>
            <w:tcW w:w="2127" w:type="dxa"/>
          </w:tcPr>
          <w:p w14:paraId="3E8BE76A" w14:textId="366EC8EB" w:rsidR="0059611F" w:rsidRPr="006B3A08" w:rsidRDefault="0059611F" w:rsidP="00ED072A">
            <w:pPr>
              <w:spacing w:before="0" w:after="0"/>
              <w:jc w:val="center"/>
              <w:rPr>
                <w:b/>
                <w:sz w:val="16"/>
                <w:szCs w:val="16"/>
              </w:rPr>
            </w:pPr>
            <w:r w:rsidRPr="006B3A08">
              <w:rPr>
                <w:b/>
                <w:sz w:val="16"/>
                <w:szCs w:val="16"/>
              </w:rPr>
              <w:t>Peridotite wet</w:t>
            </w:r>
            <w:r w:rsidRPr="006B3A08">
              <w:rPr>
                <w:b/>
                <w:sz w:val="16"/>
                <w:szCs w:val="16"/>
              </w:rPr>
              <w:fldChar w:fldCharType="begin" w:fldLock="1"/>
            </w:r>
            <w:r w:rsidR="00700726">
              <w:rPr>
                <w:b/>
                <w:sz w:val="16"/>
                <w:szCs w:val="16"/>
              </w:rPr>
              <w:instrText xml:space="preserve">ADDIN CSL_CITATION {"citationItems":[{"id":"ITEM-1","itemData":{"DOI":"10.1016/0012-821x(96)00154-9","ISSN":"0012821X","abstract":"The influence of water on the dynamics of the oceanic upper mantle is re-evaluated based on recent experimental constraints on the solubility of water in mantle minerals and earlier experimental studies of olivine rheology. Experimental results indicate that the viscosity of olivine aggregates is reduced by a factor of </w:instrText>
            </w:r>
            <w:r w:rsidR="00700726">
              <w:rPr>
                <w:rFonts w:ascii="Cambria Math" w:hAnsi="Cambria Math" w:cs="Cambria Math"/>
                <w:b/>
                <w:sz w:val="16"/>
                <w:szCs w:val="16"/>
              </w:rPr>
              <w:instrText>∼</w:instrText>
            </w:r>
            <w:r w:rsidR="00700726">
              <w:rPr>
                <w:b/>
                <w:sz w:val="16"/>
                <w:szCs w:val="16"/>
              </w:rPr>
              <w:instrText xml:space="preserve"> 140 in the presence of water at a confining pressure of 300 MPa and that the influence of water on viscosity depends on the concentration of water in olivine. The water content of olivine in the MORB source is estimated to be 810 ± 490 H/106 Si, a value greater than the solubility of water in olivine at a confining pressure of 300 MPa (</w:instrText>
            </w:r>
            <w:r w:rsidR="00700726">
              <w:rPr>
                <w:rFonts w:ascii="Cambria Math" w:hAnsi="Cambria Math" w:cs="Cambria Math"/>
                <w:b/>
                <w:sz w:val="16"/>
                <w:szCs w:val="16"/>
              </w:rPr>
              <w:instrText>∼</w:instrText>
            </w:r>
            <w:r w:rsidR="00700726">
              <w:rPr>
                <w:b/>
                <w:sz w:val="16"/>
                <w:szCs w:val="16"/>
              </w:rPr>
              <w:instrText xml:space="preserve"> 250 H/106 Si). We therefore conclude that the viscosity of the mantle in the MORB source region is 500 ± 300 times less than that of dry olivine aggregates. The dependence of the solubility of water in olivine on pressure and water fugacity is used in conjunction with other petrological constraints to estimate the depth at which melting initiates beneath mid-ocean ridges. These calculations indicate that melting begins at a depth of </w:instrText>
            </w:r>
            <w:r w:rsidR="00700726">
              <w:rPr>
                <w:rFonts w:ascii="Cambria Math" w:hAnsi="Cambria Math" w:cs="Cambria Math"/>
                <w:b/>
                <w:sz w:val="16"/>
                <w:szCs w:val="16"/>
              </w:rPr>
              <w:instrText>∼</w:instrText>
            </w:r>
            <w:r w:rsidR="00700726">
              <w:rPr>
                <w:b/>
                <w:sz w:val="16"/>
                <w:szCs w:val="16"/>
              </w:rPr>
              <w:instrText xml:space="preserve"> 115 km, consistent with other geochemical observations. Owing to the relatively small amount of water present in the MORB source, only </w:instrText>
            </w:r>
            <w:r w:rsidR="00700726">
              <w:rPr>
                <w:rFonts w:ascii="Cambria Math" w:hAnsi="Cambria Math" w:cs="Cambria Math"/>
                <w:b/>
                <w:sz w:val="16"/>
                <w:szCs w:val="16"/>
              </w:rPr>
              <w:instrText>∼</w:instrText>
            </w:r>
            <w:r w:rsidR="00700726">
              <w:rPr>
                <w:b/>
                <w:sz w:val="16"/>
                <w:szCs w:val="16"/>
              </w:rPr>
              <w:instrText xml:space="preserve"> 1-2% melt is produced in the depth interval between the water-influenced solidus and the dry solidus. A discontinuity in mantle viscosity can develop at a depth of </w:instrText>
            </w:r>
            <w:r w:rsidR="00700726">
              <w:rPr>
                <w:rFonts w:ascii="Cambria Math" w:hAnsi="Cambria Math" w:cs="Cambria Math"/>
                <w:b/>
                <w:sz w:val="16"/>
                <w:szCs w:val="16"/>
              </w:rPr>
              <w:instrText>∼</w:instrText>
            </w:r>
            <w:r w:rsidR="00700726">
              <w:rPr>
                <w:b/>
                <w:sz w:val="16"/>
                <w:szCs w:val="16"/>
              </w:rPr>
              <w:instrText xml:space="preserve"> 60-70 km as a result of the extraction of water from olivine during the MORB melting process. In the mid-ocean ridge environment, the mantle viscosity at depths above this discontinuity may be large enough to produce lateral pressure gradients capable of focusing melt migration to the ridge axis. These observations indicate that the base of an oceanic plate is defined by a compositional rather than thermal boundary layer, or at least that the location of the thermal boundary layer is strongly influenced by a compositional boundary, and that the evolution of the oceanic upper mantle is strongly influenced by a viscosity structure that is controlled by the extraction of water from olivine at mid-ocean ridges.","author":[{"dropping-particle":"","family":"Hirth","given":"Greg","non-dropping-particle":"","parse-names":false,"suffix":""},{"dropping-particle":"","family":"Kohlstedt","given":"David L.","non-dropping-particle":"","parse-names":false,"suffix":""}],"container-title":"Earth and Planetary Science Letters","id":"ITEM-1","issue":"1-2","issued":{"date-parts":[["1996"]]},"page":"93-108","title":"Water in the oceanic upper mantle: Implications for rheology, melt extraction and the evolution of the lithosphere","type":"article-journal","volume":"144"},"uris":["http://www.mendeley.com/documents/?uuid=926d2143-48ed-4959-924f-a6ff3aefda44"]}],"mendeley":{"formattedCitation":"(Hirth and Kohlstedt 1996)","plainTextFormattedCitation":"(Hirth and Kohlstedt 1996)","previouslyFormattedCitation":"&lt;sup&gt;2&lt;/sup&gt;"},"properties":{"noteIndex":0},"schema":"https://github.com/citation-style-language/schema/raw/master/csl-citation.json"}</w:instrText>
            </w:r>
            <w:r w:rsidRPr="006B3A08">
              <w:rPr>
                <w:b/>
                <w:sz w:val="16"/>
                <w:szCs w:val="16"/>
              </w:rPr>
              <w:fldChar w:fldCharType="separate"/>
            </w:r>
            <w:r w:rsidR="00700726" w:rsidRPr="00700726">
              <w:rPr>
                <w:sz w:val="16"/>
                <w:szCs w:val="16"/>
              </w:rPr>
              <w:t>(Hirth and Kohlstedt 1996)</w:t>
            </w:r>
            <w:r w:rsidRPr="006B3A08">
              <w:rPr>
                <w:b/>
                <w:sz w:val="16"/>
                <w:szCs w:val="16"/>
              </w:rPr>
              <w:fldChar w:fldCharType="end"/>
            </w:r>
          </w:p>
        </w:tc>
        <w:tc>
          <w:tcPr>
            <w:tcW w:w="2985" w:type="dxa"/>
          </w:tcPr>
          <w:p w14:paraId="1839AF84" w14:textId="77777777" w:rsidR="0059611F" w:rsidRPr="006B3A08" w:rsidRDefault="0059611F" w:rsidP="00ED072A">
            <w:pPr>
              <w:spacing w:before="0" w:after="0"/>
              <w:jc w:val="center"/>
              <w:rPr>
                <w:sz w:val="16"/>
                <w:szCs w:val="16"/>
              </w:rPr>
            </w:pPr>
            <w:r w:rsidRPr="006B3A08">
              <w:rPr>
                <w:sz w:val="16"/>
                <w:szCs w:val="16"/>
              </w:rPr>
              <w:t>5.012 E-15</w:t>
            </w:r>
          </w:p>
        </w:tc>
        <w:tc>
          <w:tcPr>
            <w:tcW w:w="2259" w:type="dxa"/>
          </w:tcPr>
          <w:p w14:paraId="780F24E7" w14:textId="77777777" w:rsidR="0059611F" w:rsidRPr="006B3A08" w:rsidRDefault="0059611F" w:rsidP="00ED072A">
            <w:pPr>
              <w:spacing w:before="0" w:after="0"/>
              <w:jc w:val="center"/>
              <w:rPr>
                <w:sz w:val="16"/>
                <w:szCs w:val="16"/>
              </w:rPr>
            </w:pPr>
            <w:r w:rsidRPr="006B3A08">
              <w:rPr>
                <w:sz w:val="16"/>
                <w:szCs w:val="16"/>
              </w:rPr>
              <w:t>3.5</w:t>
            </w:r>
          </w:p>
        </w:tc>
        <w:tc>
          <w:tcPr>
            <w:tcW w:w="3108" w:type="dxa"/>
          </w:tcPr>
          <w:p w14:paraId="7807BCD5" w14:textId="77777777" w:rsidR="0059611F" w:rsidRPr="006B3A08" w:rsidRDefault="0059611F" w:rsidP="00ED072A">
            <w:pPr>
              <w:spacing w:before="0" w:after="0"/>
              <w:jc w:val="center"/>
              <w:rPr>
                <w:sz w:val="16"/>
                <w:szCs w:val="16"/>
              </w:rPr>
            </w:pPr>
            <w:r w:rsidRPr="006B3A08">
              <w:rPr>
                <w:sz w:val="16"/>
                <w:szCs w:val="16"/>
              </w:rPr>
              <w:t>5.15E+05</w:t>
            </w:r>
          </w:p>
        </w:tc>
      </w:tr>
    </w:tbl>
    <w:p w14:paraId="5BDC3065" w14:textId="77777777" w:rsidR="0059611F" w:rsidRPr="006B3A08" w:rsidRDefault="0059611F" w:rsidP="0059611F">
      <w:pPr>
        <w:spacing w:before="0" w:after="0" w:line="240" w:lineRule="auto"/>
        <w:rPr>
          <w:rFonts w:ascii="sans serif" w:hAnsi="sans serif" w:hint="eastAsia"/>
          <w:sz w:val="16"/>
          <w:szCs w:val="16"/>
        </w:rPr>
      </w:pPr>
    </w:p>
    <w:p w14:paraId="29396EDB" w14:textId="07D3E100" w:rsidR="0059611F" w:rsidRPr="006B3A08" w:rsidRDefault="0059611F" w:rsidP="0059611F">
      <w:pPr>
        <w:pStyle w:val="image"/>
        <w:spacing w:line="276" w:lineRule="auto"/>
        <w:rPr>
          <w:rFonts w:cs="Times New Roman"/>
        </w:rPr>
        <w:sectPr w:rsidR="0059611F" w:rsidRPr="006B3A08" w:rsidSect="0059611F">
          <w:pgSz w:w="11906" w:h="16838"/>
          <w:pgMar w:top="567" w:right="567" w:bottom="567" w:left="851" w:header="0" w:footer="0" w:gutter="0"/>
          <w:lnNumType w:countBy="1" w:restart="continuous"/>
          <w:cols w:space="720"/>
          <w:docGrid w:linePitch="326"/>
        </w:sectPr>
      </w:pPr>
      <w:r w:rsidRPr="006B3A08">
        <w:lastRenderedPageBreak/>
        <w:drawing>
          <wp:anchor distT="0" distB="0" distL="114300" distR="114300" simplePos="0" relativeHeight="251663360" behindDoc="0" locked="0" layoutInCell="1" allowOverlap="1" wp14:anchorId="57A67C4F" wp14:editId="28FBCA54">
            <wp:simplePos x="0" y="0"/>
            <wp:positionH relativeFrom="column">
              <wp:posOffset>494030</wp:posOffset>
            </wp:positionH>
            <wp:positionV relativeFrom="paragraph">
              <wp:posOffset>0</wp:posOffset>
            </wp:positionV>
            <wp:extent cx="5759450" cy="5701665"/>
            <wp:effectExtent l="0" t="0" r="0" b="0"/>
            <wp:wrapTopAndBottom/>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9450" cy="5701665"/>
                    </a:xfrm>
                    <a:prstGeom prst="rect">
                      <a:avLst/>
                    </a:prstGeom>
                  </pic:spPr>
                </pic:pic>
              </a:graphicData>
            </a:graphic>
          </wp:anchor>
        </w:drawing>
      </w:r>
      <w:r w:rsidRPr="006B3A08">
        <w:rPr>
          <w:rFonts w:cs="Times New Roman"/>
          <w:b/>
        </w:rPr>
        <w:t xml:space="preserve">Fig. </w:t>
      </w:r>
      <w:r w:rsidR="00C96FAE">
        <w:rPr>
          <w:rFonts w:cs="Times New Roman"/>
          <w:b/>
        </w:rPr>
        <w:t>S</w:t>
      </w:r>
      <w:r w:rsidRPr="006B3A08">
        <w:rPr>
          <w:rFonts w:cs="Times New Roman"/>
          <w:b/>
        </w:rPr>
        <w:fldChar w:fldCharType="begin"/>
      </w:r>
      <w:r w:rsidRPr="006B3A08">
        <w:rPr>
          <w:rFonts w:cs="Times New Roman"/>
          <w:b/>
        </w:rPr>
        <w:instrText xml:space="preserve"> SEQ Figure \* ARABIC </w:instrText>
      </w:r>
      <w:r w:rsidRPr="006B3A08">
        <w:rPr>
          <w:rFonts w:cs="Times New Roman"/>
          <w:b/>
        </w:rPr>
        <w:fldChar w:fldCharType="separate"/>
      </w:r>
      <w:r w:rsidRPr="006B3A08">
        <w:rPr>
          <w:rFonts w:cs="Times New Roman"/>
          <w:b/>
        </w:rPr>
        <w:t>1</w:t>
      </w:r>
      <w:r w:rsidRPr="006B3A08">
        <w:rPr>
          <w:rFonts w:cs="Times New Roman"/>
          <w:b/>
        </w:rPr>
        <w:fldChar w:fldCharType="end"/>
      </w:r>
      <w:r w:rsidRPr="006B3A08">
        <w:rPr>
          <w:rFonts w:cs="Times New Roman"/>
          <w:b/>
        </w:rPr>
        <w:t xml:space="preserve"> | The Alpine Himalayan Collision Zone</w:t>
      </w:r>
      <w:r w:rsidRPr="006B3A08">
        <w:rPr>
          <w:rFonts w:cs="Times New Roman"/>
        </w:rPr>
        <w:t>. a) Map of the Alpine Himalayan Collision Zone (AHCZ) depicting the different tectonothermal ages</w:t>
      </w:r>
      <w:r w:rsidRPr="006B3A08">
        <w:rPr>
          <w:rStyle w:val="imageChar"/>
          <w:rFonts w:cs="Times New Roman"/>
        </w:rPr>
        <w:fldChar w:fldCharType="begin" w:fldLock="1"/>
      </w:r>
      <w:r w:rsidR="00700726">
        <w:rPr>
          <w:rStyle w:val="imageChar"/>
          <w:rFonts w:cs="Times New Roman"/>
        </w:rPr>
        <w:instrText>ADDIN CSL_CITATION {"citationItems":[{"id":"ITEM-1","itemData":{"DOI":"10.1111/j.1365-246X.2011.05228.x","ISSN":"0956540X","abstract":"Because global coverage of heat flow measurements is still poor in many areas, empirical estimators based on the geology, the thermotectonic age or the velocity structure of the upper mantle have often been used to affect an estimate to regions where such measurements are absent. On the basis of the assumption that heat flow is strongly related to its geodynamic environment, one may integrate multiple proxies derived from a large body of global geological and geophysical data sets assembled during the past decades; these should help to better capture the variety of present-day settings. This idea is illustrated through two simple empirical methods: both of them are based on a set of examples, where heat flow measurements are associated with relevant terrestrial observables such as surface heat production, upper-mantle velocity structure, tectono-thermal age, on a 1°× 1° grid. To a given target point owning a number of observables, the methods associate a heat flow distribution rather than a deterministic value to account for intrinsic variability and uncertainty within a defined geodynamic environment. The 'best combination method' seeks the particular combination of observables that minimizes the dispersion of the heat flow distribution generated from the set of examples. The 'similarity method' attributes a weight to each example depending on its degree of similarity with the target point. The methods are transparent and are able to handle sets of observables that are not available over the whole Earth (e.g. heat production). The resulting trends of the mean heat flow deduced from the two methods do not differ strongly, but the similarity method shows a better accuracy in cross-validation tests. These tests suggest that the selected proxies have the potential to recover at least partly medium- to large-scale features of surface heat flow. The methods depict the main global trends of low heat flow in stable and ancient regions, and thermal high in active orogens and rift zones. Broad thermal anomalies are outlined in the Sahara and in the tectonically active eastern part of Antarctica. The similarity method estimates a continental heat loss of 13.6 ± 0.8 TW (2σ uncertainty), which is consistent with previous estimates. © 2011 The Authors Geophysical Journal International © 2011 RAS.","author":[{"dropping-particle":"","family":"Goutorbe","given":"B.","non-dropping-particle":"","parse-names":false,"suffix":""},{"dropping-particle":"","family":"Poort","given":"J.","non-dropping-particle":"","parse-names":false,"suffix":""},{"dropping-particle":"","family":"Lucazeau","given":"F.","non-dropping-particle":"","parse-names":false,"suffix":""},{"dropping-particle":"","family":"Raillard","given":"S.","non-dropping-particle":"","parse-names":false,"suffix":""}],"container-title":"Geophysical Journal International","id":"ITEM-1","issue":"3","issued":{"date-parts":[["2011"]]},"page":"1405-1419","title":"Global heat flow trends resolved from multiple geological and geophysical proxies","type":"article-journal","volume":"187"},"uris":["http://www.mendeley.com/documents/?uuid=b6f4d003-ad44-46b3-97b0-ffdbbcd439f2"]}],"mendeley":{"formattedCitation":"(Goutorbe et al. 2011)","plainTextFormattedCitation":"(Goutorbe et al. 2011)","previouslyFormattedCitation":"&lt;sup&gt;3&lt;/sup&gt;"},"properties":{"noteIndex":0},"schema":"https://github.com/citation-style-language/schema/raw/master/csl-citation.json"}</w:instrText>
      </w:r>
      <w:r w:rsidRPr="006B3A08">
        <w:rPr>
          <w:rStyle w:val="imageChar"/>
          <w:rFonts w:cs="Times New Roman"/>
        </w:rPr>
        <w:fldChar w:fldCharType="separate"/>
      </w:r>
      <w:r w:rsidR="00700726" w:rsidRPr="00700726">
        <w:rPr>
          <w:rStyle w:val="imageChar"/>
          <w:rFonts w:cs="Times New Roman"/>
        </w:rPr>
        <w:t>(Goutorbe et al. 2011)</w:t>
      </w:r>
      <w:r w:rsidRPr="006B3A08">
        <w:rPr>
          <w:rStyle w:val="imageChar"/>
          <w:rFonts w:cs="Times New Roman"/>
        </w:rPr>
        <w:fldChar w:fldCharType="end"/>
      </w:r>
      <w:r w:rsidRPr="006B3A08">
        <w:rPr>
          <w:rStyle w:val="imageChar"/>
          <w:rFonts w:cs="Times New Roman"/>
        </w:rPr>
        <w:t xml:space="preserve">. </w:t>
      </w:r>
      <w:r w:rsidRPr="006B3A08">
        <w:rPr>
          <w:rFonts w:cs="Times New Roman"/>
        </w:rPr>
        <w:t>Grey contours mark the lithosphere asthenosphere boundary (LAB) depth</w:t>
      </w:r>
      <w:r w:rsidRPr="006B3A08">
        <w:rPr>
          <w:rFonts w:cs="Times New Roman"/>
        </w:rPr>
        <w:fldChar w:fldCharType="begin" w:fldLock="1"/>
      </w:r>
      <w:r w:rsidR="00700726">
        <w:rPr>
          <w:rFonts w:cs="Times New Roman"/>
        </w:rPr>
        <w:instrText>ADDIN CSL_CITATION {"citationItems":[{"id":"ITEM-1","itemData":{"DOI":"https://doi.org/10.1002/9781119249740.ch6","abstract":"The lithosphere–asthenosphere boundary corresponds to the base of the rigid plates, the depth where heat transport changes from advection in the deeper upper mantle to conduction in the shallow upper mantle. This fundamental, active boundary of the Earth is difficult to map because the deformation is aseismic and the boundary does not correspond to a sharp change in temperature or composition. We present a global lithospheric model derived from surface-wave tomography. Rather than define the base of the lithosphere directly from our three-dimensional wave-speed model, we derive a VS (T) relationship by relating VS primarily to the temperature structure of the oceanic plates and upper mantle nodules. Using this relationship, we produce an upper mantle temperature model; we then use the shape of the geotherm to identify the base of the lithosphere as the transition from the conducting to advecting geotherm. The resulting lithospheric model shows the development of the oceanic plates with increasing age and thick lithosphere beneath most of the cratons. Thin lithosphere exists beneath tectonically active regions of the continents, but thick lithosphere occurs beneath Tibet and the active mountain ranges of central Asia that are now undergoing shortening. We discuss new, significant findings inferred from our lithospheric model.","author":[{"dropping-particle":"","family":"Priestley","given":"Keith.","non-dropping-particle":"","parse-names":false,"suffix":""},{"dropping-particle":"","family":"McKenzie","given":"Dan.","non-dropping-particle":"","parse-names":false,"suffix":""},{"dropping-particle":"","family":"Ho","given":"Tak.","non-dropping-particle":"","parse-names":false,"suffix":""}],"container-title":"Lithospheric discontinuities","id":"ITEM-1","issued":{"date-parts":[["2018"]]},"page":"111-123","title":"A lithosphere–asthenosphere boundary—A global model derived from multimode surface‐wave tomography and petrology","type":"article-journal"},"uris":["http://www.mendeley.com/documents/?uuid=50c91062-5b71-4a0f-af28-96726edf7c62"]}],"mendeley":{"formattedCitation":"(Priestley, McKenzie, and Ho 2018)","plainTextFormattedCitation":"(Priestley, McKenzie, and Ho 2018)","previouslyFormattedCitation":"&lt;sup&gt;4&lt;/sup&gt;"},"properties":{"noteIndex":0},"schema":"https://github.com/citation-style-language/schema/raw/master/csl-citation.json"}</w:instrText>
      </w:r>
      <w:r w:rsidRPr="006B3A08">
        <w:rPr>
          <w:rFonts w:cs="Times New Roman"/>
        </w:rPr>
        <w:fldChar w:fldCharType="separate"/>
      </w:r>
      <w:r w:rsidR="00700726" w:rsidRPr="00700726">
        <w:rPr>
          <w:rFonts w:cs="Times New Roman"/>
        </w:rPr>
        <w:t>(Priestley, McKenzie, and Ho 2018)</w:t>
      </w:r>
      <w:r w:rsidRPr="006B3A08">
        <w:rPr>
          <w:rFonts w:cs="Times New Roman"/>
        </w:rPr>
        <w:fldChar w:fldCharType="end"/>
      </w:r>
      <w:r w:rsidRPr="006B3A08">
        <w:rPr>
          <w:rFonts w:cs="Times New Roman"/>
        </w:rPr>
        <w:t>. All major orogens (Tibet, Zagros) have a thick</w:t>
      </w:r>
      <w:r w:rsidR="00E9704F">
        <w:rPr>
          <w:rFonts w:cs="Times New Roman"/>
        </w:rPr>
        <w:t>er</w:t>
      </w:r>
      <w:r w:rsidRPr="006B3A08">
        <w:rPr>
          <w:rFonts w:cs="Times New Roman"/>
        </w:rPr>
        <w:t xml:space="preserve"> lithosphere as that found beneath stable intracontinental regions. b) and c) Thickness of the crust and upper-crust in the AHCZ, respectively. Note the decreasing trend, from the </w:t>
      </w:r>
      <w:r w:rsidR="00E9704F">
        <w:rPr>
          <w:rFonts w:cs="Times New Roman"/>
        </w:rPr>
        <w:t>east</w:t>
      </w:r>
      <w:r w:rsidR="00E9704F" w:rsidRPr="006B3A08">
        <w:rPr>
          <w:rFonts w:cs="Times New Roman"/>
        </w:rPr>
        <w:t xml:space="preserve"> </w:t>
      </w:r>
      <w:r w:rsidRPr="006B3A08">
        <w:rPr>
          <w:rFonts w:cs="Times New Roman"/>
        </w:rPr>
        <w:t xml:space="preserve">to the </w:t>
      </w:r>
      <w:r w:rsidR="00E9704F">
        <w:rPr>
          <w:rFonts w:cs="Times New Roman"/>
        </w:rPr>
        <w:t>we</w:t>
      </w:r>
      <w:r w:rsidR="00E9704F" w:rsidRPr="006B3A08">
        <w:rPr>
          <w:rFonts w:cs="Times New Roman"/>
        </w:rPr>
        <w:t>st</w:t>
      </w:r>
      <w:r w:rsidRPr="006B3A08">
        <w:rPr>
          <w:rFonts w:cs="Times New Roman"/>
        </w:rPr>
        <w:t>, of crustal thickness in (b) beneath orogens. The upper-crust is thicker beneath the orogens compared to the stable continental interior regions. d) Major oxides ratio of continental crustal layers and mid-oceanic-ridge-basalt (MORB)</w:t>
      </w:r>
      <w:r w:rsidRPr="006B3A08">
        <w:rPr>
          <w:rFonts w:cs="Times New Roman"/>
        </w:rPr>
        <w:fldChar w:fldCharType="begin" w:fldLock="1"/>
      </w:r>
      <w:r w:rsidR="00700726">
        <w:rPr>
          <w:rFonts w:cs="Times New Roman"/>
        </w:rPr>
        <w:instrText>ADDIN CSL_CITATION {"citationItems":[{"id":"ITEM-1","itemData":{"DOI":"10.1016/B0-08-043751-6/03016-4","ISBN":"9780080548074","author":[{"dropping-particle":"","family":"Rudnick","given":"R. L.","non-dropping-particle":"","parse-names":false,"suffix":""},{"dropping-particle":"","family":"Gao","given":"S.","non-dropping-particle":"","parse-names":false,"suffix":""}],"container-title":"Treatise on Geochemistry","id":"ITEM-1","issued":{"date-parts":[["2003"]]},"page":"1-64","title":"Composition of the Continental Crust","type":"article-journal","volume":"3-9"},"uris":["http://www.mendeley.com/documents/?uuid=a99866e4-fb54-4fd4-aa39-4ceeda4af37a"]}],"mendeley":{"formattedCitation":"(Rudnick and Gao 2003)","plainTextFormattedCitation":"(Rudnick and Gao 2003)","previouslyFormattedCitation":"&lt;sup&gt;5&lt;/sup&gt;"},"properties":{"noteIndex":0},"schema":"https://github.com/citation-style-language/schema/raw/master/csl-citation.json"}</w:instrText>
      </w:r>
      <w:r w:rsidRPr="006B3A08">
        <w:rPr>
          <w:rFonts w:cs="Times New Roman"/>
        </w:rPr>
        <w:fldChar w:fldCharType="separate"/>
      </w:r>
      <w:r w:rsidR="00700726" w:rsidRPr="00700726">
        <w:rPr>
          <w:rFonts w:cs="Times New Roman"/>
        </w:rPr>
        <w:t>(Rudnick and Gao 2003)</w:t>
      </w:r>
      <w:r w:rsidRPr="006B3A08">
        <w:rPr>
          <w:rFonts w:cs="Times New Roman"/>
        </w:rPr>
        <w:fldChar w:fldCharType="end"/>
      </w:r>
      <w:r w:rsidRPr="006B3A08">
        <w:rPr>
          <w:rFonts w:cs="Times New Roman"/>
        </w:rPr>
        <w:t xml:space="preserve"> </w:t>
      </w:r>
      <w:r w:rsidR="00CC1647">
        <w:rPr>
          <w:rFonts w:cs="Times New Roman"/>
        </w:rPr>
        <w:t xml:space="preserve">normalized </w:t>
      </w:r>
      <w:r w:rsidRPr="006B3A08">
        <w:rPr>
          <w:rFonts w:cs="Times New Roman"/>
        </w:rPr>
        <w:t>with upper-mantle composition (DMM</w:t>
      </w:r>
      <w:r w:rsidRPr="006B3A08">
        <w:rPr>
          <w:rFonts w:cs="Times New Roman"/>
        </w:rPr>
        <w:fldChar w:fldCharType="begin" w:fldLock="1"/>
      </w:r>
      <w:r w:rsidR="00700726">
        <w:rPr>
          <w:rFonts w:cs="Times New Roman"/>
        </w:rPr>
        <w:instrText>ADDIN CSL_CITATION {"citationItems":[{"id":"ITEM-1","itemData":{"DOI":"10.1016/j.epsl.2004.12.005","ISBN":"0012-821X","ISSN":"0012821X","abstract":"We derive an estimate for the chemical composition of the depleted MORB mantle (DMM), the source reservoir to mid-ocean ridge basalts (MORBs), which represents at least 30% the mass of the whole silicate Earth. A database for the chemical and physical properties of abyssal peridotites has become robust and complete enough to truly access a reference DMM. Using trace element depletion trends from the abyssal peridotites, it is possible to construct a large part of DMM's trace element pattern. Splicing this information with isotopic constraints (Sr-Nd-Pb-Hf) and canonical ratios (Ce/Pb, Nb/Ta, Nb/U, Ba/Rb, H2O/Ce, CO2/Nb and Cl/K), we can extend abundance estimates to all the incompatible elements including volatile content. The resulting trace element pattern for average DMM constrains parental MORB to be generated by 6% aggregated fractional melting, consistent with recent models for hydrous melting of the mantle [P.D. Asimow, J.E. Dixon, C.H. Langmuir, A hydrous melting and fractionation model for mid-ocean ridge basalts: application to the Mid-Atlantic Ridge near the Azores, Geochem. Geophys. Geosyst. 5 (2004) 10.1029/2003GC000568]. We show that DMM is roughly balanced by the continental crust and better balanced upon inclusion of ocean island basalt source and oceanic crust components. Compared to the primitive mantle, DMM has been depleted by 2-3% melt extraction and has only 15% the radiogenic heat production. © 2004 Elsevier B.V. All rights reserved.","author":[{"dropping-particle":"","family":"Workman","given":"Rhea K.","non-dropping-particle":"","parse-names":false,"suffix":""},{"dropping-particle":"","family":"Hart","given":"Stanley R.","non-dropping-particle":"","parse-names":false,"suffix":""}],"container-title":"Earth and Planetary Science Letters","id":"ITEM-1","issue":"1-2","issued":{"date-parts":[["2005"]]},"page":"53-72","title":"Major and trace element composition of the depleted MORB mantle (DMM)","type":"article-journal","volume":"231"},"uris":["http://www.mendeley.com/documents/?uuid=890587a2-0b08-4f2b-9a66-20c296b64365"]}],"mendeley":{"formattedCitation":"(Workman and Hart 2005)","plainTextFormattedCitation":"(Workman and Hart 2005)","previouslyFormattedCitation":"&lt;sup&gt;6&lt;/sup&gt;"},"properties":{"noteIndex":0},"schema":"https://github.com/citation-style-language/schema/raw/master/csl-citation.json"}</w:instrText>
      </w:r>
      <w:r w:rsidRPr="006B3A08">
        <w:rPr>
          <w:rFonts w:cs="Times New Roman"/>
        </w:rPr>
        <w:fldChar w:fldCharType="separate"/>
      </w:r>
      <w:r w:rsidR="00700726" w:rsidRPr="00700726">
        <w:rPr>
          <w:rFonts w:cs="Times New Roman"/>
        </w:rPr>
        <w:t>(Workman and Hart 2005)</w:t>
      </w:r>
      <w:r w:rsidRPr="006B3A08">
        <w:rPr>
          <w:rFonts w:cs="Times New Roman"/>
        </w:rPr>
        <w:fldChar w:fldCharType="end"/>
      </w:r>
      <w:r w:rsidRPr="006B3A08">
        <w:rPr>
          <w:rFonts w:cs="Times New Roman"/>
        </w:rPr>
        <w:t>). Note the enrichment of radioactive K</w:t>
      </w:r>
      <w:r w:rsidRPr="006B3A08">
        <w:rPr>
          <w:rFonts w:cs="Times New Roman"/>
          <w:vertAlign w:val="subscript"/>
        </w:rPr>
        <w:t>2</w:t>
      </w:r>
      <w:r w:rsidRPr="006B3A08">
        <w:rPr>
          <w:rFonts w:cs="Times New Roman"/>
        </w:rPr>
        <w:t xml:space="preserve">O in the crust with respect to the MORB. </w:t>
      </w:r>
      <w:r w:rsidR="00CC1647">
        <w:rPr>
          <w:rFonts w:cs="Times New Roman"/>
        </w:rPr>
        <w:t>e</w:t>
      </w:r>
      <w:r w:rsidR="00CC1647" w:rsidRPr="006B3A08">
        <w:rPr>
          <w:rFonts w:cs="Times New Roman"/>
        </w:rPr>
        <w:t xml:space="preserve">) Distribution of total crustal thickness, also shown in terms of deviations from its mean value. In the Mesozoic-Cenozoic regions, crustal thickness show both thickening, almost double (e.g., in Tibet (b), and thinning (orange curve). </w:t>
      </w:r>
      <w:r w:rsidR="00CC1647">
        <w:rPr>
          <w:rFonts w:cs="Times New Roman"/>
        </w:rPr>
        <w:t>f</w:t>
      </w:r>
      <w:r w:rsidRPr="006B3A08">
        <w:rPr>
          <w:rFonts w:cs="Times New Roman"/>
        </w:rPr>
        <w:t xml:space="preserve">) Distribution of upper-crust thickness as a function of its tectonothermal age, shown as deviation from its mean value in the AHCZ. In the Mesozoic-Cenozoic regions, the upper-crust is anomalously thick (orange curve). </w:t>
      </w:r>
    </w:p>
    <w:p w14:paraId="1B5E8B12" w14:textId="2464ED78" w:rsidR="0059611F" w:rsidRPr="006B3A08" w:rsidRDefault="0059611F" w:rsidP="00C96FAE">
      <w:pPr>
        <w:pStyle w:val="image"/>
        <w:rPr>
          <w:rFonts w:ascii="sans serif" w:hAnsi="sans serif"/>
        </w:rPr>
        <w:sectPr w:rsidR="0059611F" w:rsidRPr="006B3A08">
          <w:pgSz w:w="16838" w:h="11906" w:orient="landscape"/>
          <w:pgMar w:top="567" w:right="851" w:bottom="567" w:left="794" w:header="0" w:footer="0" w:gutter="0"/>
          <w:lnNumType w:countBy="1" w:restart="continuous"/>
          <w:cols w:space="720"/>
          <w:docGrid w:linePitch="326"/>
        </w:sectPr>
      </w:pPr>
      <w:r w:rsidRPr="006B3A08">
        <w:lastRenderedPageBreak/>
        <w:drawing>
          <wp:anchor distT="0" distB="0" distL="114300" distR="114300" simplePos="0" relativeHeight="251666432" behindDoc="0" locked="0" layoutInCell="1" allowOverlap="1" wp14:anchorId="5E8DB402" wp14:editId="7D3F931B">
            <wp:simplePos x="0" y="0"/>
            <wp:positionH relativeFrom="column">
              <wp:posOffset>431800</wp:posOffset>
            </wp:positionH>
            <wp:positionV relativeFrom="paragraph">
              <wp:posOffset>0</wp:posOffset>
            </wp:positionV>
            <wp:extent cx="8989695" cy="4812665"/>
            <wp:effectExtent l="0" t="0" r="1905" b="6985"/>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989695" cy="4812665"/>
                    </a:xfrm>
                    <a:prstGeom prst="rect">
                      <a:avLst/>
                    </a:prstGeom>
                    <a:ln>
                      <a:noFill/>
                    </a:ln>
                  </pic:spPr>
                </pic:pic>
              </a:graphicData>
            </a:graphic>
            <wp14:sizeRelH relativeFrom="margin">
              <wp14:pctWidth>0</wp14:pctWidth>
            </wp14:sizeRelH>
          </wp:anchor>
        </w:drawing>
      </w:r>
      <w:r w:rsidRPr="006B3A08">
        <w:rPr>
          <w:b/>
        </w:rPr>
        <w:t xml:space="preserve"> Fig. </w:t>
      </w:r>
      <w:r w:rsidR="00C96FAE">
        <w:rPr>
          <w:b/>
        </w:rPr>
        <w:t>S</w:t>
      </w:r>
      <w:r w:rsidRPr="006B3A08">
        <w:rPr>
          <w:b/>
        </w:rPr>
        <w:t>2 |</w:t>
      </w:r>
      <w:r w:rsidRPr="006B3A08">
        <w:t xml:space="preserve"> </w:t>
      </w:r>
      <w:r w:rsidRPr="006B3A08">
        <w:rPr>
          <w:b/>
        </w:rPr>
        <w:t>Effect of heat producing elements (HPE) on the long-term strength and mechanical thickness of the AHCZ</w:t>
      </w:r>
      <w:r w:rsidRPr="006B3A08">
        <w:t>. a) Integrated strength of the crust (integrated up to the Moho depth), b) integrated strength of the lithosphere (integrated up to the base of the model), c) Mechanical thickness of the lithosphere, for the model in the main text (Fig.1). Mechanical thickness is defined as the depth up to which strength is above 10 MPa</w:t>
      </w:r>
      <w:r w:rsidRPr="006B3A08">
        <w:fldChar w:fldCharType="begin" w:fldLock="1"/>
      </w:r>
      <w:r w:rsidR="00700726">
        <w:instrText>ADDIN CSL_CITATION {"citationItems":[{"id":"ITEM-1","itemData":{"DOI":"10.1016/0040-1951(94)90266-6","ISSN":"00401951","abstract":"The elastic flexural thickness of the lithosphere depends on plate curvature. As curvature increases, the elastic core of the plate is thinned from above (frictional yielding) and from below (plastic creep). Sometimes decoupling between crust and mantle elastic cores can also occur. The mechanical thickness of the lithosphere, on the other hand, is the thickness of the rheologically layered plate having a strength above a critical threshold. In order to estimate the mechanical thickness from a simple uniform-rheology plate model, we adopt a plastic work-hardening constitutive equation, which results in lower stresses in the regions of high strain, relative to the elastic model. It is, therefore, a better approximation to the actual rheology of the flexed lithosphere where there is no lower-crustal decoupling (e.g., in oceanic and in cold continental lithosphere). The equivalent mechanical thickness of the nonlinear plate can be directly obtained, if the curvature is known, from the estimated elastic flexural rigidity or thickness. Comparison with numerical integration of bending moment in rheologically layered lithosphere shows that equivalent mechanical thickness is a good estimation of mechanical thickness. Examination of both oceanic and continental data suggests that mechanical thickness is controlled by the 900 ± 100°C isotherm. This corresponds to a creep strength of the order of 10 MPa in upper mantle material. © 1994.","author":[{"dropping-particle":"","family":"Ranalli","given":"G.","non-dropping-particle":"","parse-names":false,"suffix":""}],"container-title":"Tectonophysics","id":"ITEM-1","issue":"1-4","issued":{"date-parts":[["1994","12"]]},"page":"107-114","title":"Nonlinear flexure and equivalent mechanical thickness of the lithosphere","type":"article-journal","volume":"240"},"uris":["http://www.mendeley.com/documents/?uuid=d3b122af-a902-4ddc-b577-10fe91968a9f"]}],"mendeley":{"formattedCitation":"(Ranalli 1994)","plainTextFormattedCitation":"(Ranalli 1994)","previouslyFormattedCitation":"&lt;sup&gt;7&lt;/sup&gt;"},"properties":{"noteIndex":0},"schema":"https://github.com/citation-style-language/schema/raw/master/csl-citation.json"}</w:instrText>
      </w:r>
      <w:r w:rsidRPr="006B3A08">
        <w:fldChar w:fldCharType="separate"/>
      </w:r>
      <w:r w:rsidR="00700726" w:rsidRPr="00700726">
        <w:t>(Ranalli 1994)</w:t>
      </w:r>
      <w:r w:rsidRPr="006B3A08">
        <w:fldChar w:fldCharType="end"/>
      </w:r>
      <w:r w:rsidRPr="006B3A08">
        <w:t xml:space="preserve">. Similarly, </w:t>
      </w:r>
      <w:r>
        <w:t xml:space="preserve">in </w:t>
      </w:r>
      <w:r w:rsidRPr="006B3A08">
        <w:t xml:space="preserve">d-f) where all parameters are the same as in a-c), except the effect of HPE is neglected by setting radiogenic heat production to zero in the model. g) Temperature boundary condition at the base of the model (200 km) </w:t>
      </w:r>
      <w:r>
        <w:t xml:space="preserve">used </w:t>
      </w:r>
      <w:r w:rsidRPr="006B3A08">
        <w:t>in a-f), derived from the conversion of the shear-wave velocities from DBRB tomography model</w:t>
      </w:r>
      <w:r w:rsidRPr="006B3A08">
        <w:fldChar w:fldCharType="begin" w:fldLock="1"/>
      </w:r>
      <w:r w:rsidR="00700726">
        <w:instrText>ADDIN CSL_CITATION {"citationItems":[{"id":"ITEM-1","itemData":{"DOI":"10.1038/s41586-020-2809-4","ISSN":"14764687","PMID":"33087914","abstract":"The seismic low-velocity zone (LVZ) of the upper mantle is generally associated with a low-viscosity asthenosphere that has a key role in decoupling tectonic plates from the mantle1. However, the origin of the LVZ remains unclear. Some studies attribute its low seismic velocities to a small amount of partial melt of minerals in the mantle2,3, whereas others attribute them to solid-state mechanisms near the solidus4–6 or the effect of its volatile contents6. Observations of shear attenuation provide additional constraints on the origin of the LVZ7. On the basis of the interpretation of global three-dimensional shear attenuation and velocity models, here we report partial melt occurring within the LVZ. We observe that partial melting down to 150–200 kilometres beneath mid-ocean ridges, major hotspots and back-arc regions feeds the asthenosphere. A small part of this melt (less than 0.30 per cent) remains trapped within the oceanic LVZ. Melt is mostly absent under continental regions. The amount of melt increases with plate velocity, increasing substantially for plate velocities of between 3 centimetres per year and 5 centimetres per year. This finding is consistent with previous observations of mantle crystal alignment underneath tectonic plates8. Our observations suggest that by reducing viscosity9 melt facilitates plate motion and large-scale crystal alignment in the asthenosphere.","author":[{"dropping-particle":"","family":"Debayle","given":"Eric","non-dropping-particle":"","parse-names":false,"suffix":""},{"dropping-particle":"","family":"Bodin","given":"Thomas","non-dropping-particle":"","parse-names":false,"suffix":""},{"dropping-particle":"","family":"Durand","given":"Stéphanie","non-dropping-particle":"","parse-names":false,"suffix":""},{"dropping-particle":"","family":"Ricard","given":"Yanick","non-dropping-particle":"","parse-names":false,"suffix":""}],"container-title":"Nature","id":"ITEM-1","issue":"7830","issued":{"date-parts":[["2020"]]},"page":"555-559","publisher":"Springer US","title":"Seismic evidence for partial melt below tectonic plates","type":"article-journal","volume":"586"},"uris":["http://www.mendeley.com/documents/?uuid=f587a39c-be2f-499a-b294-8c750991b155"]}],"mendeley":{"formattedCitation":"(Debayle et al. 2020)","plainTextFormattedCitation":"(Debayle et al. 2020)","previouslyFormattedCitation":"&lt;sup&gt;8&lt;/sup&gt;"},"properties":{"noteIndex":0},"schema":"https://github.com/citation-style-language/schema/raw/master/csl-citation.json"}</w:instrText>
      </w:r>
      <w:r w:rsidRPr="006B3A08">
        <w:fldChar w:fldCharType="separate"/>
      </w:r>
      <w:r w:rsidR="00700726" w:rsidRPr="00700726">
        <w:t>(Debayle et al. 2020)</w:t>
      </w:r>
      <w:r w:rsidRPr="006B3A08">
        <w:fldChar w:fldCharType="end"/>
      </w:r>
      <w:r w:rsidRPr="006B3A08">
        <w:t xml:space="preserve"> to temperature (see Methods). Neglecting the RHP increases the strength of the crust (d), and lithosphere (e) in the orogens, and reflects the temperatures at the base of the model (g), such that hotter domains (e.g., Red Sea Rift, Western Europe) are relatively weaker and show thinner mechanical thickness than colder domains (e.g., orogens, stable continental interiors) that have </w:t>
      </w:r>
      <w:r>
        <w:t xml:space="preserve">a </w:t>
      </w:r>
      <w:r w:rsidRPr="006B3A08">
        <w:t xml:space="preserve">higher mechanical thickness (f). h) and </w:t>
      </w:r>
      <w:r w:rsidR="009B33AE">
        <w:t>i</w:t>
      </w:r>
      <w:r w:rsidRPr="006B3A08">
        <w:t xml:space="preserve">) shows temperatures at 200 km </w:t>
      </w:r>
      <w:r>
        <w:t xml:space="preserve">depth </w:t>
      </w:r>
      <w:r w:rsidRPr="006B3A08">
        <w:t>derived from the SL2013</w:t>
      </w:r>
      <w:r w:rsidRPr="006B3A08">
        <w:fldChar w:fldCharType="begin" w:fldLock="1"/>
      </w:r>
      <w:r w:rsidR="00700726">
        <w:instrText>ADDIN CSL_CITATION {"citationItems":[{"id":"ITEM-1","itemData":{"DOI":"10.1093/gji/ggt095","ISSN":"0956540X","abstract":"The rapid expansion of broad-band seismic networks over the last decade has paved the way for a new generation of global tomographic models. Significantly improved resolution of global upper-mantle and crustal structure can now be achieved, provided that structural information is extracted effectively from both surface and body waves and that the effects of errors in the data are controlled and minimized. Here, we present a new global, vertically polarized shear speed model that yields considerable improvements in resolution, compared to previous ones, for a variety of features in the upper mantle and crust. The model, SL2013sv, is constrained by an unprecedentedly large set of waveform fits (~3/4 of a million broad-band seismograms), computed in seismogram-dependent frequency bands, up to a maximum period range of 11- 450 s. Automated multimode inversion of surface and S-wave forms was used to extract a set of linear equations with uncorrelated uncertainties from each seismogram. The equations described perturbations in elastic structure within approximate sensitivity volumes between sources and receivers. Going beyond ray theory, we calculated the phase of every mode at every frequency and its derivative with respect to S-and P-velocity perturbations by integration over a sensitivity area in a 3-D reference model; the (normally small) perturbations of the 3-D model required to fit the waveforms were then linearized using these accurate derivatives. The equations yielded by the waveform inversion of all the seismograms were simultaneously inverted for a 3-D model of shear and compressional speeds and azimuthal anisotropy within the crust and upper mantle. Elaborate outlier analysis was used to control the propagation of errors in the data (source parameters, timing at the stations, etc.). The selection of only the most mutually consistent equations exploited the data redundancy provided by our data set and strongly reduced the effect of the errors, increasing the resolution of the imaging. Our new shear speed model is parametrized on a triangular grid with a ~280 km spacing. In well-sampled continental domains, lateral resolution approaches or exceeds that of regionalscale studies. The close match of known surface expressions of deep structure with the distribution of anomalies in the model provides a useful benchmark. In oceanic regions, spreading ridges are very well resolved, with narrow anomalies in the shallow mantle closely confined near the ridg…","author":[{"dropping-particle":"","family":"Schaeffer","given":"A. J.","non-dropping-particle":"","parse-names":false,"suffix":""},{"dropping-particle":"","family":"Lebedev","given":"S.","non-dropping-particle":"","parse-names":false,"suffix":""}],"container-title":"Geophysical Journal International","id":"ITEM-1","issue":"1","issued":{"date-parts":[["2013"]]},"page":"417-449","title":"Global shear speed structure of the upper mantle and transition zone","type":"article-journal","volume":"194"},"uris":["http://www.mendeley.com/documents/?uuid=dc9b39f0-656a-4962-8dae-4ce11ef8ca6b"]}],"mendeley":{"formattedCitation":"(Schaeffer and Lebedev 2013)","plainTextFormattedCitation":"(Schaeffer and Lebedev 2013)","previouslyFormattedCitation":"&lt;sup&gt;9&lt;/sup&gt;"},"properties":{"noteIndex":0},"schema":"https://github.com/citation-style-language/schema/raw/master/csl-citation.json"}</w:instrText>
      </w:r>
      <w:r w:rsidRPr="006B3A08">
        <w:fldChar w:fldCharType="separate"/>
      </w:r>
      <w:r w:rsidR="00700726" w:rsidRPr="00700726">
        <w:t>(Schaeffer and Lebedev 2013)</w:t>
      </w:r>
      <w:r w:rsidRPr="006B3A08">
        <w:fldChar w:fldCharType="end"/>
      </w:r>
      <w:r w:rsidRPr="006B3A08">
        <w:t xml:space="preserve"> and CSEM</w:t>
      </w:r>
      <w:r w:rsidRPr="006B3A08">
        <w:fldChar w:fldCharType="begin" w:fldLock="1"/>
      </w:r>
      <w:r w:rsidR="00700726">
        <w:instrText>ADDIN CSL_CITATION {"citationItems":[{"id":"ITEM-1","itemData":{"DOI":"10.1093/gji/ggt118","ISSN":"0956540X","abstract":"We develop and apply a full waveform inversion method that incorporates seismic data on a wide range of spatio-temporal scales, thereby constraining the details of both crustal and uppermantle structure. This is intended to further our understanding of crust-mantle interactions that shape the nature of plate tectonics, and to be a step towards improved tomographic models of strongly scale-dependent earth properties, such as attenuation and anisotropy. The inversion for detailed regional earth structure consistently embedded within a largescale model requires locally refined numerical meshes that allow us to (1) model regional wave propagation at high frequencies, and (2) capture the inferred fine-scale heterogeneities. The smallest local grid spacing sets the upper bound of the largest possible time step used to iteratively advance the seismic wave field. This limitation leads to extreme computational costs in the presence of fine-scale structure, and it inhibits the construction of full waveform tomographic models that describe earth structure on multiple scales. To reduce computational requirements to a feasible level, we design amultigrid approach based on the decomposition of amultiscale earth model with widely varying grid spacings into a family of single-scalemodels where the grid spacing is approximately uniform. Each of the single-scale models contains a tractable number of grid points, which ensures computational efficiency. The multi-to-singlescale decomposition is the foundation of iterative, gradient-based optimization schemes that simultaneously and consistently invert data on all scales for one multi-scale model. We demonstrate the applicability of our method in a full waveform inversion for Eurasia, with a special focus on Anatolia where coverage is particularly dense. Continental-scale structure is constrained by complete seismic waveforms in the 30-200 s period range. In addition to the well-known structural elements of the Eurasian mantle, our model reveals a variety of subtle features, such as the Armorican Massif, the Rhine Graben and the Massif Central. Anatolia is covered by waveforms with 8-200 s period, meaning that the details of both crustal and mantle structure are resolved consistently. The final model contains numerous previously undiscovered structures, including the extension-related updoming of lower-crustal material beneath the Menderes Massif in western Anatolia. Furthermore, the final model for the Anatolian region con…","author":[{"dropping-particle":"","family":"Fichtner","given":"Andreas","non-dropping-particle":"","parse-names":false,"suffix":""},{"dropping-particle":"","family":"Trampert","given":"Jeannot","non-dropping-particle":"","parse-names":false,"suffix":""},{"dropping-particle":"","family":"Cupillard","given":"Paul","non-dropping-particle":"","parse-names":false,"suffix":""},{"dropping-particle":"","family":"Saygin","given":"Erdinc","non-dropping-particle":"","parse-names":false,"suffix":""},{"dropping-particle":"","family":"Taymaz","given":"Tuncay","non-dropping-particle":"","parse-names":false,"suffix":""},{"dropping-particle":"","family":"Capdeville","given":"Yann","non-dropping-particle":"","parse-names":false,"suffix":""},{"dropping-particle":"","family":"Villaseñor","given":"Antonio","non-dropping-particle":"","parse-names":false,"suffix":""}],"container-title":"Geophysical Journal International","id":"ITEM-1","issue":"1","issued":{"date-parts":[["2013"]]},"page":"534-556","title":"Multiscale full waveform inversion","type":"article-journal","volume":"194"},"uris":["http://www.mendeley.com/documents/?uuid=0fcef079-0fb5-48b8-ab00-2d1b8c5ba21a"]}],"mendeley":{"formattedCitation":"(Fichtner et al. 2013)","plainTextFormattedCitation":"(Fichtner et al. 2013)","previouslyFormattedCitation":"&lt;sup&gt;10&lt;/sup&gt;"},"properties":{"noteIndex":0},"schema":"https://github.com/citation-style-language/schema/raw/master/csl-citation.json"}</w:instrText>
      </w:r>
      <w:r w:rsidRPr="006B3A08">
        <w:fldChar w:fldCharType="separate"/>
      </w:r>
      <w:r w:rsidR="00700726" w:rsidRPr="00700726">
        <w:t>(Fichtner et al. 2013)</w:t>
      </w:r>
      <w:r w:rsidRPr="006B3A08">
        <w:fldChar w:fldCharType="end"/>
      </w:r>
      <w:r w:rsidRPr="006B3A08">
        <w:t xml:space="preserve"> tomography models</w:t>
      </w:r>
      <w:r w:rsidR="009B33AE">
        <w:t xml:space="preserve">, respectively </w:t>
      </w:r>
      <w:r w:rsidRPr="006B3A08">
        <w:t xml:space="preserve">(see Fig. </w:t>
      </w:r>
      <w:r w:rsidR="009B33AE">
        <w:t>S</w:t>
      </w:r>
      <w:r w:rsidRPr="006B3A08">
        <w:t xml:space="preserve">4). </w:t>
      </w:r>
    </w:p>
    <w:p w14:paraId="1509FE45" w14:textId="77777777" w:rsidR="0059611F" w:rsidRPr="006B3A08" w:rsidRDefault="0059611F" w:rsidP="0059611F">
      <w:pPr>
        <w:jc w:val="center"/>
      </w:pPr>
      <w:r w:rsidRPr="006B3A08">
        <w:lastRenderedPageBreak/>
        <w:drawing>
          <wp:inline distT="0" distB="0" distL="0" distR="0" wp14:anchorId="0AFB5F9C" wp14:editId="688F8D41">
            <wp:extent cx="6839999" cy="3908571"/>
            <wp:effectExtent l="0" t="0" r="0" b="0"/>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0"/>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39999" cy="3908571"/>
                    </a:xfrm>
                    <a:prstGeom prst="rect">
                      <a:avLst/>
                    </a:prstGeom>
                    <a:ln>
                      <a:noFill/>
                    </a:ln>
                  </pic:spPr>
                </pic:pic>
              </a:graphicData>
            </a:graphic>
          </wp:inline>
        </w:drawing>
      </w:r>
    </w:p>
    <w:p w14:paraId="3B6C508B" w14:textId="2DBC124A" w:rsidR="0059611F" w:rsidRPr="006B3A08" w:rsidRDefault="0059611F" w:rsidP="0059611F">
      <w:pPr>
        <w:pStyle w:val="image"/>
        <w:rPr>
          <w:rFonts w:cs="Times New Roman"/>
        </w:rPr>
      </w:pPr>
      <w:r w:rsidRPr="006B3A08">
        <w:rPr>
          <w:rFonts w:cs="Times New Roman"/>
          <w:b/>
        </w:rPr>
        <w:t xml:space="preserve">Fig. </w:t>
      </w:r>
      <w:r w:rsidR="00C96FAE">
        <w:rPr>
          <w:rFonts w:cs="Times New Roman"/>
          <w:b/>
        </w:rPr>
        <w:t>S</w:t>
      </w:r>
      <w:r w:rsidRPr="006B3A08">
        <w:rPr>
          <w:rFonts w:cs="Times New Roman"/>
          <w:b/>
        </w:rPr>
        <w:t xml:space="preserve">3 </w:t>
      </w:r>
      <w:r w:rsidRPr="006B3A08">
        <w:rPr>
          <w:b/>
        </w:rPr>
        <w:t>| Effect of composition and rheological parameters on the critical crustal thickness.</w:t>
      </w:r>
      <w:r w:rsidRPr="006B3A08">
        <w:t xml:space="preserve"> a) Crustal strength versus crustal thickness corresponding to the reference model (Fig. 1 and Table 1 in the main text). Additionally, tested compositions are listed in Table </w:t>
      </w:r>
      <w:r w:rsidR="009B33AE">
        <w:t>S</w:t>
      </w:r>
      <w:r w:rsidRPr="006B3A08">
        <w:t>1. In b) Dry quartzite</w:t>
      </w:r>
      <w:r w:rsidRPr="006B3A08">
        <w:fldChar w:fldCharType="begin" w:fldLock="1"/>
      </w:r>
      <w:r w:rsidR="00700726">
        <w:instrText>ADDIN CSL_CITATION {"citationItems":[{"id":"ITEM-1","itemData":{"DOI":"10.1016/0040-1951(87)90348-9","ISSN":"00401951","abstract":"The rheology of the lithosphere is estimated on the basis of pore-pressure dependent frictional failure in the brittle regime, and power-law steady-state creep in the ductile regime. Different petrological models of the continental and oceanic lithosphere, combined with different geotherms and thicknesses, are used to generate models covering a variety of geodynamic situations. Results show that the depth-dependence of lithospheric rheology varies with the tectonic province, and that in many instances the continental lithosphere has one (at the bottom of the crust) or two (the previous one plus another at mid-crustal levels) soft ductile layers sandwiched between brittle layers. The depth distribution of geophysical parameters (seismicity, seismic wave velocity, and electrical conductivity) matches the theological predictions well. The lithospheric rheological profiles are used to analyze observed variations in the structural style of deformed continental margin and oceanic terranes in the southeastern Canadian Cordillera. The large-scale characteristics of the system show a satisfactory agreement with the inferred rheological structure. Sub-horizontal decollements should be the rule rather than the exception where the lithospheric rheology is strongly stratified. © 1987.","author":[{"dropping-particle":"","family":"Ranalli","given":"Giorgio","non-dropping-particle":"","parse-names":false,"suffix":""},{"dropping-particle":"","family":"Murphy","given":"Donald C.","non-dropping-particle":"","parse-names":false,"suffix":""}],"container-title":"Tectonophysics","id":"ITEM-1","issue":"4","issued":{"date-parts":[["1987"]]},"page":"281-295","title":"Rheological stratification of the lithosphere","type":"article-journal","volume":"132"},"uris":["http://www.mendeley.com/documents/?uuid=f61293d9-89a0-4419-b3ba-034d6328cdb5"]}],"mendeley":{"formattedCitation":"(Ranalli and Murphy 1987)","plainTextFormattedCitation":"(Ranalli and Murphy 1987)","previouslyFormattedCitation":"&lt;sup&gt;1&lt;/sup&gt;"},"properties":{"noteIndex":0},"schema":"https://github.com/citation-style-language/schema/raw/master/csl-citation.json"}</w:instrText>
      </w:r>
      <w:r w:rsidRPr="006B3A08">
        <w:fldChar w:fldCharType="separate"/>
      </w:r>
      <w:r w:rsidR="00700726" w:rsidRPr="00700726">
        <w:t>(Ranalli and Murphy 1987)</w:t>
      </w:r>
      <w:r w:rsidRPr="006B3A08">
        <w:fldChar w:fldCharType="end"/>
      </w:r>
      <w:r w:rsidRPr="006B3A08">
        <w:t xml:space="preserve"> composition in the sediments, upper-crust and middle-crust, mafic-granulite</w:t>
      </w:r>
      <w:r w:rsidRPr="006B3A08">
        <w:fldChar w:fldCharType="begin" w:fldLock="1"/>
      </w:r>
      <w:r w:rsidR="00700726">
        <w:instrText>ADDIN CSL_CITATION {"citationItems":[{"id":"ITEM-1","itemData":{"DOI":"10.1016/0040-1951(90)90342-6","ISSN":"00401951","abstract":"To gain insight into the rheology of selected feldspar-bearing rocks from the continental lower crust (CLC), three granulites from exposed lower crustal terrains and a microgabbro have been deformed to ca. ~10% strain at confining pressures of 0.8-1.0 GPa, temperatures of 600-900°C, and constant strain-rates of 10-4-10-7 s-1. The most extensive work was done on the mafic Pikwitonei and felsic Adirondack granulites. The Pikwitonei (Mg-hornblende-plag (An70-2 px) has only a limited T,ε{lunate} range of apparent steady-state behavior, and strain-softens at T ≥ 800°C at ε{lunate} = 10-5-10-6 s-1, apparently associated with developing shear zones. This strain-softening is pressure-insensitive from Pc = 0.8-1.0 GPa at T = 850°C, ε{lunate} = 10-6 s-1 even though the dominant strain accommodation mechanisms change from semibrittle/cataclastic to crystal plastic (including dynamic recrystallization) with increasing pressure. Plagioclase appears to bear more of the creep strain than amphibole at most experimental conditions except in those runs where both plagioclase and amphibole recrystallization occurs. Kapuskasing (plag-cpx-gt) granulite, deformed at 800°C and at 850°C, 10-6 s-1 has deformed in the steady-state at stress levels only slightly greater than the Pikwitonei. The Stillwater microgabbro and Adirondack granulite are appreciably weaker and the latter exhibits homogeneous semibrittle steady-state behavior over the entire range of conditions investigated. For the Adirondack (2 felds-2 px-gt-qtz) granulite, quartz (21%) appears to control the creep rate at these low strains, and steady-state mechanical data fit well a creep power law with A = 8 × 10-3 MPa-n s-1, Qc = 243 kJ/mol and n = 3.1. Extrapolation of this flow law and of preliminary power law creep relations for the Pikwitonei and microgabbro to a range of physical conditions assumed to encompass those at the continental Moho supports geological and geophysical inferences that a mechanical discontinuity occurs at this transition zone, with the lower crust generally being the weaker material. In addition, the stain-softening exhibited by the Pikwitonei may bear directly on the development of detachment zones at mid- to lower-crustal depths during prograde metamorphism. © 1990.","author":[{"dropping-particle":"","family":"Wilks","given":"Kenneth R.","non-dropping-particle":"","parse-names":false,"suffix":""},{"dropping-particle":"","family":"Carter","given":"Neville L.","non-dropping-particle":"","parse-names":false,"suffix":""}],"container-title":"Tectonophysics","id":"ITEM-1","issue":"1-2","issued":{"date-parts":[["1990"]]},"page":"57-77","title":"Rheology of some continental lower crustal rocks","type":"article-journal","volume":"182"},"uris":["http://www.mendeley.com/documents/?uuid=5a1ac38c-c42e-4c1c-b557-6d6cb31c9eb8"]}],"mendeley":{"formattedCitation":"(Wilks and Carter 1990)","plainTextFormattedCitation":"(Wilks and Carter 1990)","previouslyFormattedCitation":"&lt;sup&gt;11&lt;/sup&gt;"},"properties":{"noteIndex":0},"schema":"https://github.com/citation-style-language/schema/raw/master/csl-citation.json"}</w:instrText>
      </w:r>
      <w:r w:rsidRPr="006B3A08">
        <w:fldChar w:fldCharType="separate"/>
      </w:r>
      <w:r w:rsidR="00700726" w:rsidRPr="00700726">
        <w:t>(Wilks and Carter 1990)</w:t>
      </w:r>
      <w:r w:rsidRPr="006B3A08">
        <w:fldChar w:fldCharType="end"/>
      </w:r>
      <w:r w:rsidRPr="006B3A08">
        <w:t xml:space="preserve"> composition in lower-crust and dry peridotite</w:t>
      </w:r>
      <w:r w:rsidRPr="006B3A08">
        <w:fldChar w:fldCharType="begin" w:fldLock="1"/>
      </w:r>
      <w:r w:rsidR="00700726">
        <w:instrText xml:space="preserve">ADDIN CSL_CITATION {"citationItems":[{"id":"ITEM-1","itemData":{"DOI":"10.1016/0012-821x(96)00154-9","ISSN":"0012821X","abstract":"The influence of water on the dynamics of the oceanic upper mantle is re-evaluated based on recent experimental constraints on the solubility of water in mantle minerals and earlier experimental studies of olivine rheology. Experimental results indicate that the viscosity of olivine aggregates is reduced by a factor of </w:instrText>
      </w:r>
      <w:r w:rsidR="00700726">
        <w:rPr>
          <w:rFonts w:ascii="Cambria Math" w:hAnsi="Cambria Math" w:cs="Cambria Math"/>
        </w:rPr>
        <w:instrText>∼</w:instrText>
      </w:r>
      <w:r w:rsidR="00700726">
        <w:instrText xml:space="preserve"> 140 in the presence of water at a confining pressure of 300 MPa and that the influence of water on viscosity depends on the concentration of water in olivine. The water content of olivine in the MORB source is estimated to be 810 ± 490 H/106 Si, a value greater than the solubility of water in olivine at a confining pressure of 300 MPa (</w:instrText>
      </w:r>
      <w:r w:rsidR="00700726">
        <w:rPr>
          <w:rFonts w:ascii="Cambria Math" w:hAnsi="Cambria Math" w:cs="Cambria Math"/>
        </w:rPr>
        <w:instrText>∼</w:instrText>
      </w:r>
      <w:r w:rsidR="00700726">
        <w:instrText xml:space="preserve"> 250 H/106 Si). We therefore conclude that the viscosity of the mantle in the MORB source region is 500 ± 300 times less than that of dry olivine aggregates. The dependence of the solubility of water in olivine on pressure and water fugacity is used in conjunction with other petrological constraints to estimate the depth at which melting initiates beneath mid-ocean ridges. These calculations indicate that melting begins at a depth of </w:instrText>
      </w:r>
      <w:r w:rsidR="00700726">
        <w:rPr>
          <w:rFonts w:ascii="Cambria Math" w:hAnsi="Cambria Math" w:cs="Cambria Math"/>
        </w:rPr>
        <w:instrText>∼</w:instrText>
      </w:r>
      <w:r w:rsidR="00700726">
        <w:instrText xml:space="preserve"> 115 km, consistent with other geochemical observations. Owing to the relatively small amount of water present in the MORB source, only </w:instrText>
      </w:r>
      <w:r w:rsidR="00700726">
        <w:rPr>
          <w:rFonts w:ascii="Cambria Math" w:hAnsi="Cambria Math" w:cs="Cambria Math"/>
        </w:rPr>
        <w:instrText>∼</w:instrText>
      </w:r>
      <w:r w:rsidR="00700726">
        <w:instrText xml:space="preserve"> 1-2% melt is produced in the depth interval between the water-influenced solidus and the dry solidus. A discontinuity in mantle viscosity can develop at a depth of </w:instrText>
      </w:r>
      <w:r w:rsidR="00700726">
        <w:rPr>
          <w:rFonts w:ascii="Cambria Math" w:hAnsi="Cambria Math" w:cs="Cambria Math"/>
        </w:rPr>
        <w:instrText>∼</w:instrText>
      </w:r>
      <w:r w:rsidR="00700726">
        <w:instrText xml:space="preserve"> 60-70 km as a result of the extraction of water from olivine during the MORB melting process. In the mid-ocean ridge environment, the mantle viscosity at depths above this discontinuity may be large enough to produce lateral pressure gradients capable of focusing melt migration to the ridge axis. These observations indicate that the base of an oceanic plate is defined by a compositional rather than thermal boundary layer, or at least that the location of the thermal boundary layer is strongly influenced by a compositional boundary, and that the evolution of the oceanic upper mantle is strongly influenced by a viscosity structure that is controlled by the extraction of water from olivine at mid-ocean ridges.","author":[{"dropping-particle":"","family":"Hirth","given":"Greg","non-dropping-particle":"","parse-names":false,"suffix":""},{"dropping-particle":"","family":"Kohlstedt","given":"David L.","non-dropping-particle":"","parse-names":false,"suffix":""}],"container-title":"Earth and Planetary Science Letters","id":"ITEM-1","issue":"1-2","issued":{"date-parts":[["1996"]]},"page":"93-108","title":"Water in the oceanic upper mantle: Implications for rheology, melt extraction and the evolution of the lithosphere","type":"article-journal","volume":"144"},"uris":["http://www.mendeley.com/documents/?uuid=926d2143-48ed-4959-924f-a6ff3aefda44"]}],"mendeley":{"formattedCitation":"(Hirth and Kohlstedt 1996)","plainTextFormattedCitation":"(Hirth and Kohlstedt 1996)","previouslyFormattedCitation":"&lt;sup&gt;2&lt;/sup&gt;"},"properties":{"noteIndex":0},"schema":"https://github.com/citation-style-language/schema/raw/master/csl-citation.json"}</w:instrText>
      </w:r>
      <w:r w:rsidRPr="006B3A08">
        <w:fldChar w:fldCharType="separate"/>
      </w:r>
      <w:r w:rsidR="00700726" w:rsidRPr="00700726">
        <w:t>(Hirth and Kohlstedt 1996)</w:t>
      </w:r>
      <w:r w:rsidRPr="006B3A08">
        <w:fldChar w:fldCharType="end"/>
      </w:r>
      <w:r w:rsidRPr="006B3A08">
        <w:t xml:space="preserve"> </w:t>
      </w:r>
      <w:r>
        <w:t xml:space="preserve">composition </w:t>
      </w:r>
      <w:r w:rsidRPr="006B3A08">
        <w:t xml:space="preserve">in the mantle. In c) dry quartzite composition in all the crustal layers and dry peridotite in the mantle. d) Same as in c) but with wet compositions. In e) and f) dry quartzite and peridotite composition </w:t>
      </w:r>
      <w:r>
        <w:t>are</w:t>
      </w:r>
      <w:r w:rsidRPr="006B3A08">
        <w:t xml:space="preserve"> used in the entire model, respectively</w:t>
      </w:r>
      <w:r w:rsidRPr="006B3A08">
        <w:rPr>
          <w:rFonts w:cs="Times New Roman"/>
        </w:rPr>
        <w:t xml:space="preserve">. Wet compositions decrease the strength of the crust without drastically changing the critical crustal thickness (c and d). Whereas, </w:t>
      </w:r>
      <w:r>
        <w:rPr>
          <w:rFonts w:cs="Times New Roman"/>
        </w:rPr>
        <w:t xml:space="preserve">the </w:t>
      </w:r>
      <w:r w:rsidRPr="006B3A08">
        <w:rPr>
          <w:rFonts w:cs="Times New Roman"/>
        </w:rPr>
        <w:t>critical crustal thickness increases with the mafic composition (f) and decreases with the felsic composition (e).</w:t>
      </w:r>
    </w:p>
    <w:p w14:paraId="455AB62B" w14:textId="77777777" w:rsidR="0059611F" w:rsidRPr="006B3A08" w:rsidRDefault="0059611F" w:rsidP="0059611F">
      <w:pPr>
        <w:spacing w:before="0" w:after="0" w:line="240" w:lineRule="auto"/>
      </w:pPr>
      <w:r w:rsidRPr="006B3A08">
        <w:br w:type="page"/>
      </w:r>
    </w:p>
    <w:p w14:paraId="440B6903" w14:textId="77777777" w:rsidR="0059611F" w:rsidRPr="006B3A08" w:rsidRDefault="0059611F" w:rsidP="0059611F">
      <w:pPr>
        <w:jc w:val="center"/>
      </w:pPr>
    </w:p>
    <w:p w14:paraId="04C86652" w14:textId="77777777" w:rsidR="0059611F" w:rsidRPr="006B3A08" w:rsidRDefault="0059611F" w:rsidP="0059611F">
      <w:pPr>
        <w:jc w:val="center"/>
      </w:pPr>
      <w:r w:rsidRPr="006B3A08">
        <w:drawing>
          <wp:inline distT="0" distB="0" distL="0" distR="0" wp14:anchorId="662AEF8C" wp14:editId="1834AE25">
            <wp:extent cx="6839999" cy="3908571"/>
            <wp:effectExtent l="0" t="0" r="0" b="0"/>
            <wp:docPr id="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39999" cy="3908571"/>
                    </a:xfrm>
                    <a:prstGeom prst="rect">
                      <a:avLst/>
                    </a:prstGeom>
                    <a:ln>
                      <a:noFill/>
                    </a:ln>
                  </pic:spPr>
                </pic:pic>
              </a:graphicData>
            </a:graphic>
          </wp:inline>
        </w:drawing>
      </w:r>
    </w:p>
    <w:p w14:paraId="1709FD2E" w14:textId="03172F76" w:rsidR="00E53537" w:rsidRDefault="0059611F" w:rsidP="0059611F">
      <w:pPr>
        <w:pStyle w:val="image"/>
        <w:spacing w:line="276" w:lineRule="auto"/>
        <w:rPr>
          <w:rFonts w:cs="Times New Roman"/>
        </w:rPr>
      </w:pPr>
      <w:r w:rsidRPr="006B3A08">
        <w:rPr>
          <w:rFonts w:cs="Times New Roman"/>
          <w:b/>
        </w:rPr>
        <w:t xml:space="preserve">Fig. </w:t>
      </w:r>
      <w:r w:rsidR="00C96FAE">
        <w:rPr>
          <w:rFonts w:cs="Times New Roman"/>
          <w:b/>
        </w:rPr>
        <w:t>S</w:t>
      </w:r>
      <w:r w:rsidRPr="006B3A08">
        <w:rPr>
          <w:rFonts w:cs="Times New Roman"/>
          <w:b/>
        </w:rPr>
        <w:t xml:space="preserve">4 </w:t>
      </w:r>
      <w:r w:rsidRPr="006B3A08">
        <w:rPr>
          <w:b/>
        </w:rPr>
        <w:t>|</w:t>
      </w:r>
      <w:r w:rsidRPr="006B3A08">
        <w:rPr>
          <w:rFonts w:eastAsia="noto serif cjk sc" w:cs="Lohit Devanagari"/>
          <w:b/>
          <w:szCs w:val="24"/>
        </w:rPr>
        <w:t xml:space="preserve"> </w:t>
      </w:r>
      <w:r w:rsidRPr="006B3A08">
        <w:rPr>
          <w:rFonts w:cs="Times New Roman"/>
          <w:b/>
        </w:rPr>
        <w:t>Effect of mantle thermal boundary condition on the critical crustal thickness and strength</w:t>
      </w:r>
      <w:r w:rsidRPr="006B3A08">
        <w:rPr>
          <w:rFonts w:cs="Times New Roman"/>
        </w:rPr>
        <w:t xml:space="preserve">. a) Crustal strength versus crustal thickness for tectonothermal lithospheres corresponding to the reference model (Fig. 1c in the main text, Table </w:t>
      </w:r>
      <w:r w:rsidR="009B33AE">
        <w:rPr>
          <w:rFonts w:cs="Times New Roman"/>
        </w:rPr>
        <w:t>S</w:t>
      </w:r>
      <w:r w:rsidRPr="006B3A08">
        <w:rPr>
          <w:rFonts w:cs="Times New Roman"/>
        </w:rPr>
        <w:t xml:space="preserve">1). In b) constant and lower than average (compared to (a)) RHP of </w:t>
      </w:r>
      <w:r w:rsidRPr="006B3A08">
        <w:rPr>
          <w:rFonts w:cs="Times New Roman"/>
          <w:szCs w:val="24"/>
        </w:rPr>
        <w:t>0.5 E-06 W/m</w:t>
      </w:r>
      <w:r w:rsidRPr="006B3A08">
        <w:rPr>
          <w:rFonts w:cs="Times New Roman"/>
          <w:szCs w:val="24"/>
          <w:vertAlign w:val="superscript"/>
        </w:rPr>
        <w:t>3</w:t>
      </w:r>
      <w:r w:rsidRPr="006B3A08">
        <w:rPr>
          <w:rFonts w:cs="Times New Roman"/>
        </w:rPr>
        <w:t xml:space="preserve"> is used in all the crustal layers, which leads to less scatter around the critical crustal thickness and a slightly stronger crust above the critical crustal thickness, highlighting the role of RHP in weakening (a and b). In c) and d) temperatures at 200 km </w:t>
      </w:r>
      <w:r>
        <w:rPr>
          <w:rFonts w:cs="Times New Roman"/>
        </w:rPr>
        <w:t xml:space="preserve">depth </w:t>
      </w:r>
      <w:r w:rsidRPr="006B3A08">
        <w:rPr>
          <w:rFonts w:cs="Times New Roman"/>
        </w:rPr>
        <w:t xml:space="preserve">are from the conversion ( see Fig. </w:t>
      </w:r>
      <w:r w:rsidR="009B33AE">
        <w:rPr>
          <w:rFonts w:cs="Times New Roman"/>
        </w:rPr>
        <w:t>S</w:t>
      </w:r>
      <w:r w:rsidRPr="006B3A08">
        <w:rPr>
          <w:rFonts w:cs="Times New Roman"/>
        </w:rPr>
        <w:t>2h&amp;i and Methods) of CSEM</w:t>
      </w:r>
      <w:r w:rsidRPr="006B3A08">
        <w:rPr>
          <w:rFonts w:cs="Times New Roman"/>
        </w:rPr>
        <w:fldChar w:fldCharType="begin" w:fldLock="1"/>
      </w:r>
      <w:r w:rsidR="00700726">
        <w:rPr>
          <w:rFonts w:cs="Times New Roman"/>
        </w:rPr>
        <w:instrText>ADDIN CSL_CITATION {"citationItems":[{"id":"ITEM-1","itemData":{"DOI":"10.1093/gji/ggt118","ISSN":"0956540X","abstract":"We develop and apply a full waveform inversion method that incorporates seismic data on a wide range of spatio-temporal scales, thereby constraining the details of both crustal and uppermantle structure. This is intended to further our understanding of crust-mantle interactions that shape the nature of plate tectonics, and to be a step towards improved tomographic models of strongly scale-dependent earth properties, such as attenuation and anisotropy. The inversion for detailed regional earth structure consistently embedded within a largescale model requires locally refined numerical meshes that allow us to (1) model regional wave propagation at high frequencies, and (2) capture the inferred fine-scale heterogeneities. The smallest local grid spacing sets the upper bound of the largest possible time step used to iteratively advance the seismic wave field. This limitation leads to extreme computational costs in the presence of fine-scale structure, and it inhibits the construction of full waveform tomographic models that describe earth structure on multiple scales. To reduce computational requirements to a feasible level, we design amultigrid approach based on the decomposition of amultiscale earth model with widely varying grid spacings into a family of single-scalemodels where the grid spacing is approximately uniform. Each of the single-scale models contains a tractable number of grid points, which ensures computational efficiency. The multi-to-singlescale decomposition is the foundation of iterative, gradient-based optimization schemes that simultaneously and consistently invert data on all scales for one multi-scale model. We demonstrate the applicability of our method in a full waveform inversion for Eurasia, with a special focus on Anatolia where coverage is particularly dense. Continental-scale structure is constrained by complete seismic waveforms in the 30-200 s period range. In addition to the well-known structural elements of the Eurasian mantle, our model reveals a variety of subtle features, such as the Armorican Massif, the Rhine Graben and the Massif Central. Anatolia is covered by waveforms with 8-200 s period, meaning that the details of both crustal and mantle structure are resolved consistently. The final model contains numerous previously undiscovered structures, including the extension-related updoming of lower-crustal material beneath the Menderes Massif in western Anatolia. Furthermore, the final model for the Anatolian region con…","author":[{"dropping-particle":"","family":"Fichtner","given":"Andreas","non-dropping-particle":"","parse-names":false,"suffix":""},{"dropping-particle":"","family":"Trampert","given":"Jeannot","non-dropping-particle":"","parse-names":false,"suffix":""},{"dropping-particle":"","family":"Cupillard","given":"Paul","non-dropping-particle":"","parse-names":false,"suffix":""},{"dropping-particle":"","family":"Saygin","given":"Erdinc","non-dropping-particle":"","parse-names":false,"suffix":""},{"dropping-particle":"","family":"Taymaz","given":"Tuncay","non-dropping-particle":"","parse-names":false,"suffix":""},{"dropping-particle":"","family":"Capdeville","given":"Yann","non-dropping-particle":"","parse-names":false,"suffix":""},{"dropping-particle":"","family":"Villaseñor","given":"Antonio","non-dropping-particle":"","parse-names":false,"suffix":""}],"container-title":"Geophysical Journal International","id":"ITEM-1","issue":"1","issued":{"date-parts":[["2013"]]},"page":"534-556","title":"Multiscale full waveform inversion","type":"article-journal","volume":"194"},"uris":["http://www.mendeley.com/documents/?uuid=0fcef079-0fb5-48b8-ab00-2d1b8c5ba21a"]}],"mendeley":{"formattedCitation":"(Fichtner et al. 2013)","plainTextFormattedCitation":"(Fichtner et al. 2013)","previouslyFormattedCitation":"&lt;sup&gt;10&lt;/sup&gt;"},"properties":{"noteIndex":0},"schema":"https://github.com/citation-style-language/schema/raw/master/csl-citation.json"}</w:instrText>
      </w:r>
      <w:r w:rsidRPr="006B3A08">
        <w:rPr>
          <w:rFonts w:cs="Times New Roman"/>
        </w:rPr>
        <w:fldChar w:fldCharType="separate"/>
      </w:r>
      <w:r w:rsidR="00700726" w:rsidRPr="00700726">
        <w:rPr>
          <w:rFonts w:cs="Times New Roman"/>
        </w:rPr>
        <w:t>(Fichtner et al. 2013)</w:t>
      </w:r>
      <w:r w:rsidRPr="006B3A08">
        <w:rPr>
          <w:rFonts w:cs="Times New Roman"/>
        </w:rPr>
        <w:fldChar w:fldCharType="end"/>
      </w:r>
      <w:r w:rsidRPr="006B3A08">
        <w:rPr>
          <w:rFonts w:cs="Times New Roman"/>
        </w:rPr>
        <w:t xml:space="preserve"> and SL2013</w:t>
      </w:r>
      <w:r w:rsidRPr="006B3A08">
        <w:rPr>
          <w:rFonts w:cs="Times New Roman"/>
        </w:rPr>
        <w:fldChar w:fldCharType="begin" w:fldLock="1"/>
      </w:r>
      <w:r w:rsidR="00700726">
        <w:rPr>
          <w:rFonts w:cs="Times New Roman"/>
        </w:rPr>
        <w:instrText>ADDIN CSL_CITATION {"citationItems":[{"id":"ITEM-1","itemData":{"DOI":"10.1093/gji/ggt095","ISSN":"0956540X","abstract":"The rapid expansion of broad-band seismic networks over the last decade has paved the way for a new generation of global tomographic models. Significantly improved resolution of global upper-mantle and crustal structure can now be achieved, provided that structural information is extracted effectively from both surface and body waves and that the effects of errors in the data are controlled and minimized. Here, we present a new global, vertically polarized shear speed model that yields considerable improvements in resolution, compared to previous ones, for a variety of features in the upper mantle and crust. The model, SL2013sv, is constrained by an unprecedentedly large set of waveform fits (~3/4 of a million broad-band seismograms), computed in seismogram-dependent frequency bands, up to a maximum period range of 11- 450 s. Automated multimode inversion of surface and S-wave forms was used to extract a set of linear equations with uncorrelated uncertainties from each seismogram. The equations described perturbations in elastic structure within approximate sensitivity volumes between sources and receivers. Going beyond ray theory, we calculated the phase of every mode at every frequency and its derivative with respect to S-and P-velocity perturbations by integration over a sensitivity area in a 3-D reference model; the (normally small) perturbations of the 3-D model required to fit the waveforms were then linearized using these accurate derivatives. The equations yielded by the waveform inversion of all the seismograms were simultaneously inverted for a 3-D model of shear and compressional speeds and azimuthal anisotropy within the crust and upper mantle. Elaborate outlier analysis was used to control the propagation of errors in the data (source parameters, timing at the stations, etc.). The selection of only the most mutually consistent equations exploited the data redundancy provided by our data set and strongly reduced the effect of the errors, increasing the resolution of the imaging. Our new shear speed model is parametrized on a triangular grid with a ~280 km spacing. In well-sampled continental domains, lateral resolution approaches or exceeds that of regionalscale studies. The close match of known surface expressions of deep structure with the distribution of anomalies in the model provides a useful benchmark. In oceanic regions, spreading ridges are very well resolved, with narrow anomalies in the shallow mantle closely confined near the ridg…","author":[{"dropping-particle":"","family":"Schaeffer","given":"A. J.","non-dropping-particle":"","parse-names":false,"suffix":""},{"dropping-particle":"","family":"Lebedev","given":"S.","non-dropping-particle":"","parse-names":false,"suffix":""}],"container-title":"Geophysical Journal International","id":"ITEM-1","issue":"1","issued":{"date-parts":[["2013"]]},"page":"417-449","title":"Global shear speed structure of the upper mantle and transition zone","type":"article-journal","volume":"194"},"uris":["http://www.mendeley.com/documents/?uuid=dc9b39f0-656a-4962-8dae-4ce11ef8ca6b"]}],"mendeley":{"formattedCitation":"(Schaeffer and Lebedev 2013)","plainTextFormattedCitation":"(Schaeffer and Lebedev 2013)","previouslyFormattedCitation":"&lt;sup&gt;9&lt;/sup&gt;"},"properties":{"noteIndex":0},"schema":"https://github.com/citation-style-language/schema/raw/master/csl-citation.json"}</w:instrText>
      </w:r>
      <w:r w:rsidRPr="006B3A08">
        <w:rPr>
          <w:rFonts w:cs="Times New Roman"/>
        </w:rPr>
        <w:fldChar w:fldCharType="separate"/>
      </w:r>
      <w:r w:rsidR="00700726" w:rsidRPr="00700726">
        <w:rPr>
          <w:rFonts w:cs="Times New Roman"/>
        </w:rPr>
        <w:t>(Schaeffer and Lebedev 2013)</w:t>
      </w:r>
      <w:r w:rsidRPr="006B3A08">
        <w:rPr>
          <w:rFonts w:cs="Times New Roman"/>
        </w:rPr>
        <w:fldChar w:fldCharType="end"/>
      </w:r>
      <w:r w:rsidRPr="006B3A08">
        <w:rPr>
          <w:rFonts w:cs="Times New Roman"/>
        </w:rPr>
        <w:t xml:space="preserve"> tomography models, respectively. In e) the base of the model is set to the LAB depths from the CAM2016 model</w:t>
      </w:r>
      <w:r w:rsidRPr="006B3A08">
        <w:rPr>
          <w:rFonts w:cs="Times New Roman"/>
        </w:rPr>
        <w:fldChar w:fldCharType="begin" w:fldLock="1"/>
      </w:r>
      <w:r w:rsidR="00700726">
        <w:rPr>
          <w:rFonts w:cs="Times New Roman"/>
        </w:rPr>
        <w:instrText>ADDIN CSL_CITATION {"citationItems":[{"id":"ITEM-1","itemData":{"DOI":"https://doi.org/10.1002/9781119249740.ch6","abstract":"The lithosphere–asthenosphere boundary corresponds to the base of the rigid plates, the depth where heat transport changes from advection in the deeper upper mantle to conduction in the shallow upper mantle. This fundamental, active boundary of the Earth is difficult to map because the deformation is aseismic and the boundary does not correspond to a sharp change in temperature or composition. We present a global lithospheric model derived from surface-wave tomography. Rather than define the base of the lithosphere directly from our three-dimensional wave-speed model, we derive a VS (T) relationship by relating VS primarily to the temperature structure of the oceanic plates and upper mantle nodules. Using this relationship, we produce an upper mantle temperature model; we then use the shape of the geotherm to identify the base of the lithosphere as the transition from the conducting to advecting geotherm. The resulting lithospheric model shows the development of the oceanic plates with increasing age and thick lithosphere beneath most of the cratons. Thin lithosphere exists beneath tectonically active regions of the continents, but thick lithosphere occurs beneath Tibet and the active mountain ranges of central Asia that are now undergoing shortening. We discuss new, significant findings inferred from our lithospheric model.","author":[{"dropping-particle":"","family":"Priestley","given":"Keith.","non-dropping-particle":"","parse-names":false,"suffix":""},{"dropping-particle":"","family":"McKenzie","given":"Dan.","non-dropping-particle":"","parse-names":false,"suffix":""},{"dropping-particle":"","family":"Ho","given":"Tak.","non-dropping-particle":"","parse-names":false,"suffix":""}],"container-title":"Lithospheric discontinuities","id":"ITEM-1","issued":{"date-parts":[["2018"]]},"page":"111-123","title":"A lithosphere–asthenosphere boundary—A global model derived from multimode surface‐wave tomography and petrology","type":"article-journal"},"uris":["http://www.mendeley.com/documents/?uuid=50c91062-5b71-4a0f-af28-96726edf7c62"]}],"mendeley":{"formattedCitation":"(Priestley et al. 2018)","plainTextFormattedCitation":"(Priestley et al. 2018)","previouslyFormattedCitation":"&lt;sup&gt;4&lt;/sup&gt;"},"properties":{"noteIndex":0},"schema":"https://github.com/citation-style-language/schema/raw/master/csl-citation.json"}</w:instrText>
      </w:r>
      <w:r w:rsidRPr="006B3A08">
        <w:rPr>
          <w:rFonts w:cs="Times New Roman"/>
        </w:rPr>
        <w:fldChar w:fldCharType="separate"/>
      </w:r>
      <w:r w:rsidR="00700726" w:rsidRPr="00700726">
        <w:rPr>
          <w:rFonts w:cs="Times New Roman"/>
        </w:rPr>
        <w:t>(Priestley et al. 2018)</w:t>
      </w:r>
      <w:r w:rsidRPr="006B3A08">
        <w:rPr>
          <w:rFonts w:cs="Times New Roman"/>
        </w:rPr>
        <w:fldChar w:fldCharType="end"/>
      </w:r>
      <w:r w:rsidRPr="006B3A08">
        <w:rPr>
          <w:rFonts w:cs="Times New Roman"/>
        </w:rPr>
        <w:t xml:space="preserve"> and </w:t>
      </w:r>
      <w:r>
        <w:rPr>
          <w:rFonts w:cs="Times New Roman"/>
        </w:rPr>
        <w:t xml:space="preserve">the </w:t>
      </w:r>
      <w:r w:rsidRPr="006B3A08">
        <w:rPr>
          <w:rFonts w:cs="Times New Roman"/>
        </w:rPr>
        <w:t xml:space="preserve">temperature is set to 1300 </w:t>
      </w:r>
      <w:r w:rsidRPr="006B3A08">
        <w:rPr>
          <w:rFonts w:eastAsiaTheme="minorEastAsia"/>
        </w:rPr>
        <w:t>°</w:t>
      </w:r>
      <w:r w:rsidRPr="006B3A08">
        <w:rPr>
          <w:rFonts w:cs="Times New Roman"/>
        </w:rPr>
        <w:t xml:space="preserve">C. In f) temperature at the base of the model (200 km) is set to 1500 </w:t>
      </w:r>
      <w:r w:rsidRPr="006B3A08">
        <w:rPr>
          <w:rFonts w:eastAsiaTheme="minorEastAsia"/>
        </w:rPr>
        <w:t>°</w:t>
      </w:r>
      <w:r w:rsidRPr="006B3A08">
        <w:rPr>
          <w:rFonts w:cs="Times New Roman"/>
        </w:rPr>
        <w:t xml:space="preserve">C.  To </w:t>
      </w:r>
      <w:r>
        <w:rPr>
          <w:rFonts w:cs="Times New Roman"/>
        </w:rPr>
        <w:t xml:space="preserve">a </w:t>
      </w:r>
      <w:r w:rsidRPr="006B3A08">
        <w:rPr>
          <w:rFonts w:cs="Times New Roman"/>
        </w:rPr>
        <w:t xml:space="preserve">first order, temperature boundary condition at 200 km does not change the critical crustal thickness drastically (c-f). </w:t>
      </w:r>
    </w:p>
    <w:p w14:paraId="642462EF" w14:textId="77777777" w:rsidR="00000374" w:rsidRPr="006B3A08" w:rsidRDefault="00000374" w:rsidP="00000374"/>
    <w:p w14:paraId="5A14FAA0" w14:textId="2C9E1E84" w:rsidR="00000374" w:rsidRDefault="00000374" w:rsidP="00000374">
      <w:pPr>
        <w:pStyle w:val="image"/>
        <w:spacing w:line="276" w:lineRule="auto"/>
        <w:rPr>
          <w:rFonts w:cs="Times New Roman"/>
          <w:b/>
        </w:rPr>
      </w:pPr>
      <w:r>
        <w:rPr>
          <w:rFonts w:cs="Times New Roman"/>
          <w:b/>
        </w:rPr>
        <w:lastRenderedPageBreak/>
        <w:drawing>
          <wp:inline distT="0" distB="0" distL="0" distR="0" wp14:anchorId="49057236" wp14:editId="1D30BD41">
            <wp:extent cx="5943600" cy="2779706"/>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_2_SI.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779706"/>
                    </a:xfrm>
                    <a:prstGeom prst="rect">
                      <a:avLst/>
                    </a:prstGeom>
                  </pic:spPr>
                </pic:pic>
              </a:graphicData>
            </a:graphic>
          </wp:inline>
        </w:drawing>
      </w:r>
    </w:p>
    <w:p w14:paraId="0FB2A5A6" w14:textId="3FC14C20" w:rsidR="005F1BA3" w:rsidRDefault="00000374" w:rsidP="00000374">
      <w:pPr>
        <w:pStyle w:val="image"/>
        <w:spacing w:line="276" w:lineRule="auto"/>
      </w:pPr>
      <w:r w:rsidRPr="006B3A08">
        <w:rPr>
          <w:rFonts w:cs="Times New Roman"/>
          <w:b/>
        </w:rPr>
        <w:t xml:space="preserve">Fig. </w:t>
      </w:r>
      <w:r>
        <w:rPr>
          <w:rFonts w:cs="Times New Roman"/>
          <w:b/>
        </w:rPr>
        <w:t>S5</w:t>
      </w:r>
      <w:r w:rsidRPr="006B3A08">
        <w:rPr>
          <w:rFonts w:cs="Times New Roman"/>
          <w:b/>
        </w:rPr>
        <w:t xml:space="preserve"> |</w:t>
      </w:r>
      <w:r w:rsidRPr="006B3A08">
        <w:rPr>
          <w:rFonts w:eastAsia="noto serif cjk sc" w:cs="Times New Roman"/>
          <w:b/>
          <w:szCs w:val="24"/>
        </w:rPr>
        <w:t xml:space="preserve"> </w:t>
      </w:r>
      <w:r>
        <w:rPr>
          <w:rStyle w:val="imageChar"/>
          <w:rFonts w:cs="Times New Roman"/>
          <w:b/>
        </w:rPr>
        <w:t>Map of the geoid height anomaly and earthquake fault plane solutions in the Alpine Himalayan Collision zone</w:t>
      </w:r>
      <w:r w:rsidRPr="006B3A08">
        <w:rPr>
          <w:rStyle w:val="imageChar"/>
          <w:rFonts w:cs="Times New Roman"/>
          <w:b/>
        </w:rPr>
        <w:t>.</w:t>
      </w:r>
      <w:r w:rsidRPr="006B3A08">
        <w:rPr>
          <w:rStyle w:val="imageChar"/>
          <w:rFonts w:cs="Times New Roman"/>
        </w:rPr>
        <w:t xml:space="preserve"> </w:t>
      </w:r>
      <w:r>
        <w:rPr>
          <w:rStyle w:val="imageChar"/>
          <w:rFonts w:cs="Times New Roman"/>
        </w:rPr>
        <w:t xml:space="preserve">a) Full geoid height anomaly in the AHCZ from </w:t>
      </w:r>
      <w:r w:rsidRPr="00FA0473">
        <w:t>ICGEM using the GECO model</w:t>
      </w:r>
      <w:r w:rsidRPr="00FA0473">
        <w:fldChar w:fldCharType="begin" w:fldLock="1"/>
      </w:r>
      <w:r w:rsidR="00700726">
        <w:instrText>ADDIN CSL_CITATION {"citationItems":[{"id":"ITEM-1","itemData":{"DOI":"10.5194/essd-11-647-2019","ISSN":"18663516","abstract":"The International Centre for Global Earth Models (ICGEM, http://icgem.gfz-potsdam.de/, last access: 6 May 2019) hosted at the GFZ German Research Centre for Geosciences (GFZ) is one of the five services coordinated by the International Gravity Field Service (IGFS) of the International Association of Geodesy (IAG). The goal of the ICGEM service is to provide the scientific community with a state-of-the-art archive of static and temporal global gravity field models of the Earth, and develop and operate interactive calculation and visualization services of gravity field functionals on user-defined grids or at a list of particular points via its website. ICGEM offers the largest collection of global gravity field models, including those from the 1960s to the 1990s, as well as the most recent ones, which have been developed using data from dedicated satellite gravity missions, CHAMP, GRACE, GOCE, advanced processing methodologies, and additional data sources such as satellite altimetry and terrestrial gravity. The global gravity field models have been collected from different institutions at international level and after a validation process made publicly available in a standardized format with DOI numbers assigned through GFZ Data Services. The development and maintenance of such a unique platform is crucial for the scientific community in geodesy, geophysics, oceanography, and climate research. In this article, we present the development history and future plans of ICGEM and its current products and essential services. We present the ICGEM’s data by means of Earth’s static, temporal, and topographic gravity field models as well as the gravity field models of other celestial bodies together with examples produced by the ICGEM’s calculation and 3-D visualization services and give an insight into how the ICGEM service can additionally contribute to the needs of research and society.","author":[{"dropping-particle":"","family":"Sinem Ince","given":"E.","non-dropping-particle":"","parse-names":false,"suffix":""},{"dropping-particle":"","family":"Barthelmes","given":"Franz","non-dropping-particle":"","parse-names":false,"suffix":""},{"dropping-particle":"","family":"Reißland","given":"Sven","non-dropping-particle":"","parse-names":false,"suffix":""},{"dropping-particle":"","family":"Elger","given":"Kirsten","non-dropping-particle":"","parse-names":false,"suffix":""},{"dropping-particle":"","family":"Förste","given":"Christoph","non-dropping-particle":"","parse-names":false,"suffix":""},{"dropping-particle":"","family":"Flechtner","given":"Frank","non-dropping-particle":"","parse-names":false,"suffix":""},{"dropping-particle":"","family":"Schuh","given":"Harald","non-dropping-particle":"","parse-names":false,"suffix":""}],"container-title":"Earth System Science Data","id":"ITEM-1","issue":"2","issued":{"date-parts":[["2019"]]},"page":"647-674","title":"ICGEM – 15 years of successful collection and distribution of global gravitational models, associated services, and future plans","type":"article-journal","volume":"11"},"uris":["http://www.mendeley.com/documents/?uuid=83d6710d-b62f-42fc-a575-fb2afc7ab9f1"]}],"mendeley":{"formattedCitation":"(Sinem Ince et al. 2019)","plainTextFormattedCitation":"(Sinem Ince et al. 2019)","previouslyFormattedCitation":"&lt;sup&gt;12&lt;/sup&gt;"},"properties":{"noteIndex":0},"schema":"https://github.com/citation-style-language/schema/raw/master/csl-citation.json"}</w:instrText>
      </w:r>
      <w:r w:rsidRPr="00FA0473">
        <w:fldChar w:fldCharType="separate"/>
      </w:r>
      <w:r w:rsidR="00700726" w:rsidRPr="00700726">
        <w:t>(Sinem Ince et al. 2019)</w:t>
      </w:r>
      <w:r w:rsidRPr="00FA0473">
        <w:fldChar w:fldCharType="end"/>
      </w:r>
      <w:r>
        <w:t xml:space="preserve">. b) Geoid height anomaly filtered to a degree and order 10. Note the positive geoid height anomalies in the </w:t>
      </w:r>
      <w:r w:rsidR="00E530DC">
        <w:t xml:space="preserve">major orogens in </w:t>
      </w:r>
      <w:r>
        <w:t xml:space="preserve">AHCZ </w:t>
      </w:r>
      <w:r w:rsidR="00E530DC">
        <w:t>(</w:t>
      </w:r>
      <w:r>
        <w:t>b</w:t>
      </w:r>
      <w:r w:rsidR="00FF7325">
        <w:t>)</w:t>
      </w:r>
      <w:r>
        <w:t xml:space="preserve"> compared to long-wavelength positive and negative anomal</w:t>
      </w:r>
      <w:r w:rsidR="00FF7325">
        <w:t>ies</w:t>
      </w:r>
      <w:r>
        <w:t xml:space="preserve"> in a</w:t>
      </w:r>
      <w:r w:rsidR="00FF7325">
        <w:t>)</w:t>
      </w:r>
      <w:r>
        <w:t xml:space="preserve">. In c) and d) </w:t>
      </w:r>
      <w:r w:rsidR="00FF7325">
        <w:t xml:space="preserve">seismic </w:t>
      </w:r>
      <w:r>
        <w:t>waveform modelling constrained depth (</w:t>
      </w:r>
      <w:r>
        <w:rPr>
          <w:rFonts w:cs="Times New Roman"/>
        </w:rPr>
        <w:t>≤</w:t>
      </w:r>
      <w:r>
        <w:t xml:space="preserve"> 80 km) and fault-plane solutions </w:t>
      </w:r>
      <w:r w:rsidR="00FF7325">
        <w:t>of earthquakes taken from</w:t>
      </w:r>
      <w:r>
        <w:t xml:space="preserve"> the compilation in </w:t>
      </w:r>
      <w:r w:rsidRPr="00000374">
        <w:t>gWFM</w:t>
      </w:r>
      <w:r>
        <w:t>_v_1.2</w:t>
      </w:r>
      <w:r>
        <w:fldChar w:fldCharType="begin" w:fldLock="1"/>
      </w:r>
      <w:r w:rsidR="00700726">
        <w:instrText>ADDIN CSL_CITATION {"citationItems":[{"id":"ITEM-1","itemData":{"DOI":"10.1785/0220200218.Supplemental","author":[{"dropping-particle":"","family":"Wimpenny","given":"Sam","non-dropping-particle":"","parse-names":false,"suffix":""},{"dropping-particle":"","family":"Watson","given":"C Scott","non-dropping-particle":"","parse-names":false,"suffix":""}],"id":"ITEM-1","issue":"1","issued":{"date-parts":[["2021"]]},"title":"gWFM : A Global Catalog of Moderate- Magnitude Earthquakes Studied Using Teleseismic Body Waves","type":"article-journal","volume":"92"},"uris":["http://www.mendeley.com/documents/?uuid=da1ceaa8-68e6-4c0d-b9c3-29c476977fa7"]}],"mendeley":{"formattedCitation":"(Wimpenny and Watson 2021)","plainTextFormattedCitation":"(Wimpenny and Watson 2021)","previouslyFormattedCitation":"&lt;sup&gt;13&lt;/sup&gt;"},"properties":{"noteIndex":0},"schema":"https://github.com/citation-style-language/schema/raw/master/csl-citation.json"}</w:instrText>
      </w:r>
      <w:r>
        <w:fldChar w:fldCharType="separate"/>
      </w:r>
      <w:r w:rsidR="00700726" w:rsidRPr="00700726">
        <w:t>(Wimpenny and Watson 2021)</w:t>
      </w:r>
      <w:r>
        <w:fldChar w:fldCharType="end"/>
      </w:r>
      <w:r w:rsidR="00FF7325">
        <w:t xml:space="preserve"> are plotted</w:t>
      </w:r>
      <w:r>
        <w:t>. In c) thrust earthquakes and in d) normal fault earthquakes are plotted.</w:t>
      </w:r>
    </w:p>
    <w:p w14:paraId="601922E9" w14:textId="77777777" w:rsidR="005F1BA3" w:rsidRDefault="005F1BA3">
      <w:pPr>
        <w:spacing w:before="0" w:after="160" w:line="259" w:lineRule="auto"/>
        <w:jc w:val="left"/>
        <w:rPr>
          <w:rFonts w:eastAsiaTheme="majorEastAsia" w:cs="Mangal"/>
          <w:szCs w:val="29"/>
        </w:rPr>
      </w:pPr>
      <w:r>
        <w:br w:type="page"/>
      </w:r>
    </w:p>
    <w:p w14:paraId="62F4628F" w14:textId="538994AA" w:rsidR="00000374" w:rsidRPr="006B3A08" w:rsidRDefault="00000374" w:rsidP="00000374">
      <w:pPr>
        <w:pStyle w:val="image"/>
        <w:spacing w:line="276" w:lineRule="auto"/>
        <w:rPr>
          <w:rFonts w:cs="Times New Roman"/>
        </w:rPr>
      </w:pPr>
      <w:r>
        <w:lastRenderedPageBreak/>
        <w:t xml:space="preserve">  </w:t>
      </w:r>
    </w:p>
    <w:p w14:paraId="1481AE92" w14:textId="21822B66" w:rsidR="00E53537" w:rsidRDefault="00E53537">
      <w:pPr>
        <w:spacing w:before="0" w:after="160" w:line="259" w:lineRule="auto"/>
        <w:jc w:val="left"/>
        <w:rPr>
          <w:rFonts w:eastAsiaTheme="majorEastAsia"/>
          <w:szCs w:val="29"/>
        </w:rPr>
      </w:pPr>
    </w:p>
    <w:p w14:paraId="44465230" w14:textId="77777777" w:rsidR="00E53537" w:rsidRPr="006B3A08" w:rsidRDefault="00E53537" w:rsidP="00E53537">
      <w:r>
        <w:drawing>
          <wp:inline distT="0" distB="0" distL="0" distR="0" wp14:anchorId="1DE7604C" wp14:editId="74854D53">
            <wp:extent cx="5827394" cy="2819281"/>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_3_RHP_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27394" cy="2819281"/>
                    </a:xfrm>
                    <a:prstGeom prst="rect">
                      <a:avLst/>
                    </a:prstGeom>
                  </pic:spPr>
                </pic:pic>
              </a:graphicData>
            </a:graphic>
          </wp:inline>
        </w:drawing>
      </w:r>
    </w:p>
    <w:p w14:paraId="58CBCF95" w14:textId="19C7BF20" w:rsidR="00E53537" w:rsidRPr="006B3A08" w:rsidRDefault="00E53537" w:rsidP="00E53537">
      <w:pPr>
        <w:pStyle w:val="image"/>
        <w:spacing w:line="276" w:lineRule="auto"/>
        <w:rPr>
          <w:rFonts w:cs="Times New Roman"/>
        </w:rPr>
      </w:pPr>
      <w:r w:rsidRPr="006B3A08">
        <w:rPr>
          <w:rFonts w:cs="Times New Roman"/>
          <w:b/>
        </w:rPr>
        <w:t xml:space="preserve">Fig. </w:t>
      </w:r>
      <w:r>
        <w:rPr>
          <w:rFonts w:cs="Times New Roman"/>
          <w:b/>
        </w:rPr>
        <w:t>S</w:t>
      </w:r>
      <w:r w:rsidR="00000374">
        <w:rPr>
          <w:rFonts w:cs="Times New Roman"/>
          <w:b/>
        </w:rPr>
        <w:t>6</w:t>
      </w:r>
      <w:r w:rsidRPr="006B3A08">
        <w:rPr>
          <w:rFonts w:cs="Times New Roman"/>
          <w:b/>
        </w:rPr>
        <w:t xml:space="preserve"> |</w:t>
      </w:r>
      <w:r w:rsidRPr="006B3A08">
        <w:rPr>
          <w:rFonts w:eastAsia="noto serif cjk sc" w:cs="Times New Roman"/>
          <w:b/>
          <w:szCs w:val="24"/>
        </w:rPr>
        <w:t xml:space="preserve"> </w:t>
      </w:r>
      <w:r>
        <w:rPr>
          <w:rStyle w:val="imageChar"/>
          <w:rFonts w:cs="Times New Roman"/>
          <w:b/>
        </w:rPr>
        <w:t>Average temperature of the lithosphere versus crustal thickness in the AHCZ</w:t>
      </w:r>
      <w:r w:rsidRPr="006B3A08">
        <w:rPr>
          <w:rStyle w:val="imageChar"/>
          <w:rFonts w:cs="Times New Roman"/>
          <w:b/>
        </w:rPr>
        <w:t>.</w:t>
      </w:r>
      <w:r w:rsidRPr="006B3A08">
        <w:rPr>
          <w:rStyle w:val="imageChar"/>
          <w:rFonts w:cs="Times New Roman"/>
        </w:rPr>
        <w:t xml:space="preserve"> </w:t>
      </w:r>
      <w:r>
        <w:rPr>
          <w:rStyle w:val="imageChar"/>
          <w:rFonts w:cs="Times New Roman"/>
        </w:rPr>
        <w:t>In order to derive temperature in the mantle from 50 km to 150km depth</w:t>
      </w:r>
      <w:r w:rsidR="00CE2A1D">
        <w:rPr>
          <w:rStyle w:val="imageChar"/>
          <w:rFonts w:cs="Times New Roman"/>
        </w:rPr>
        <w:t>,</w:t>
      </w:r>
      <w:r>
        <w:rPr>
          <w:rStyle w:val="imageChar"/>
          <w:rFonts w:cs="Times New Roman"/>
        </w:rPr>
        <w:t xml:space="preserve"> shear</w:t>
      </w:r>
      <w:r w:rsidR="00CE2A1D">
        <w:rPr>
          <w:rStyle w:val="imageChar"/>
          <w:rFonts w:cs="Times New Roman"/>
        </w:rPr>
        <w:t>-</w:t>
      </w:r>
      <w:r>
        <w:rPr>
          <w:rStyle w:val="imageChar"/>
          <w:rFonts w:cs="Times New Roman"/>
        </w:rPr>
        <w:t xml:space="preserve">wave velocities </w:t>
      </w:r>
      <w:r w:rsidR="00CE2A1D">
        <w:rPr>
          <w:rStyle w:val="imageChar"/>
          <w:rFonts w:cs="Times New Roman"/>
        </w:rPr>
        <w:t>from the</w:t>
      </w:r>
      <w:r>
        <w:rPr>
          <w:rStyle w:val="imageChar"/>
          <w:rFonts w:cs="Times New Roman"/>
        </w:rPr>
        <w:t xml:space="preserve"> </w:t>
      </w:r>
      <w:r w:rsidRPr="006B3A08">
        <w:t>DBRB tomography model</w:t>
      </w:r>
      <w:r w:rsidRPr="006B3A08">
        <w:fldChar w:fldCharType="begin" w:fldLock="1"/>
      </w:r>
      <w:r w:rsidR="00700726">
        <w:instrText>ADDIN CSL_CITATION {"citationItems":[{"id":"ITEM-1","itemData":{"DOI":"10.1038/s41586-020-2809-4","ISSN":"14764687","PMID":"33087914","abstract":"The seismic low-velocity zone (LVZ) of the upper mantle is generally associated with a low-viscosity asthenosphere that has a key role in decoupling tectonic plates from the mantle1. However, the origin of the LVZ remains unclear. Some studies attribute its low seismic velocities to a small amount of partial melt of minerals in the mantle2,3, whereas others attribute them to solid-state mechanisms near the solidus4–6 or the effect of its volatile contents6. Observations of shear attenuation provide additional constraints on the origin of the LVZ7. On the basis of the interpretation of global three-dimensional shear attenuation and velocity models, here we report partial melt occurring within the LVZ. We observe that partial melting down to 150–200 kilometres beneath mid-ocean ridges, major hotspots and back-arc regions feeds the asthenosphere. A small part of this melt (less than 0.30 per cent) remains trapped within the oceanic LVZ. Melt is mostly absent under continental regions. The amount of melt increases with plate velocity, increasing substantially for plate velocities of between 3 centimetres per year and 5 centimetres per year. This finding is consistent with previous observations of mantle crystal alignment underneath tectonic plates8. Our observations suggest that by reducing viscosity9 melt facilitates plate motion and large-scale crystal alignment in the asthenosphere.","author":[{"dropping-particle":"","family":"Debayle","given":"Eric","non-dropping-particle":"","parse-names":false,"suffix":""},{"dropping-particle":"","family":"Bodin","given":"Thomas","non-dropping-particle":"","parse-names":false,"suffix":""},{"dropping-particle":"","family":"Durand","given":"Stéphanie","non-dropping-particle":"","parse-names":false,"suffix":""},{"dropping-particle":"","family":"Ricard","given":"Yanick","non-dropping-particle":"","parse-names":false,"suffix":""}],"container-title":"Nature","id":"ITEM-1","issue":"7830","issued":{"date-parts":[["2020"]]},"page":"555-559","publisher":"Springer US","title":"Seismic evidence for partial melt below tectonic plates","type":"article-journal","volume":"586"},"uris":["http://www.mendeley.com/documents/?uuid=f587a39c-be2f-499a-b294-8c750991b155"]}],"mendeley":{"formattedCitation":"(Debayle et al. 2020)","plainTextFormattedCitation":"(Debayle et al. 2020)","previouslyFormattedCitation":"&lt;sup&gt;8&lt;/sup&gt;"},"properties":{"noteIndex":0},"schema":"https://github.com/citation-style-language/schema/raw/master/csl-citation.json"}</w:instrText>
      </w:r>
      <w:r w:rsidRPr="006B3A08">
        <w:fldChar w:fldCharType="separate"/>
      </w:r>
      <w:r w:rsidR="00700726" w:rsidRPr="00700726">
        <w:t>(Debayle et al. 2020)</w:t>
      </w:r>
      <w:r w:rsidRPr="006B3A08">
        <w:fldChar w:fldCharType="end"/>
      </w:r>
      <w:r>
        <w:rPr>
          <w:rStyle w:val="imageChar"/>
          <w:rFonts w:cs="Times New Roman"/>
        </w:rPr>
        <w:t xml:space="preserve"> are converted to temperature (See Section 2 in Methods). From 50 km </w:t>
      </w:r>
      <w:r w:rsidR="00CE2A1D">
        <w:rPr>
          <w:rStyle w:val="imageChar"/>
          <w:rFonts w:cs="Times New Roman"/>
        </w:rPr>
        <w:t xml:space="preserve">depth </w:t>
      </w:r>
      <w:r>
        <w:rPr>
          <w:rStyle w:val="imageChar"/>
          <w:rFonts w:cs="Times New Roman"/>
        </w:rPr>
        <w:t>to the surface temperatures are derived by solving the steady-state temperature equation where bottom boundary condition is taken from the tomography derived temperatures</w:t>
      </w:r>
      <w:r w:rsidR="00CE2A1D">
        <w:rPr>
          <w:rStyle w:val="imageChar"/>
          <w:rFonts w:cs="Times New Roman"/>
        </w:rPr>
        <w:t xml:space="preserve"> (See Section 2 in Methods)</w:t>
      </w:r>
      <w:r>
        <w:rPr>
          <w:rStyle w:val="imageChar"/>
          <w:rFonts w:cs="Times New Roman"/>
        </w:rPr>
        <w:t>. In a) HPE in top 50 km depending of the crustal thickness are not considered where</w:t>
      </w:r>
      <w:r w:rsidR="00CE2A1D">
        <w:rPr>
          <w:rStyle w:val="imageChar"/>
          <w:rFonts w:cs="Times New Roman"/>
        </w:rPr>
        <w:t>as</w:t>
      </w:r>
      <w:r>
        <w:rPr>
          <w:rStyle w:val="imageChar"/>
          <w:rFonts w:cs="Times New Roman"/>
        </w:rPr>
        <w:t xml:space="preserve"> in b) HPE are considered</w:t>
      </w:r>
      <w:r w:rsidR="00CE2A1D">
        <w:rPr>
          <w:rStyle w:val="imageChar"/>
          <w:rFonts w:cs="Times New Roman"/>
        </w:rPr>
        <w:t xml:space="preserve"> (Table 1)</w:t>
      </w:r>
      <w:r>
        <w:rPr>
          <w:rStyle w:val="imageChar"/>
          <w:rFonts w:cs="Times New Roman"/>
        </w:rPr>
        <w:t>. Because of the HPE</w:t>
      </w:r>
      <w:r w:rsidR="00CE2A1D">
        <w:rPr>
          <w:rStyle w:val="imageChar"/>
          <w:rFonts w:cs="Times New Roman"/>
        </w:rPr>
        <w:t>,</w:t>
      </w:r>
      <w:r>
        <w:rPr>
          <w:rStyle w:val="imageChar"/>
          <w:rFonts w:cs="Times New Roman"/>
        </w:rPr>
        <w:t xml:space="preserve"> temperatures are almost constant in the thick crust regions. Regions with topography close to the global average</w:t>
      </w:r>
      <w:r w:rsidR="00CE2A1D">
        <w:rPr>
          <w:rStyle w:val="imageChar"/>
          <w:rFonts w:cs="Times New Roman"/>
        </w:rPr>
        <w:t xml:space="preserve"> (~ 100m) are colder and </w:t>
      </w:r>
      <w:r>
        <w:rPr>
          <w:rStyle w:val="imageChar"/>
          <w:rFonts w:cs="Times New Roman"/>
        </w:rPr>
        <w:t xml:space="preserve">show crustal thickness similar to the equilibrium critical crustal thickness. Top right corner in both figures resembles the phase space presented for the orogen style perturbations (Fig. </w:t>
      </w:r>
      <w:r w:rsidR="00CE2A1D">
        <w:rPr>
          <w:rStyle w:val="imageChar"/>
          <w:rFonts w:cs="Times New Roman"/>
        </w:rPr>
        <w:t>5</w:t>
      </w:r>
      <w:r>
        <w:rPr>
          <w:rStyle w:val="imageChar"/>
          <w:rFonts w:cs="Times New Roman"/>
        </w:rPr>
        <w:t xml:space="preserve">). </w:t>
      </w:r>
    </w:p>
    <w:p w14:paraId="0EEBA36E" w14:textId="77777777" w:rsidR="0059611F" w:rsidRPr="006B3A08" w:rsidRDefault="0059611F" w:rsidP="0059611F">
      <w:pPr>
        <w:pStyle w:val="image"/>
        <w:spacing w:line="276" w:lineRule="auto"/>
        <w:rPr>
          <w:rFonts w:ascii="sans serif" w:hAnsi="sans serif"/>
        </w:rPr>
      </w:pPr>
    </w:p>
    <w:p w14:paraId="754299AF" w14:textId="77777777" w:rsidR="0059611F" w:rsidRPr="006B3A08" w:rsidRDefault="0059611F" w:rsidP="0059611F">
      <w:pPr>
        <w:spacing w:before="0" w:after="0"/>
        <w:rPr>
          <w:rFonts w:eastAsiaTheme="majorEastAsia"/>
          <w:szCs w:val="29"/>
        </w:rPr>
      </w:pPr>
      <w:r w:rsidRPr="006B3A08">
        <w:br w:type="page"/>
      </w:r>
    </w:p>
    <w:p w14:paraId="170ED5D3" w14:textId="59866984" w:rsidR="0059611F" w:rsidRPr="006B3A08" w:rsidRDefault="0059611F" w:rsidP="0059611F">
      <w:pPr>
        <w:pStyle w:val="image"/>
        <w:spacing w:line="276" w:lineRule="auto"/>
      </w:pPr>
      <w:r w:rsidRPr="006B3A08">
        <w:lastRenderedPageBreak/>
        <w:drawing>
          <wp:anchor distT="0" distB="0" distL="114300" distR="114300" simplePos="0" relativeHeight="251664384" behindDoc="0" locked="0" layoutInCell="1" allowOverlap="1" wp14:anchorId="38098494" wp14:editId="3E06AF37">
            <wp:simplePos x="0" y="0"/>
            <wp:positionH relativeFrom="column">
              <wp:posOffset>-278130</wp:posOffset>
            </wp:positionH>
            <wp:positionV relativeFrom="paragraph">
              <wp:posOffset>0</wp:posOffset>
            </wp:positionV>
            <wp:extent cx="6302375" cy="5178425"/>
            <wp:effectExtent l="0" t="0" r="3175" b="3175"/>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02375" cy="5178425"/>
                    </a:xfrm>
                    <a:prstGeom prst="rect">
                      <a:avLst/>
                    </a:prstGeom>
                  </pic:spPr>
                </pic:pic>
              </a:graphicData>
            </a:graphic>
            <wp14:sizeRelH relativeFrom="margin">
              <wp14:pctWidth>0</wp14:pctWidth>
            </wp14:sizeRelH>
          </wp:anchor>
        </w:drawing>
      </w:r>
      <w:r w:rsidRPr="006B3A08">
        <w:rPr>
          <w:b/>
        </w:rPr>
        <w:t xml:space="preserve"> Fig. </w:t>
      </w:r>
      <w:r w:rsidR="00C96FAE">
        <w:rPr>
          <w:b/>
        </w:rPr>
        <w:t>S</w:t>
      </w:r>
      <w:r w:rsidR="00000374">
        <w:rPr>
          <w:b/>
        </w:rPr>
        <w:t>7</w:t>
      </w:r>
      <w:r w:rsidRPr="006B3A08">
        <w:rPr>
          <w:b/>
        </w:rPr>
        <w:t xml:space="preserve"> | </w:t>
      </w:r>
      <w:r w:rsidRPr="006B3A08">
        <w:rPr>
          <w:rStyle w:val="imageChar"/>
          <w:rFonts w:cs="Times New Roman"/>
          <w:b/>
        </w:rPr>
        <w:t>Stability and evolution of lithosphere for temperature independent rheology.</w:t>
      </w:r>
      <w:r w:rsidRPr="006B3A08">
        <w:rPr>
          <w:rStyle w:val="imageChar"/>
          <w:rFonts w:cs="Times New Roman"/>
        </w:rPr>
        <w:t xml:space="preserve"> Energy parameter, </w:t>
      </w:r>
      <m:oMath>
        <m:r>
          <m:rPr>
            <m:nor/>
          </m:rPr>
          <w:rPr>
            <w:rFonts w:cs="Times New Roman"/>
          </w:rPr>
          <m:t>ψ</m:t>
        </m:r>
      </m:oMath>
      <w:r w:rsidRPr="006B3A08">
        <w:t>,</w:t>
      </w:r>
      <w:r w:rsidRPr="006B3A08">
        <w:rPr>
          <w:rStyle w:val="imageChar"/>
          <w:rFonts w:cs="Times New Roman"/>
        </w:rPr>
        <w:t xml:space="preserve"> which is the ratio of the thermal and mechanical relaxation time scales, </w:t>
      </w:r>
      <w:r w:rsidRPr="006B3A08">
        <w:t>increases from bottom to top</w:t>
      </w:r>
      <w:r w:rsidRPr="006B3A08">
        <w:rPr>
          <w:rStyle w:val="imageChar"/>
          <w:rFonts w:cs="Times New Roman"/>
        </w:rPr>
        <w:t xml:space="preserve">. Each row represents an experiment with a fixed </w:t>
      </w:r>
      <m:oMath>
        <m:r>
          <m:rPr>
            <m:nor/>
          </m:rPr>
          <w:rPr>
            <w:rFonts w:cs="Times New Roman"/>
          </w:rPr>
          <m:t>ψ</m:t>
        </m:r>
      </m:oMath>
      <w:r w:rsidRPr="006B3A08">
        <w:t>, where panels: a</w:t>
      </w:r>
      <w:r w:rsidR="00916C1D">
        <w:t>-c</w:t>
      </w:r>
      <w:r w:rsidRPr="006B3A08">
        <w:t xml:space="preserve">) show the phase-diagram, </w:t>
      </w:r>
      <w:r w:rsidR="00916C1D">
        <w:t>d-f</w:t>
      </w:r>
      <w:r w:rsidRPr="006B3A08">
        <w:t xml:space="preserve">) time evolution of thickness, </w:t>
      </w:r>
      <w:r w:rsidR="00916C1D">
        <w:t>g-i</w:t>
      </w:r>
      <w:r w:rsidRPr="006B3A08">
        <w:t>) time evolution of temperature</w:t>
      </w:r>
      <w:r w:rsidRPr="006B3A08">
        <w:rPr>
          <w:rStyle w:val="imageChar"/>
          <w:rFonts w:cs="Times New Roman"/>
        </w:rPr>
        <w:t>. Oscillations in the crustal thickness and temperature evolution increase with</w:t>
      </w:r>
      <m:oMath>
        <m:r>
          <m:rPr>
            <m:nor/>
          </m:rPr>
          <w:rPr>
            <w:rFonts w:cs="Times New Roman"/>
          </w:rPr>
          <m:t xml:space="preserve"> ψ</m:t>
        </m:r>
      </m:oMath>
      <w:r w:rsidRPr="006B3A08">
        <w:t>, leading to</w:t>
      </w:r>
      <w:r w:rsidRPr="006B3A08">
        <w:rPr>
          <w:rStyle w:val="imageChar"/>
          <w:rFonts w:cs="Times New Roman"/>
        </w:rPr>
        <w:t xml:space="preserve"> </w:t>
      </w:r>
      <w:r w:rsidRPr="006B3A08">
        <w:t>run-away instability</w:t>
      </w:r>
      <w:r w:rsidRPr="006B3A08">
        <w:rPr>
          <w:rStyle w:val="imageChar"/>
          <w:rFonts w:cs="Times New Roman"/>
        </w:rPr>
        <w:t xml:space="preserve"> for </w:t>
      </w:r>
      <m:oMath>
        <m:r>
          <m:rPr>
            <m:nor/>
          </m:rPr>
          <w:rPr>
            <w:rFonts w:cs="Times New Roman"/>
          </w:rPr>
          <m:t>ψ</m:t>
        </m:r>
      </m:oMath>
      <w:r>
        <w:rPr>
          <w:rFonts w:cs="Times New Roman"/>
        </w:rPr>
        <w:t xml:space="preserve"> </w:t>
      </w:r>
      <w:r>
        <w:rPr>
          <w:rFonts w:ascii="Cambria Math" w:hAnsi="Cambria Math"/>
        </w:rPr>
        <w:t>≥</w:t>
      </w:r>
      <w:r w:rsidRPr="006B3A08">
        <w:t>1000 (top row).</w:t>
      </w:r>
    </w:p>
    <w:p w14:paraId="2F2DADE2" w14:textId="77777777" w:rsidR="0059611F" w:rsidRPr="006B3A08" w:rsidRDefault="0059611F" w:rsidP="0059611F">
      <w:pPr>
        <w:spacing w:before="0" w:after="0" w:line="240" w:lineRule="auto"/>
      </w:pPr>
      <w:r w:rsidRPr="006B3A08">
        <w:br w:type="page"/>
      </w:r>
    </w:p>
    <w:p w14:paraId="067493B7" w14:textId="77777777" w:rsidR="0059611F" w:rsidRPr="006B3A08" w:rsidRDefault="0059611F" w:rsidP="0059611F"/>
    <w:p w14:paraId="41539A70" w14:textId="77777777" w:rsidR="0059611F" w:rsidRPr="006B3A08" w:rsidRDefault="0059611F" w:rsidP="00E530DC">
      <w:pPr>
        <w:jc w:val="left"/>
      </w:pPr>
      <w:r w:rsidRPr="006B3A08">
        <w:drawing>
          <wp:inline distT="0" distB="0" distL="0" distR="0" wp14:anchorId="2A644B89" wp14:editId="530444C1">
            <wp:extent cx="6723994" cy="4431572"/>
            <wp:effectExtent l="0" t="0" r="127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723994" cy="4431572"/>
                    </a:xfrm>
                    <a:prstGeom prst="rect">
                      <a:avLst/>
                    </a:prstGeom>
                  </pic:spPr>
                </pic:pic>
              </a:graphicData>
            </a:graphic>
          </wp:inline>
        </w:drawing>
      </w:r>
    </w:p>
    <w:p w14:paraId="445AEFCF" w14:textId="61156032" w:rsidR="0059611F" w:rsidRPr="006B3A08" w:rsidRDefault="0059611F" w:rsidP="00C96FAE">
      <w:pPr>
        <w:pStyle w:val="image"/>
        <w:spacing w:line="276" w:lineRule="auto"/>
      </w:pPr>
      <w:r w:rsidRPr="006B3A08">
        <w:rPr>
          <w:rFonts w:cs="Times New Roman"/>
          <w:b/>
        </w:rPr>
        <w:t xml:space="preserve">Fig. </w:t>
      </w:r>
      <w:r w:rsidR="00C96FAE">
        <w:rPr>
          <w:rFonts w:cs="Times New Roman"/>
          <w:b/>
        </w:rPr>
        <w:t>S</w:t>
      </w:r>
      <w:r w:rsidR="00000374">
        <w:rPr>
          <w:rFonts w:cs="Times New Roman"/>
          <w:b/>
        </w:rPr>
        <w:t>8</w:t>
      </w:r>
      <w:r w:rsidRPr="006B3A08">
        <w:rPr>
          <w:rFonts w:cs="Times New Roman"/>
          <w:b/>
        </w:rPr>
        <w:t xml:space="preserve"> |</w:t>
      </w:r>
      <w:r w:rsidRPr="006B3A08">
        <w:rPr>
          <w:rFonts w:eastAsia="noto serif cjk sc" w:cs="Times New Roman"/>
          <w:b/>
          <w:szCs w:val="24"/>
        </w:rPr>
        <w:t xml:space="preserve"> </w:t>
      </w:r>
      <w:r w:rsidRPr="006B3A08">
        <w:rPr>
          <w:rStyle w:val="imageChar"/>
          <w:rFonts w:cs="Times New Roman"/>
          <w:b/>
        </w:rPr>
        <w:t>Stability and evolution of lithosphere for temperature dependent and non-linear rheology.</w:t>
      </w:r>
      <w:r w:rsidRPr="006B3A08">
        <w:rPr>
          <w:rStyle w:val="imageChar"/>
          <w:rFonts w:cs="Times New Roman"/>
        </w:rPr>
        <w:t xml:space="preserve"> Each row represents an experiment with different energy parameters,</w:t>
      </w:r>
      <m:oMath>
        <m:r>
          <m:rPr>
            <m:nor/>
          </m:rPr>
          <w:rPr>
            <w:rFonts w:cs="Times New Roman"/>
          </w:rPr>
          <m:t>ψ</m:t>
        </m:r>
      </m:oMath>
      <w:r w:rsidRPr="006B3A08">
        <w:rPr>
          <w:rFonts w:cs="Times New Roman"/>
        </w:rPr>
        <w:t>, and each column with different creep exponent, n ,</w:t>
      </w:r>
      <w:r>
        <w:rPr>
          <w:rFonts w:cs="Times New Roman"/>
        </w:rPr>
        <w:t xml:space="preserve"> </w:t>
      </w:r>
      <w:r w:rsidRPr="006B3A08">
        <w:rPr>
          <w:rFonts w:cs="Times New Roman"/>
        </w:rPr>
        <w:t xml:space="preserve">and creep activation energy, </w:t>
      </w:r>
      <m:oMath>
        <m:r>
          <m:rPr>
            <m:nor/>
          </m:rPr>
          <w:rPr>
            <w:rFonts w:cs="Times New Roman"/>
          </w:rPr>
          <m:t>ϕ</m:t>
        </m:r>
      </m:oMath>
      <w:r w:rsidRPr="006B3A08">
        <w:rPr>
          <w:rFonts w:cs="Times New Roman"/>
        </w:rPr>
        <w:t>.</w:t>
      </w:r>
      <w:r w:rsidR="00E530DC">
        <w:rPr>
          <w:rFonts w:cs="Times New Roman"/>
        </w:rPr>
        <w:t xml:space="preserve"> </w:t>
      </w:r>
      <w:r w:rsidR="00FF7325" w:rsidRPr="006B3A08">
        <w:rPr>
          <w:rStyle w:val="imageChar"/>
          <w:rFonts w:cs="Times New Roman"/>
        </w:rPr>
        <w:t xml:space="preserve">Oscillations in the crustal thickness and temperature evolution </w:t>
      </w:r>
      <w:r w:rsidR="00E530DC">
        <w:rPr>
          <w:rStyle w:val="imageChar"/>
          <w:rFonts w:cs="Times New Roman"/>
        </w:rPr>
        <w:t>are limited by the creep activation energy and exponent. A</w:t>
      </w:r>
      <w:r w:rsidR="00FF7325">
        <w:rPr>
          <w:rStyle w:val="imageChar"/>
          <w:rFonts w:cs="Times New Roman"/>
        </w:rPr>
        <w:t xml:space="preserve">ctivation energy for the creep </w:t>
      </w:r>
      <w:r w:rsidR="00E530DC">
        <w:rPr>
          <w:rStyle w:val="imageChar"/>
          <w:rFonts w:cs="Times New Roman"/>
        </w:rPr>
        <w:t xml:space="preserve">(i.e., temperature dependence) limit </w:t>
      </w:r>
      <w:r w:rsidR="00FF7325">
        <w:rPr>
          <w:rStyle w:val="imageChar"/>
          <w:rFonts w:cs="Times New Roman"/>
        </w:rPr>
        <w:t xml:space="preserve">the </w:t>
      </w:r>
      <w:r w:rsidR="0099652D">
        <w:rPr>
          <w:rStyle w:val="imageChar"/>
          <w:rFonts w:cs="Times New Roman"/>
        </w:rPr>
        <w:t>oscillations</w:t>
      </w:r>
      <w:r w:rsidR="00FF7325">
        <w:rPr>
          <w:rStyle w:val="imageChar"/>
          <w:rFonts w:cs="Times New Roman"/>
        </w:rPr>
        <w:t xml:space="preserve"> </w:t>
      </w:r>
      <w:r w:rsidR="00E530DC">
        <w:rPr>
          <w:rStyle w:val="imageChar"/>
          <w:rFonts w:cs="Times New Roman"/>
        </w:rPr>
        <w:t xml:space="preserve">such </w:t>
      </w:r>
      <w:r w:rsidR="00FF7325">
        <w:rPr>
          <w:rStyle w:val="imageChar"/>
          <w:rFonts w:cs="Times New Roman"/>
        </w:rPr>
        <w:t xml:space="preserve">that </w:t>
      </w:r>
      <w:r w:rsidR="00E530DC">
        <w:rPr>
          <w:rStyle w:val="imageChar"/>
          <w:rFonts w:cs="Times New Roman"/>
        </w:rPr>
        <w:t>the</w:t>
      </w:r>
      <w:r w:rsidR="00FF7325">
        <w:rPr>
          <w:rStyle w:val="imageChar"/>
          <w:rFonts w:cs="Times New Roman"/>
        </w:rPr>
        <w:t xml:space="preserve"> run-away extension without it at</w:t>
      </w:r>
      <w:r w:rsidR="00FF7325" w:rsidRPr="006B3A08">
        <w:rPr>
          <w:rStyle w:val="imageChar"/>
          <w:rFonts w:cs="Times New Roman"/>
        </w:rPr>
        <w:t xml:space="preserve"> </w:t>
      </w:r>
      <m:oMath>
        <m:r>
          <m:rPr>
            <m:nor/>
          </m:rPr>
          <w:rPr>
            <w:rFonts w:cs="Times New Roman"/>
          </w:rPr>
          <m:t>ψ</m:t>
        </m:r>
      </m:oMath>
      <w:r w:rsidR="00FF7325">
        <w:rPr>
          <w:rFonts w:cs="Times New Roman"/>
        </w:rPr>
        <w:t xml:space="preserve"> = 1000 (Fig. S7</w:t>
      </w:r>
      <w:r w:rsidR="00E530DC">
        <w:rPr>
          <w:rFonts w:cs="Times New Roman"/>
        </w:rPr>
        <w:t xml:space="preserve"> left column</w:t>
      </w:r>
      <w:r w:rsidR="00FF7325">
        <w:rPr>
          <w:rFonts w:cs="Times New Roman"/>
        </w:rPr>
        <w:t>) are attracted towards the equilibrium</w:t>
      </w:r>
      <w:r w:rsidR="00E530DC">
        <w:rPr>
          <w:rFonts w:cs="Times New Roman"/>
        </w:rPr>
        <w:t xml:space="preserve"> (see left column: a-c)</w:t>
      </w:r>
      <w:r w:rsidR="00FF7325">
        <w:rPr>
          <w:rFonts w:cs="Times New Roman"/>
        </w:rPr>
        <w:t>.</w:t>
      </w:r>
      <w:r w:rsidR="00E530DC">
        <w:rPr>
          <w:rFonts w:cs="Times New Roman"/>
        </w:rPr>
        <w:t xml:space="preserve"> On increasing the activation creep energy, oscillations are additionally limited by the non-linear rheology, n = 1.4 (rows: left to right), to damp the exponential growing oscillations.</w:t>
      </w:r>
      <w:r w:rsidR="00FF7325">
        <w:rPr>
          <w:rFonts w:cs="Times New Roman"/>
        </w:rPr>
        <w:t xml:space="preserve"> </w:t>
      </w:r>
      <w:r w:rsidRPr="006B3A08">
        <w:br w:type="page"/>
      </w:r>
    </w:p>
    <w:p w14:paraId="23780226" w14:textId="77777777" w:rsidR="00E13782" w:rsidRPr="006B3A08" w:rsidRDefault="00E13782" w:rsidP="00E13782">
      <w:pPr>
        <w:jc w:val="center"/>
        <w:rPr>
          <w:rStyle w:val="Heading1Char"/>
        </w:rPr>
      </w:pPr>
      <w:r w:rsidRPr="006B3A08">
        <w:lastRenderedPageBreak/>
        <w:drawing>
          <wp:inline distT="0" distB="0" distL="0" distR="0" wp14:anchorId="1E74A7F1" wp14:editId="269633AC">
            <wp:extent cx="5068782" cy="429393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68782" cy="4293937"/>
                    </a:xfrm>
                    <a:prstGeom prst="rect">
                      <a:avLst/>
                    </a:prstGeom>
                    <a:ln>
                      <a:noFill/>
                    </a:ln>
                  </pic:spPr>
                </pic:pic>
              </a:graphicData>
            </a:graphic>
          </wp:inline>
        </w:drawing>
      </w:r>
    </w:p>
    <w:p w14:paraId="4DF72C8B" w14:textId="2B2F164C" w:rsidR="00E13782" w:rsidRPr="006B3A08" w:rsidRDefault="00E13782" w:rsidP="00E13782">
      <w:pPr>
        <w:pStyle w:val="image"/>
        <w:spacing w:line="276" w:lineRule="auto"/>
        <w:rPr>
          <w:rFonts w:cs="Times New Roman"/>
        </w:rPr>
      </w:pPr>
      <w:r w:rsidRPr="006B3A08">
        <w:rPr>
          <w:rFonts w:cs="Times New Roman"/>
          <w:b/>
        </w:rPr>
        <w:t xml:space="preserve">Fig. </w:t>
      </w:r>
      <w:r w:rsidR="00C96FAE">
        <w:rPr>
          <w:rFonts w:cs="Times New Roman"/>
          <w:b/>
        </w:rPr>
        <w:t>S</w:t>
      </w:r>
      <w:r w:rsidR="00000374">
        <w:rPr>
          <w:rFonts w:cs="Times New Roman"/>
          <w:b/>
        </w:rPr>
        <w:t>9</w:t>
      </w:r>
      <w:r w:rsidRPr="006B3A08">
        <w:rPr>
          <w:rFonts w:cs="Times New Roman"/>
          <w:b/>
        </w:rPr>
        <w:t xml:space="preserve"> |</w:t>
      </w:r>
      <w:r w:rsidRPr="006B3A08">
        <w:rPr>
          <w:rFonts w:eastAsia="noto serif cjk sc" w:cs="Times New Roman"/>
          <w:b/>
          <w:szCs w:val="24"/>
        </w:rPr>
        <w:t xml:space="preserve"> </w:t>
      </w:r>
      <w:r>
        <w:rPr>
          <w:rFonts w:eastAsia="noto serif cjk sc" w:cs="Times New Roman"/>
          <w:b/>
          <w:szCs w:val="24"/>
        </w:rPr>
        <w:t>Energy dependence on the phase space</w:t>
      </w:r>
      <w:r w:rsidRPr="006B3A08">
        <w:rPr>
          <w:rStyle w:val="imageChar"/>
          <w:rFonts w:cs="Times New Roman"/>
          <w:b/>
        </w:rPr>
        <w:t>.</w:t>
      </w:r>
      <w:r w:rsidRPr="006B3A08">
        <w:rPr>
          <w:rStyle w:val="imageChar"/>
          <w:rFonts w:cs="Times New Roman"/>
        </w:rPr>
        <w:t xml:space="preserve"> Each row represents an experiment with different </w:t>
      </w:r>
      <m:oMath>
        <m:r>
          <m:rPr>
            <m:nor/>
          </m:rPr>
          <w:rPr>
            <w:rFonts w:cs="Times New Roman"/>
          </w:rPr>
          <m:t>ψ</m:t>
        </m:r>
      </m:oMath>
      <w:r>
        <w:rPr>
          <w:rFonts w:cs="Times New Roman"/>
        </w:rPr>
        <w:t xml:space="preserve"> (see the row title)</w:t>
      </w:r>
      <w:r w:rsidRPr="006B3A08">
        <w:rPr>
          <w:rFonts w:cs="Times New Roman"/>
        </w:rPr>
        <w:t xml:space="preserve">, and each column with different creep activation energy, </w:t>
      </w:r>
      <m:oMath>
        <m:r>
          <m:rPr>
            <m:nor/>
          </m:rPr>
          <w:rPr>
            <w:rFonts w:cs="Times New Roman"/>
          </w:rPr>
          <m:t>ϕ</m:t>
        </m:r>
      </m:oMath>
      <w:r w:rsidRPr="006B3A08">
        <w:rPr>
          <w:rFonts w:cs="Times New Roman"/>
        </w:rPr>
        <w:t xml:space="preserve">, RHP, </w:t>
      </w:r>
      <m:oMath>
        <m:r>
          <m:rPr>
            <m:nor/>
          </m:rPr>
          <w:rPr>
            <w:rFonts w:cs="Times New Roman"/>
          </w:rPr>
          <m:t>χ</m:t>
        </m:r>
      </m:oMath>
      <w:r>
        <w:rPr>
          <w:rFonts w:cs="Times New Roman"/>
        </w:rPr>
        <w:t xml:space="preserve"> (see the column title)</w:t>
      </w:r>
      <w:r w:rsidR="00E530DC">
        <w:rPr>
          <w:rFonts w:cs="Times New Roman"/>
        </w:rPr>
        <w:t xml:space="preserve"> and </w:t>
      </w:r>
      <w:r w:rsidR="00E530DC" w:rsidRPr="006B3A08">
        <w:rPr>
          <w:rFonts w:cs="Times New Roman"/>
        </w:rPr>
        <w:t>n</w:t>
      </w:r>
      <w:r w:rsidR="00E530DC">
        <w:rPr>
          <w:rFonts w:cs="Times New Roman"/>
        </w:rPr>
        <w:t xml:space="preserve"> =1.4</w:t>
      </w:r>
      <w:r w:rsidRPr="006B3A08">
        <w:rPr>
          <w:rFonts w:cs="Times New Roman"/>
        </w:rPr>
        <w:t xml:space="preserve">. Each panel show the </w:t>
      </w:r>
      <w:r>
        <w:rPr>
          <w:rFonts w:cs="Times New Roman"/>
        </w:rPr>
        <w:t>evolution of the perturbations in the phase space</w:t>
      </w:r>
      <w:r w:rsidRPr="006B3A08">
        <w:rPr>
          <w:rFonts w:cs="Times New Roman"/>
        </w:rPr>
        <w:t xml:space="preserve">. </w:t>
      </w:r>
      <w:r>
        <w:rPr>
          <w:rFonts w:cs="Times New Roman"/>
        </w:rPr>
        <w:t>Decreasing the ene</w:t>
      </w:r>
      <w:r w:rsidR="00E9704F">
        <w:rPr>
          <w:rFonts w:cs="Times New Roman"/>
        </w:rPr>
        <w:t>r</w:t>
      </w:r>
      <w:r>
        <w:rPr>
          <w:rFonts w:cs="Times New Roman"/>
        </w:rPr>
        <w:t xml:space="preserve">gy parameter (top to bottom), increases the overall viscosity, leading to longer time required for the pertubations to come back to the equilibrium. Increasing the RHP and activation energy (left to right) dampens the oscillation in crustal thickness leading to relatively shorter time to come back to the equilibrium.    </w:t>
      </w:r>
    </w:p>
    <w:p w14:paraId="45014E33" w14:textId="40C5E971" w:rsidR="0059611F" w:rsidRPr="006B3A08" w:rsidRDefault="0059611F" w:rsidP="00E13782">
      <w:pPr>
        <w:jc w:val="center"/>
      </w:pPr>
    </w:p>
    <w:p w14:paraId="4D746860" w14:textId="73471396" w:rsidR="00707D1E" w:rsidRDefault="00707D1E" w:rsidP="0059611F">
      <w:pPr>
        <w:spacing w:before="0" w:after="0" w:line="240" w:lineRule="auto"/>
      </w:pPr>
    </w:p>
    <w:p w14:paraId="6687C240" w14:textId="33F730D7" w:rsidR="007F5FF9" w:rsidRPr="006B3A08" w:rsidRDefault="007F5FF9" w:rsidP="00C96FAE">
      <w:r>
        <w:lastRenderedPageBreak/>
        <w:drawing>
          <wp:inline distT="0" distB="0" distL="0" distR="0" wp14:anchorId="2D197A01" wp14:editId="6DA4ED48">
            <wp:extent cx="5827393" cy="227252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_3_RHP_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27393" cy="2272520"/>
                    </a:xfrm>
                    <a:prstGeom prst="rect">
                      <a:avLst/>
                    </a:prstGeom>
                  </pic:spPr>
                </pic:pic>
              </a:graphicData>
            </a:graphic>
          </wp:inline>
        </w:drawing>
      </w:r>
    </w:p>
    <w:p w14:paraId="5E21E466" w14:textId="658CF69E" w:rsidR="001C1362" w:rsidRDefault="007F5FF9">
      <w:pPr>
        <w:spacing w:before="0" w:after="160" w:line="259" w:lineRule="auto"/>
        <w:jc w:val="left"/>
        <w:rPr>
          <w:rFonts w:eastAsiaTheme="majorEastAsia" w:cs="Mangal"/>
          <w:szCs w:val="29"/>
        </w:rPr>
      </w:pPr>
      <w:r w:rsidRPr="006B3A08">
        <w:rPr>
          <w:b/>
        </w:rPr>
        <w:t xml:space="preserve">Fig. </w:t>
      </w:r>
      <w:r w:rsidR="00C96FAE">
        <w:rPr>
          <w:b/>
        </w:rPr>
        <w:t>S</w:t>
      </w:r>
      <w:r w:rsidR="00000374">
        <w:rPr>
          <w:b/>
        </w:rPr>
        <w:t>10</w:t>
      </w:r>
      <w:r w:rsidRPr="006B3A08">
        <w:rPr>
          <w:b/>
        </w:rPr>
        <w:t xml:space="preserve"> |</w:t>
      </w:r>
      <w:r w:rsidRPr="006B3A08">
        <w:rPr>
          <w:rFonts w:eastAsia="noto serif cjk sc"/>
          <w:b/>
          <w:szCs w:val="24"/>
        </w:rPr>
        <w:t xml:space="preserve"> </w:t>
      </w:r>
      <w:r>
        <w:rPr>
          <w:rStyle w:val="imageChar"/>
          <w:rFonts w:cs="Times New Roman"/>
          <w:b/>
        </w:rPr>
        <w:t>Stability and evolution of the orogenic lithosphere</w:t>
      </w:r>
      <w:r w:rsidRPr="006B3A08">
        <w:rPr>
          <w:rStyle w:val="imageChar"/>
          <w:rFonts w:cs="Times New Roman"/>
          <w:b/>
        </w:rPr>
        <w:t xml:space="preserve"> with enhanced HPE.</w:t>
      </w:r>
      <w:r w:rsidRPr="006B3A08">
        <w:rPr>
          <w:rStyle w:val="imageChar"/>
          <w:rFonts w:cs="Times New Roman"/>
        </w:rPr>
        <w:t xml:space="preserve"> </w:t>
      </w:r>
      <w:r>
        <w:rPr>
          <w:rStyle w:val="imageChar"/>
          <w:rFonts w:cs="Times New Roman"/>
        </w:rPr>
        <w:t xml:space="preserve">In these experiments all the parameters are same as in Figure </w:t>
      </w:r>
      <w:r w:rsidR="008E7957">
        <w:rPr>
          <w:rStyle w:val="imageChar"/>
          <w:rFonts w:cs="Times New Roman"/>
        </w:rPr>
        <w:t>5</w:t>
      </w:r>
      <w:r>
        <w:rPr>
          <w:rStyle w:val="imageChar"/>
          <w:rFonts w:cs="Times New Roman"/>
        </w:rPr>
        <w:t xml:space="preserve"> in the main text except that the</w:t>
      </w:r>
      <w:r w:rsidR="00DB0AFD">
        <w:rPr>
          <w:rStyle w:val="imageChar"/>
          <w:rFonts w:cs="Times New Roman"/>
        </w:rPr>
        <w:t xml:space="preserve"> </w:t>
      </w:r>
      <w:r>
        <w:rPr>
          <w:rStyle w:val="imageChar"/>
          <w:rFonts w:cs="Times New Roman"/>
        </w:rPr>
        <w:t>HPE are doubled</w:t>
      </w:r>
      <w:r w:rsidR="0060562C">
        <w:rPr>
          <w:rStyle w:val="imageChar"/>
          <w:rFonts w:cs="Times New Roman"/>
        </w:rPr>
        <w:t>.</w:t>
      </w:r>
      <w:r>
        <w:t xml:space="preserve"> </w:t>
      </w:r>
      <w:r w:rsidR="001C1362">
        <w:br w:type="page"/>
      </w:r>
    </w:p>
    <w:p w14:paraId="08634888" w14:textId="77777777" w:rsidR="0059611F" w:rsidRPr="006B3A08" w:rsidRDefault="0059611F" w:rsidP="008E29D6"/>
    <w:p w14:paraId="2F2C3548" w14:textId="77777777" w:rsidR="0059611F" w:rsidRPr="006B3A08" w:rsidRDefault="0059611F" w:rsidP="0059611F">
      <w:pPr>
        <w:rPr>
          <w:rStyle w:val="Heading1Char"/>
        </w:rPr>
      </w:pPr>
      <w:r w:rsidRPr="006B3A08">
        <w:drawing>
          <wp:inline distT="0" distB="0" distL="0" distR="0" wp14:anchorId="2533EFB5" wp14:editId="547FB690">
            <wp:extent cx="6659879" cy="4439919"/>
            <wp:effectExtent l="0" t="0" r="0" b="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59879" cy="4439919"/>
                    </a:xfrm>
                    <a:prstGeom prst="rect">
                      <a:avLst/>
                    </a:prstGeom>
                  </pic:spPr>
                </pic:pic>
              </a:graphicData>
            </a:graphic>
          </wp:inline>
        </w:drawing>
      </w:r>
    </w:p>
    <w:p w14:paraId="58251799" w14:textId="6BDE01A2" w:rsidR="008835EA" w:rsidRDefault="0059611F" w:rsidP="00C96FAE">
      <w:pPr>
        <w:pStyle w:val="image"/>
        <w:spacing w:line="276" w:lineRule="auto"/>
      </w:pPr>
      <w:r w:rsidRPr="006B3A08">
        <w:rPr>
          <w:b/>
        </w:rPr>
        <w:t xml:space="preserve">Fig. </w:t>
      </w:r>
      <w:r w:rsidR="00C96FAE">
        <w:rPr>
          <w:b/>
        </w:rPr>
        <w:t>S</w:t>
      </w:r>
      <w:r w:rsidR="001870B0">
        <w:rPr>
          <w:b/>
        </w:rPr>
        <w:t>1</w:t>
      </w:r>
      <w:r w:rsidR="00000374">
        <w:rPr>
          <w:b/>
        </w:rPr>
        <w:t>1</w:t>
      </w:r>
      <w:r w:rsidR="00707D1E" w:rsidRPr="006B3A08">
        <w:rPr>
          <w:b/>
        </w:rPr>
        <w:t xml:space="preserve"> </w:t>
      </w:r>
      <w:r w:rsidRPr="006B3A08">
        <w:rPr>
          <w:b/>
        </w:rPr>
        <w:t xml:space="preserve">| </w:t>
      </w:r>
      <w:r w:rsidRPr="006B3A08">
        <w:rPr>
          <w:rStyle w:val="imageChar"/>
          <w:rFonts w:cs="Times New Roman"/>
          <w:b/>
        </w:rPr>
        <w:t>Log-log plot of the time constants for the thermal relaxation and mantle convection.</w:t>
      </w:r>
      <w:r w:rsidRPr="006B3A08">
        <w:rPr>
          <w:rStyle w:val="imageChar"/>
          <w:rFonts w:cs="Times New Roman"/>
        </w:rPr>
        <w:t xml:space="preserve"> Thermal relaxation time (dashed curve) is computed using </w:t>
      </w:r>
      <m:oMath>
        <m:sSub>
          <m:sSubPr>
            <m:ctrlPr>
              <w:rPr>
                <w:rFonts w:ascii="Cambria Math" w:hAnsi="Cambria Math" w:cs="Times New Roman"/>
              </w:rPr>
            </m:ctrlPr>
          </m:sSubPr>
          <m:e>
            <m:r>
              <m:rPr>
                <m:nor/>
              </m:rPr>
              <w:rPr>
                <w:rFonts w:cs="Times New Roman"/>
              </w:rPr>
              <m:t>τ</m:t>
            </m:r>
          </m:e>
          <m:sub>
            <m:r>
              <m:rPr>
                <m:nor/>
              </m:rPr>
              <w:rPr>
                <w:rFonts w:cs="Times New Roman"/>
              </w:rPr>
              <m:t>Thermal</m:t>
            </m:r>
          </m:sub>
        </m:sSub>
        <m:r>
          <m:rPr>
            <m:nor/>
          </m:rPr>
          <w:rPr>
            <w:rFonts w:cs="Times New Roman"/>
          </w:rPr>
          <m:t xml:space="preserve">~ </m:t>
        </m:r>
        <m:sSup>
          <m:sSupPr>
            <m:ctrlPr>
              <w:rPr>
                <w:rFonts w:ascii="Cambria Math" w:hAnsi="Cambria Math" w:cs="Times New Roman"/>
              </w:rPr>
            </m:ctrlPr>
          </m:sSupPr>
          <m:e>
            <m:r>
              <m:rPr>
                <m:nor/>
              </m:rPr>
              <w:rPr>
                <w:rFonts w:cs="Times New Roman"/>
              </w:rPr>
              <m:t>S</m:t>
            </m:r>
          </m:e>
          <m:sup>
            <m:r>
              <m:rPr>
                <m:nor/>
              </m:rPr>
              <w:rPr>
                <w:rFonts w:cs="Times New Roman"/>
              </w:rPr>
              <m:t>2</m:t>
            </m:r>
          </m:sup>
        </m:sSup>
        <m:r>
          <m:rPr>
            <m:nor/>
          </m:rPr>
          <w:rPr>
            <w:rFonts w:cs="Times New Roman"/>
          </w:rPr>
          <m:t>/</m:t>
        </m:r>
        <m:sSup>
          <m:sSupPr>
            <m:ctrlPr>
              <w:rPr>
                <w:rFonts w:ascii="Cambria Math" w:hAnsi="Cambria Math" w:cs="Times New Roman"/>
              </w:rPr>
            </m:ctrlPr>
          </m:sSupPr>
          <m:e>
            <m:r>
              <m:rPr>
                <m:nor/>
              </m:rPr>
              <w:rPr>
                <w:rFonts w:cs="Times New Roman"/>
              </w:rPr>
              <m:t>π</m:t>
            </m:r>
          </m:e>
          <m:sup>
            <m:r>
              <m:rPr>
                <m:nor/>
              </m:rPr>
              <w:rPr>
                <w:rFonts w:cs="Times New Roman"/>
              </w:rPr>
              <m:t>2</m:t>
            </m:r>
          </m:sup>
        </m:sSup>
        <m:r>
          <m:rPr>
            <m:nor/>
          </m:rPr>
          <w:rPr>
            <w:rFonts w:cs="Times New Roman"/>
          </w:rPr>
          <m:t xml:space="preserve">K </m:t>
        </m:r>
      </m:oMath>
      <w:r w:rsidRPr="006B3A08">
        <w:rPr>
          <w:rStyle w:val="imageChar"/>
          <w:rFonts w:cs="Times New Roman"/>
        </w:rPr>
        <w:t xml:space="preserve"> where S is the thickness of the plate, and K is the thermal diffusivity equal to 1E-06 m</w:t>
      </w:r>
      <w:r w:rsidRPr="006B3A08">
        <w:rPr>
          <w:rStyle w:val="imageChar"/>
          <w:rFonts w:cs="Times New Roman"/>
          <w:vertAlign w:val="superscript"/>
        </w:rPr>
        <w:t>2</w:t>
      </w:r>
      <w:r w:rsidRPr="006B3A08">
        <w:rPr>
          <w:rStyle w:val="imageChar"/>
          <w:rFonts w:cs="Times New Roman"/>
        </w:rPr>
        <w:t>/s. Mantle convection transit time (solid curves)</w:t>
      </w:r>
      <w:r w:rsidRPr="006B3A08">
        <w:rPr>
          <w:rStyle w:val="imageChar"/>
          <w:rFonts w:cs="Times New Roman"/>
          <w:b/>
        </w:rPr>
        <w:t xml:space="preserve"> </w:t>
      </w:r>
      <w:r w:rsidRPr="006B3A08">
        <w:rPr>
          <w:rStyle w:val="imageChar"/>
          <w:rFonts w:cs="Times New Roman"/>
        </w:rPr>
        <w:t>is calculate</w:t>
      </w:r>
      <w:r>
        <w:rPr>
          <w:rStyle w:val="imageChar"/>
          <w:rFonts w:cs="Times New Roman"/>
        </w:rPr>
        <w:t>d</w:t>
      </w:r>
      <w:r w:rsidRPr="006B3A08">
        <w:rPr>
          <w:rStyle w:val="imageChar"/>
          <w:rFonts w:cs="Times New Roman"/>
        </w:rPr>
        <w:t xml:space="preserve"> using </w:t>
      </w:r>
      <m:oMath>
        <m:sSub>
          <m:sSubPr>
            <m:ctrlPr>
              <w:rPr>
                <w:rFonts w:ascii="Cambria Math" w:hAnsi="Cambria Math" w:cs="Times New Roman"/>
              </w:rPr>
            </m:ctrlPr>
          </m:sSubPr>
          <m:e>
            <m:r>
              <m:rPr>
                <m:nor/>
              </m:rPr>
              <w:rPr>
                <w:rFonts w:cs="Times New Roman"/>
              </w:rPr>
              <m:t>τ</m:t>
            </m:r>
          </m:e>
          <m:sub>
            <m:r>
              <m:rPr>
                <m:nor/>
              </m:rPr>
              <w:rPr>
                <w:rFonts w:cs="Times New Roman"/>
              </w:rPr>
              <m:t>Convection</m:t>
            </m:r>
          </m:sub>
        </m:sSub>
        <m:r>
          <m:rPr>
            <m:nor/>
          </m:rPr>
          <w:rPr>
            <w:rFonts w:cs="Times New Roman"/>
          </w:rPr>
          <m:t xml:space="preserve">~(D-S)/V </m:t>
        </m:r>
      </m:oMath>
      <w:r w:rsidRPr="006B3A08">
        <w:rPr>
          <w:rStyle w:val="imageChar"/>
          <w:rFonts w:cs="Times New Roman"/>
        </w:rPr>
        <w:t xml:space="preserve"> where D-S is </w:t>
      </w:r>
      <w:r>
        <w:rPr>
          <w:rStyle w:val="imageChar"/>
          <w:rFonts w:cs="Times New Roman"/>
        </w:rPr>
        <w:t xml:space="preserve">the </w:t>
      </w:r>
      <w:r w:rsidRPr="006B3A08">
        <w:rPr>
          <w:rStyle w:val="imageChar"/>
          <w:rFonts w:cs="Times New Roman"/>
        </w:rPr>
        <w:t xml:space="preserve">length over which convection takes place, D </w:t>
      </w:r>
      <w:r>
        <w:rPr>
          <w:rStyle w:val="imageChar"/>
          <w:rFonts w:cs="Times New Roman"/>
        </w:rPr>
        <w:t>is</w:t>
      </w:r>
      <w:r w:rsidRPr="006B3A08">
        <w:rPr>
          <w:rStyle w:val="imageChar"/>
          <w:rFonts w:cs="Times New Roman"/>
        </w:rPr>
        <w:t xml:space="preserve"> the depth at which convection starts, coloured solid lines (for 3000 km, 660 km, and 410 km)</w:t>
      </w:r>
      <w:r>
        <w:rPr>
          <w:rStyle w:val="imageChar"/>
          <w:rFonts w:cs="Times New Roman"/>
        </w:rPr>
        <w:t>,</w:t>
      </w:r>
      <w:r w:rsidRPr="006B3A08">
        <w:rPr>
          <w:rStyle w:val="imageChar"/>
          <w:rFonts w:cs="Times New Roman"/>
        </w:rPr>
        <w:t xml:space="preserve"> and S </w:t>
      </w:r>
      <w:r>
        <w:rPr>
          <w:rStyle w:val="imageChar"/>
          <w:rFonts w:cs="Times New Roman"/>
        </w:rPr>
        <w:t>is</w:t>
      </w:r>
      <w:r w:rsidRPr="006B3A08">
        <w:rPr>
          <w:rStyle w:val="imageChar"/>
          <w:rFonts w:cs="Times New Roman"/>
        </w:rPr>
        <w:t xml:space="preserve"> the thickness of the plate</w:t>
      </w:r>
      <w:r w:rsidR="00384B44">
        <w:rPr>
          <w:rStyle w:val="imageChar"/>
          <w:rFonts w:cs="Times New Roman"/>
        </w:rPr>
        <w:t xml:space="preserve"> (along x-axis)</w:t>
      </w:r>
      <w:r w:rsidRPr="006B3A08">
        <w:rPr>
          <w:rStyle w:val="imageChar"/>
          <w:rFonts w:cs="Times New Roman"/>
        </w:rPr>
        <w:t>, and V is characteristic flow velocity with end-member velocities of 1cm/yr and 10 cm/yr</w:t>
      </w:r>
      <w:r w:rsidRPr="006B3A08">
        <w:rPr>
          <w:rStyle w:val="imageChar"/>
          <w:rFonts w:cs="Times New Roman"/>
        </w:rPr>
        <w:fldChar w:fldCharType="begin" w:fldLock="1"/>
      </w:r>
      <w:r w:rsidR="00700726">
        <w:rPr>
          <w:rStyle w:val="imageChar"/>
          <w:rFonts w:cs="Times New Roman"/>
        </w:rPr>
        <w:instrText>ADDIN CSL_CITATION {"citationItems":[{"id":"ITEM-1","itemData":{"DOI":"10.1126/science.288.5473.2002","ISSN":"0036-8075","abstract":"Plate tectonics and convection of the solid, rocky mantle are responsible for transporting heat out of Earth. However, the physics of plate tectonics is poorly understood; other planets do not exhibit it. Recent seismic evidence for convection and mixing throughout the mantle seems at odds with the chemical composition of erupted magmas requiring the presence of several chemically distinct reservoirs within the mantle. There has been rapid progress on these two problems, with the emergence of the first self-consistent models of plate tectonics and mantle convection, along with new geochemical models that may be consistent with seismic and dynamical constraints on mantle structure.","author":[{"dropping-particle":"","family":"Tackley","given":"Paul J","non-dropping-particle":"","parse-names":false,"suffix":""}],"container-title":"Science","id":"ITEM-1","issue":"5473","issued":{"date-parts":[["2000","6","16"]]},"page":"2002-2007","title":"Mantle Convection and Plate Tectonics: Toward an Integrated Physical and Chemical Theory","type":"article-journal","volume":"288"},"uris":["http://www.mendeley.com/documents/?uuid=bc156bd0-aa94-4e1a-8fed-06202c5d0b53"]},{"id":"ITEM-2","itemData":{"DOI":"10.1016/j.fluiddyn.2007.09.001","ISSN":"01695983","abstract":"The solid-state convection in the Earth mantle is characterized by plate tectonics, which shapes the tectonic activities of the Earth, and superplumes as broad hot regions chemically distinct from the surrounding regions in deep lower mantle. Recent numerical studies of mantle convection suggest that the rigidly moving plates occur on the Earth because the rupture strength of plate margins is sufficiently low, while that of plate interiors is high enough to inhibit spontaneous formation of new plate boundaries by the weight of the plates themselves. This implies that the activity of plate tectonics has fluctuated much in the Earth history. Recent numerical studies also suggest that the superplumes develop owing to the chemical differentiation of the mantle by ridge magmatism. Superplumes have probably induced frequent and vigorous hot spot volcanism in the early Earth. It is now within reach to construct an integrated model for tectonic and structural evolution of the mantle in the Earth and other terrestrial planets. © 2007 The Japan Society of Fluid Mechanics and Elsevier B.V.","author":[{"dropping-particle":"","family":"Ogawa","given":"Masaki","non-dropping-particle":"","parse-names":false,"suffix":""}],"container-title":"Fluid Dynamics Research","id":"ITEM-2","issue":"6","issued":{"date-parts":[["2008"]]},"page":"379-398","title":"Mantle convection: A review","type":"article-journal","volume":"40"},"uris":["http://www.mendeley.com/documents/?uuid=b8d942ec-2c04-4195-b8d7-7a703aedd30d"]}],"mendeley":{"formattedCitation":"(Ogawa 2008; Tackley 2000)","plainTextFormattedCitation":"(Ogawa 2008; Tackley 2000)","previouslyFormattedCitation":"&lt;sup&gt;14,15&lt;/sup&gt;"},"properties":{"noteIndex":0},"schema":"https://github.com/citation-style-language/schema/raw/master/csl-citation.json"}</w:instrText>
      </w:r>
      <w:r w:rsidRPr="006B3A08">
        <w:rPr>
          <w:rStyle w:val="imageChar"/>
          <w:rFonts w:cs="Times New Roman"/>
        </w:rPr>
        <w:fldChar w:fldCharType="separate"/>
      </w:r>
      <w:r w:rsidR="00700726" w:rsidRPr="00700726">
        <w:rPr>
          <w:rStyle w:val="imageChar"/>
          <w:rFonts w:cs="Times New Roman"/>
        </w:rPr>
        <w:t>(Ogawa 2008; Tackley 2000)</w:t>
      </w:r>
      <w:r w:rsidRPr="006B3A08">
        <w:rPr>
          <w:rStyle w:val="imageChar"/>
          <w:rFonts w:cs="Times New Roman"/>
        </w:rPr>
        <w:fldChar w:fldCharType="end"/>
      </w:r>
      <w:r w:rsidRPr="006B3A08">
        <w:rPr>
          <w:rStyle w:val="imageChar"/>
          <w:rFonts w:cs="Times New Roman"/>
        </w:rPr>
        <w:t xml:space="preserve">. Solid vertical lines denote </w:t>
      </w:r>
      <w:r>
        <w:rPr>
          <w:rStyle w:val="imageChar"/>
          <w:rFonts w:cs="Times New Roman"/>
        </w:rPr>
        <w:t xml:space="preserve">a </w:t>
      </w:r>
      <w:r w:rsidRPr="006B3A08">
        <w:rPr>
          <w:rStyle w:val="imageChar"/>
          <w:rFonts w:cs="Times New Roman"/>
        </w:rPr>
        <w:t xml:space="preserve">plate crustal thickness of 40 km and </w:t>
      </w:r>
      <w:r>
        <w:rPr>
          <w:rStyle w:val="imageChar"/>
          <w:rFonts w:cs="Times New Roman"/>
        </w:rPr>
        <w:t xml:space="preserve">a </w:t>
      </w:r>
      <w:r w:rsidRPr="006B3A08">
        <w:rPr>
          <w:rStyle w:val="imageChar"/>
          <w:rFonts w:cs="Times New Roman"/>
        </w:rPr>
        <w:t>plate thickness of 140 km.</w:t>
      </w:r>
    </w:p>
    <w:sectPr w:rsidR="008835EA" w:rsidSect="008450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erif cjk sc">
    <w:altName w:val="Gubb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ohit Devanagari">
    <w:altName w:val="Kokila"/>
    <w:charset w:val="00"/>
    <w:family w:val="roman"/>
    <w:pitch w:val="default"/>
    <w:sig w:usb0="80008023" w:usb1="00002042"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FreeSans"/>
    <w:panose1 w:val="020B0502040204020203"/>
    <w:charset w:val="00"/>
    <w:family w:val="swiss"/>
    <w:pitch w:val="variable"/>
    <w:sig w:usb0="E4002EFF" w:usb1="C000E47F" w:usb2="00000009" w:usb3="00000000" w:csb0="000001FF" w:csb1="00000000"/>
  </w:font>
  <w:font w:name="Liberation Sans">
    <w:altName w:val="Arial"/>
    <w:charset w:val="00"/>
    <w:family w:val="swiss"/>
    <w:pitch w:val="default"/>
    <w:sig w:usb0="A00002AF" w:usb1="500078FB" w:usb2="00000000" w:usb3="00000000" w:csb0="6000009F" w:csb1="DFD70000"/>
  </w:font>
  <w:font w:name="noto sans cjk sc">
    <w:altName w:val="Gubbi"/>
    <w:charset w:val="00"/>
    <w:family w:val="roman"/>
    <w:pitch w:val="default"/>
  </w:font>
  <w:font w:name="OpenSymbol">
    <w:altName w:val="Calibri"/>
    <w:charset w:val="00"/>
    <w:family w:val="auto"/>
    <w:pitch w:val="default"/>
    <w:sig w:usb0="800000AF" w:usb1="1001ECEA" w:usb2="00000000" w:usb3="00000000" w:csb0="00000001" w:csb1="00000000"/>
  </w:font>
  <w:font w:name="Helvetica">
    <w:panose1 w:val="020B0604020202020204"/>
    <w:charset w:val="00"/>
    <w:family w:val="auto"/>
    <w:pitch w:val="default"/>
    <w:sig w:usb0="00000000"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ans serif">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27509"/>
    <w:multiLevelType w:val="multilevel"/>
    <w:tmpl w:val="0E62750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69528B"/>
    <w:multiLevelType w:val="multilevel"/>
    <w:tmpl w:val="2D69528B"/>
    <w:lvl w:ilvl="0">
      <w:start w:val="5"/>
      <w:numFmt w:val="bullet"/>
      <w:lvlText w:val="-"/>
      <w:lvlJc w:val="left"/>
      <w:pPr>
        <w:ind w:left="720" w:hanging="360"/>
      </w:pPr>
      <w:rPr>
        <w:rFonts w:ascii="Times New Roman" w:eastAsia="noto serif cjk sc"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7F2B6A5E"/>
    <w:multiLevelType w:val="multilevel"/>
    <w:tmpl w:val="7F2B6A5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1tzC0sDCzNDQ3tbBQ0lEKTi0uzszPAymwrAUAsisncSwAAAA="/>
  </w:docVars>
  <w:rsids>
    <w:rsidRoot w:val="008835EA"/>
    <w:rsid w:val="00000374"/>
    <w:rsid w:val="000151FD"/>
    <w:rsid w:val="00053E0E"/>
    <w:rsid w:val="000D1066"/>
    <w:rsid w:val="000F1C57"/>
    <w:rsid w:val="000F43F1"/>
    <w:rsid w:val="00150E18"/>
    <w:rsid w:val="00152F56"/>
    <w:rsid w:val="001870B0"/>
    <w:rsid w:val="001C1362"/>
    <w:rsid w:val="00204C21"/>
    <w:rsid w:val="00205FA1"/>
    <w:rsid w:val="002122CC"/>
    <w:rsid w:val="002536D2"/>
    <w:rsid w:val="0025618C"/>
    <w:rsid w:val="002877BB"/>
    <w:rsid w:val="002949E3"/>
    <w:rsid w:val="002D49FD"/>
    <w:rsid w:val="003252D3"/>
    <w:rsid w:val="00335DD5"/>
    <w:rsid w:val="00341403"/>
    <w:rsid w:val="00384B44"/>
    <w:rsid w:val="003B13A5"/>
    <w:rsid w:val="003E43C5"/>
    <w:rsid w:val="0041038F"/>
    <w:rsid w:val="00413658"/>
    <w:rsid w:val="00460076"/>
    <w:rsid w:val="00461677"/>
    <w:rsid w:val="00475384"/>
    <w:rsid w:val="00520399"/>
    <w:rsid w:val="00546689"/>
    <w:rsid w:val="00565549"/>
    <w:rsid w:val="0059611F"/>
    <w:rsid w:val="005B55A9"/>
    <w:rsid w:val="005C4D4A"/>
    <w:rsid w:val="005E2E77"/>
    <w:rsid w:val="005F1BA3"/>
    <w:rsid w:val="0060562C"/>
    <w:rsid w:val="006362B9"/>
    <w:rsid w:val="006670F6"/>
    <w:rsid w:val="00700726"/>
    <w:rsid w:val="00707D1E"/>
    <w:rsid w:val="007150CA"/>
    <w:rsid w:val="00771E57"/>
    <w:rsid w:val="00773C45"/>
    <w:rsid w:val="007815D7"/>
    <w:rsid w:val="007A741C"/>
    <w:rsid w:val="007D29A9"/>
    <w:rsid w:val="007F5FF9"/>
    <w:rsid w:val="008043A3"/>
    <w:rsid w:val="008067B2"/>
    <w:rsid w:val="008450D6"/>
    <w:rsid w:val="008750DB"/>
    <w:rsid w:val="008830CF"/>
    <w:rsid w:val="008835EA"/>
    <w:rsid w:val="008B01C6"/>
    <w:rsid w:val="008E29D6"/>
    <w:rsid w:val="008E7957"/>
    <w:rsid w:val="00901EF3"/>
    <w:rsid w:val="0090590A"/>
    <w:rsid w:val="00916C1D"/>
    <w:rsid w:val="00936A35"/>
    <w:rsid w:val="00964956"/>
    <w:rsid w:val="0099652D"/>
    <w:rsid w:val="009B33AE"/>
    <w:rsid w:val="009D346D"/>
    <w:rsid w:val="00A17E78"/>
    <w:rsid w:val="00A62108"/>
    <w:rsid w:val="00A908DE"/>
    <w:rsid w:val="00A95B49"/>
    <w:rsid w:val="00A96FAE"/>
    <w:rsid w:val="00AA0C1B"/>
    <w:rsid w:val="00AC6DD5"/>
    <w:rsid w:val="00AE6E42"/>
    <w:rsid w:val="00AF5F1C"/>
    <w:rsid w:val="00B25D1D"/>
    <w:rsid w:val="00B31B8C"/>
    <w:rsid w:val="00B43A9C"/>
    <w:rsid w:val="00B43DF3"/>
    <w:rsid w:val="00B43E92"/>
    <w:rsid w:val="00BA083B"/>
    <w:rsid w:val="00BE668E"/>
    <w:rsid w:val="00C9639B"/>
    <w:rsid w:val="00C96FAE"/>
    <w:rsid w:val="00CB1C93"/>
    <w:rsid w:val="00CB3582"/>
    <w:rsid w:val="00CC1647"/>
    <w:rsid w:val="00CE2A1D"/>
    <w:rsid w:val="00D675CC"/>
    <w:rsid w:val="00DB0AFD"/>
    <w:rsid w:val="00DC09BB"/>
    <w:rsid w:val="00E13782"/>
    <w:rsid w:val="00E22AD5"/>
    <w:rsid w:val="00E36E62"/>
    <w:rsid w:val="00E4549E"/>
    <w:rsid w:val="00E530DC"/>
    <w:rsid w:val="00E53537"/>
    <w:rsid w:val="00E671B2"/>
    <w:rsid w:val="00E9704F"/>
    <w:rsid w:val="00EC76F5"/>
    <w:rsid w:val="00EE75F4"/>
    <w:rsid w:val="00F13E1F"/>
    <w:rsid w:val="00F15B63"/>
    <w:rsid w:val="00F405F8"/>
    <w:rsid w:val="00F6522F"/>
    <w:rsid w:val="00F85FFC"/>
    <w:rsid w:val="00F86B60"/>
    <w:rsid w:val="00FF2196"/>
    <w:rsid w:val="00FF73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008FC"/>
  <w15:chartTrackingRefBased/>
  <w15:docId w15:val="{3C1F7E23-08A4-42B8-8899-B79F84BF2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Symbol" w:eastAsiaTheme="minorHAnsi" w:hAnsi="Symbol" w:cs="Lohit Devanagari"/>
        <w:sz w:val="24"/>
        <w:szCs w:val="24"/>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2AD5"/>
    <w:pPr>
      <w:spacing w:before="120" w:after="120" w:line="360" w:lineRule="auto"/>
      <w:jc w:val="both"/>
    </w:pPr>
    <w:rPr>
      <w:rFonts w:ascii="Times New Roman" w:eastAsia="SimSun" w:hAnsi="Times New Roman" w:cs="Times New Roman"/>
      <w:noProof/>
      <w:szCs w:val="20"/>
      <w:lang w:eastAsia="en-GB"/>
    </w:rPr>
  </w:style>
  <w:style w:type="paragraph" w:styleId="Heading1">
    <w:name w:val="heading 1"/>
    <w:basedOn w:val="Normal"/>
    <w:next w:val="Normal"/>
    <w:link w:val="Heading1Char"/>
    <w:uiPriority w:val="9"/>
    <w:qFormat/>
    <w:rsid w:val="008835EA"/>
    <w:pPr>
      <w:keepNext/>
      <w:keepLines/>
      <w:spacing w:before="360" w:after="0"/>
      <w:outlineLvl w:val="0"/>
    </w:pPr>
    <w:rPr>
      <w:rFonts w:eastAsiaTheme="majorEastAsia" w:cs="Mangal"/>
      <w:b/>
      <w:szCs w:val="29"/>
    </w:rPr>
  </w:style>
  <w:style w:type="paragraph" w:styleId="Heading2">
    <w:name w:val="heading 2"/>
    <w:basedOn w:val="Normal"/>
    <w:next w:val="Normal"/>
    <w:link w:val="Heading2Char"/>
    <w:uiPriority w:val="9"/>
    <w:unhideWhenUsed/>
    <w:qFormat/>
    <w:rsid w:val="00B43E92"/>
    <w:pPr>
      <w:keepNext/>
      <w:keepLines/>
      <w:spacing w:before="40" w:after="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59611F"/>
    <w:pPr>
      <w:keepNext/>
      <w:keepLines/>
      <w:spacing w:before="40" w:after="0"/>
      <w:outlineLvl w:val="2"/>
    </w:pPr>
    <w:rPr>
      <w:rFonts w:asciiTheme="majorHAnsi" w:eastAsiaTheme="majorEastAsia" w:hAnsiTheme="majorHAnsi" w:cs="Mangal"/>
      <w:color w:val="1F3864" w:themeColor="accent1" w:themeShade="80"/>
      <w:szCs w:val="21"/>
    </w:rPr>
  </w:style>
  <w:style w:type="paragraph" w:styleId="Heading4">
    <w:name w:val="heading 4"/>
    <w:basedOn w:val="Normal"/>
    <w:next w:val="Normal"/>
    <w:link w:val="Heading4Char"/>
    <w:uiPriority w:val="9"/>
    <w:unhideWhenUsed/>
    <w:qFormat/>
    <w:rsid w:val="0059611F"/>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rsid w:val="0059611F"/>
    <w:pPr>
      <w:keepNext/>
      <w:keepLines/>
      <w:spacing w:before="320" w:after="200"/>
      <w:outlineLvl w:val="4"/>
    </w:pPr>
    <w:rPr>
      <w:rFonts w:ascii="Arial" w:eastAsia="Arial" w:hAnsi="Arial" w:cs="Arial"/>
      <w:b/>
      <w:bCs/>
    </w:rPr>
  </w:style>
  <w:style w:type="paragraph" w:styleId="Heading6">
    <w:name w:val="heading 6"/>
    <w:basedOn w:val="Normal"/>
    <w:next w:val="Normal"/>
    <w:link w:val="Heading6Char"/>
    <w:uiPriority w:val="9"/>
    <w:unhideWhenUsed/>
    <w:qFormat/>
    <w:rsid w:val="0059611F"/>
    <w:pPr>
      <w:keepNext/>
      <w:keepLines/>
      <w:spacing w:before="320" w:after="200"/>
      <w:outlineLvl w:val="5"/>
    </w:pPr>
    <w:rPr>
      <w:rFonts w:ascii="Arial" w:eastAsia="Arial" w:hAnsi="Arial" w:cs="Arial"/>
      <w:b/>
      <w:bCs/>
      <w:sz w:val="22"/>
      <w:szCs w:val="22"/>
    </w:rPr>
  </w:style>
  <w:style w:type="paragraph" w:styleId="Heading7">
    <w:name w:val="heading 7"/>
    <w:basedOn w:val="Normal"/>
    <w:next w:val="Normal"/>
    <w:link w:val="Heading7Char"/>
    <w:uiPriority w:val="9"/>
    <w:unhideWhenUsed/>
    <w:qFormat/>
    <w:rsid w:val="0059611F"/>
    <w:pPr>
      <w:keepNext/>
      <w:keepLines/>
      <w:spacing w:before="320" w:after="200"/>
      <w:outlineLvl w:val="6"/>
    </w:pPr>
    <w:rPr>
      <w:rFonts w:ascii="Arial" w:eastAsia="Arial" w:hAnsi="Arial" w:cs="Arial"/>
      <w:b/>
      <w:bCs/>
      <w:i/>
      <w:iCs/>
      <w:sz w:val="22"/>
      <w:szCs w:val="22"/>
    </w:rPr>
  </w:style>
  <w:style w:type="paragraph" w:styleId="Heading8">
    <w:name w:val="heading 8"/>
    <w:basedOn w:val="Normal"/>
    <w:next w:val="Normal"/>
    <w:link w:val="Heading8Char"/>
    <w:uiPriority w:val="9"/>
    <w:unhideWhenUsed/>
    <w:qFormat/>
    <w:rsid w:val="0059611F"/>
    <w:pPr>
      <w:keepNext/>
      <w:keepLines/>
      <w:spacing w:before="320" w:after="200"/>
      <w:outlineLvl w:val="7"/>
    </w:pPr>
    <w:rPr>
      <w:rFonts w:ascii="Arial" w:eastAsia="Arial" w:hAnsi="Arial" w:cs="Arial"/>
      <w:i/>
      <w:iCs/>
      <w:sz w:val="22"/>
      <w:szCs w:val="22"/>
    </w:rPr>
  </w:style>
  <w:style w:type="paragraph" w:styleId="Heading9">
    <w:name w:val="heading 9"/>
    <w:basedOn w:val="Normal"/>
    <w:next w:val="Normal"/>
    <w:link w:val="Heading9Char"/>
    <w:uiPriority w:val="9"/>
    <w:unhideWhenUsed/>
    <w:qFormat/>
    <w:rsid w:val="0059611F"/>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8835EA"/>
    <w:rPr>
      <w:rFonts w:ascii="Times New Roman" w:eastAsiaTheme="majorEastAsia" w:hAnsi="Times New Roman" w:cs="Mangal"/>
      <w:b/>
      <w:szCs w:val="29"/>
      <w:lang w:eastAsia="en-GB"/>
    </w:rPr>
  </w:style>
  <w:style w:type="character" w:styleId="CommentReference">
    <w:name w:val="annotation reference"/>
    <w:basedOn w:val="DefaultParagraphFont"/>
    <w:uiPriority w:val="99"/>
    <w:semiHidden/>
    <w:unhideWhenUsed/>
    <w:qFormat/>
    <w:rsid w:val="008835EA"/>
    <w:rPr>
      <w:sz w:val="18"/>
      <w:szCs w:val="18"/>
    </w:rPr>
  </w:style>
  <w:style w:type="paragraph" w:customStyle="1" w:styleId="Standard1">
    <w:name w:val="Standard1"/>
    <w:qFormat/>
    <w:rsid w:val="008835EA"/>
    <w:pPr>
      <w:spacing w:after="0" w:line="240" w:lineRule="auto"/>
    </w:pPr>
    <w:rPr>
      <w:rFonts w:ascii="Arial" w:eastAsia="noto serif cjk sc" w:hAnsi="Arial"/>
      <w:lang w:eastAsia="zh-CN" w:bidi="hi-IN"/>
    </w:rPr>
  </w:style>
  <w:style w:type="paragraph" w:styleId="Title">
    <w:name w:val="Title"/>
    <w:basedOn w:val="Normal"/>
    <w:next w:val="Normal"/>
    <w:link w:val="TitleChar"/>
    <w:uiPriority w:val="10"/>
    <w:qFormat/>
    <w:rsid w:val="008835EA"/>
    <w:pPr>
      <w:contextualSpacing/>
    </w:pPr>
    <w:rPr>
      <w:rFonts w:asciiTheme="majorHAnsi" w:eastAsiaTheme="majorEastAsia" w:hAnsiTheme="majorHAnsi" w:cs="Mangal"/>
      <w:spacing w:val="-10"/>
      <w:sz w:val="56"/>
      <w:szCs w:val="50"/>
    </w:rPr>
  </w:style>
  <w:style w:type="character" w:customStyle="1" w:styleId="TitleChar">
    <w:name w:val="Title Char"/>
    <w:basedOn w:val="DefaultParagraphFont"/>
    <w:link w:val="Title"/>
    <w:uiPriority w:val="10"/>
    <w:qFormat/>
    <w:rsid w:val="008835EA"/>
    <w:rPr>
      <w:rFonts w:asciiTheme="majorHAnsi" w:eastAsiaTheme="majorEastAsia" w:hAnsiTheme="majorHAnsi" w:cs="Mangal"/>
      <w:spacing w:val="-10"/>
      <w:sz w:val="56"/>
      <w:szCs w:val="50"/>
      <w:lang w:eastAsia="en-GB"/>
    </w:rPr>
  </w:style>
  <w:style w:type="table" w:customStyle="1" w:styleId="ListTable1Light1">
    <w:name w:val="List Table 1 Light1"/>
    <w:basedOn w:val="TableNormal"/>
    <w:uiPriority w:val="99"/>
    <w:qFormat/>
    <w:rsid w:val="00A96FAE"/>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000000" w:themeColor="text1"/>
          <w:right w:val="nil"/>
        </w:tcBorders>
      </w:tcPr>
    </w:tblStylePr>
    <w:tblStylePr w:type="lastRow">
      <w:rPr>
        <w:b/>
        <w:color w:val="404040"/>
      </w:rPr>
      <w:tblPr/>
      <w:tcPr>
        <w:tcBorders>
          <w:top w:val="single" w:sz="4" w:space="0" w:color="000000" w:themeColor="text1"/>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paragraph" w:customStyle="1" w:styleId="Index">
    <w:name w:val="Index"/>
    <w:basedOn w:val="Standard1"/>
    <w:qFormat/>
    <w:rsid w:val="00A96FAE"/>
    <w:pPr>
      <w:suppressLineNumbers/>
    </w:pPr>
    <w:rPr>
      <w:rFonts w:eastAsia="Arial"/>
    </w:rPr>
  </w:style>
  <w:style w:type="paragraph" w:customStyle="1" w:styleId="image">
    <w:name w:val="image"/>
    <w:basedOn w:val="Heading1"/>
    <w:link w:val="imageChar"/>
    <w:qFormat/>
    <w:rsid w:val="00A96FAE"/>
    <w:pPr>
      <w:spacing w:after="360" w:line="240" w:lineRule="auto"/>
    </w:pPr>
    <w:rPr>
      <w:b w:val="0"/>
    </w:rPr>
  </w:style>
  <w:style w:type="character" w:customStyle="1" w:styleId="imageChar">
    <w:name w:val="image Char"/>
    <w:basedOn w:val="DefaultParagraphFont"/>
    <w:link w:val="image"/>
    <w:qFormat/>
    <w:rsid w:val="00A96FAE"/>
    <w:rPr>
      <w:rFonts w:ascii="Times New Roman" w:eastAsiaTheme="majorEastAsia" w:hAnsi="Times New Roman" w:cs="Mangal"/>
      <w:szCs w:val="29"/>
      <w:lang w:eastAsia="en-GB"/>
    </w:rPr>
  </w:style>
  <w:style w:type="paragraph" w:styleId="CommentText">
    <w:name w:val="annotation text"/>
    <w:basedOn w:val="Normal"/>
    <w:link w:val="CommentTextChar"/>
    <w:uiPriority w:val="99"/>
    <w:unhideWhenUsed/>
    <w:qFormat/>
    <w:rsid w:val="00A95B49"/>
    <w:pPr>
      <w:spacing w:line="240" w:lineRule="auto"/>
    </w:pPr>
    <w:rPr>
      <w:sz w:val="20"/>
    </w:rPr>
  </w:style>
  <w:style w:type="character" w:customStyle="1" w:styleId="CommentTextChar">
    <w:name w:val="Comment Text Char"/>
    <w:basedOn w:val="DefaultParagraphFont"/>
    <w:link w:val="CommentText"/>
    <w:uiPriority w:val="99"/>
    <w:qFormat/>
    <w:rsid w:val="00A95B49"/>
    <w:rPr>
      <w:rFonts w:ascii="Times New Roman" w:eastAsia="SimSu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qFormat/>
    <w:rsid w:val="00A95B49"/>
    <w:rPr>
      <w:b/>
      <w:bCs/>
    </w:rPr>
  </w:style>
  <w:style w:type="character" w:customStyle="1" w:styleId="CommentSubjectChar">
    <w:name w:val="Comment Subject Char"/>
    <w:basedOn w:val="CommentTextChar"/>
    <w:link w:val="CommentSubject"/>
    <w:uiPriority w:val="99"/>
    <w:semiHidden/>
    <w:qFormat/>
    <w:rsid w:val="00A95B49"/>
    <w:rPr>
      <w:rFonts w:ascii="Times New Roman" w:eastAsia="SimSun" w:hAnsi="Times New Roman" w:cs="Times New Roman"/>
      <w:b/>
      <w:bCs/>
      <w:sz w:val="20"/>
      <w:szCs w:val="20"/>
      <w:lang w:eastAsia="en-GB"/>
    </w:rPr>
  </w:style>
  <w:style w:type="paragraph" w:styleId="BalloonText">
    <w:name w:val="Balloon Text"/>
    <w:basedOn w:val="Normal"/>
    <w:link w:val="BalloonTextChar"/>
    <w:uiPriority w:val="99"/>
    <w:semiHidden/>
    <w:unhideWhenUsed/>
    <w:qFormat/>
    <w:rsid w:val="00A95B49"/>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A95B49"/>
    <w:rPr>
      <w:rFonts w:ascii="Segoe UI" w:eastAsia="SimSun" w:hAnsi="Segoe UI" w:cs="Segoe UI"/>
      <w:sz w:val="18"/>
      <w:szCs w:val="18"/>
      <w:lang w:eastAsia="en-GB"/>
    </w:rPr>
  </w:style>
  <w:style w:type="character" w:customStyle="1" w:styleId="Heading2Char">
    <w:name w:val="Heading 2 Char"/>
    <w:basedOn w:val="DefaultParagraphFont"/>
    <w:link w:val="Heading2"/>
    <w:uiPriority w:val="9"/>
    <w:qFormat/>
    <w:rsid w:val="00B43E92"/>
    <w:rPr>
      <w:rFonts w:ascii="Times New Roman" w:eastAsiaTheme="majorEastAsia" w:hAnsi="Times New Roman" w:cstheme="majorBidi"/>
      <w:b/>
      <w:sz w:val="26"/>
      <w:szCs w:val="26"/>
      <w:lang w:eastAsia="en-GB"/>
    </w:rPr>
  </w:style>
  <w:style w:type="character" w:customStyle="1" w:styleId="Heading3Char">
    <w:name w:val="Heading 3 Char"/>
    <w:basedOn w:val="DefaultParagraphFont"/>
    <w:link w:val="Heading3"/>
    <w:uiPriority w:val="9"/>
    <w:qFormat/>
    <w:rsid w:val="0059611F"/>
    <w:rPr>
      <w:rFonts w:asciiTheme="majorHAnsi" w:eastAsiaTheme="majorEastAsia" w:hAnsiTheme="majorHAnsi" w:cs="Mangal"/>
      <w:color w:val="1F3864" w:themeColor="accent1" w:themeShade="80"/>
      <w:szCs w:val="21"/>
      <w:lang w:eastAsia="en-GB"/>
    </w:rPr>
  </w:style>
  <w:style w:type="character" w:customStyle="1" w:styleId="Heading4Char">
    <w:name w:val="Heading 4 Char"/>
    <w:basedOn w:val="DefaultParagraphFont"/>
    <w:link w:val="Heading4"/>
    <w:uiPriority w:val="9"/>
    <w:qFormat/>
    <w:rsid w:val="0059611F"/>
    <w:rPr>
      <w:rFonts w:ascii="Arial" w:eastAsia="Arial" w:hAnsi="Arial" w:cs="Arial"/>
      <w:b/>
      <w:bCs/>
      <w:sz w:val="26"/>
      <w:szCs w:val="26"/>
      <w:lang w:eastAsia="en-GB"/>
    </w:rPr>
  </w:style>
  <w:style w:type="character" w:customStyle="1" w:styleId="Heading5Char">
    <w:name w:val="Heading 5 Char"/>
    <w:basedOn w:val="DefaultParagraphFont"/>
    <w:link w:val="Heading5"/>
    <w:uiPriority w:val="9"/>
    <w:qFormat/>
    <w:rsid w:val="0059611F"/>
    <w:rPr>
      <w:rFonts w:ascii="Arial" w:eastAsia="Arial" w:hAnsi="Arial" w:cs="Arial"/>
      <w:b/>
      <w:bCs/>
      <w:szCs w:val="20"/>
      <w:lang w:eastAsia="en-GB"/>
    </w:rPr>
  </w:style>
  <w:style w:type="character" w:customStyle="1" w:styleId="Heading6Char">
    <w:name w:val="Heading 6 Char"/>
    <w:basedOn w:val="DefaultParagraphFont"/>
    <w:link w:val="Heading6"/>
    <w:uiPriority w:val="9"/>
    <w:qFormat/>
    <w:rsid w:val="0059611F"/>
    <w:rPr>
      <w:rFonts w:ascii="Arial" w:eastAsia="Arial" w:hAnsi="Arial" w:cs="Arial"/>
      <w:b/>
      <w:bCs/>
      <w:sz w:val="22"/>
      <w:szCs w:val="22"/>
      <w:lang w:eastAsia="en-GB"/>
    </w:rPr>
  </w:style>
  <w:style w:type="character" w:customStyle="1" w:styleId="Heading7Char">
    <w:name w:val="Heading 7 Char"/>
    <w:basedOn w:val="DefaultParagraphFont"/>
    <w:link w:val="Heading7"/>
    <w:uiPriority w:val="9"/>
    <w:qFormat/>
    <w:rsid w:val="0059611F"/>
    <w:rPr>
      <w:rFonts w:ascii="Arial" w:eastAsia="Arial" w:hAnsi="Arial" w:cs="Arial"/>
      <w:b/>
      <w:bCs/>
      <w:i/>
      <w:iCs/>
      <w:sz w:val="22"/>
      <w:szCs w:val="22"/>
      <w:lang w:eastAsia="en-GB"/>
    </w:rPr>
  </w:style>
  <w:style w:type="character" w:customStyle="1" w:styleId="Heading8Char">
    <w:name w:val="Heading 8 Char"/>
    <w:basedOn w:val="DefaultParagraphFont"/>
    <w:link w:val="Heading8"/>
    <w:uiPriority w:val="9"/>
    <w:qFormat/>
    <w:rsid w:val="0059611F"/>
    <w:rPr>
      <w:rFonts w:ascii="Arial" w:eastAsia="Arial" w:hAnsi="Arial" w:cs="Arial"/>
      <w:i/>
      <w:iCs/>
      <w:sz w:val="22"/>
      <w:szCs w:val="22"/>
      <w:lang w:eastAsia="en-GB"/>
    </w:rPr>
  </w:style>
  <w:style w:type="character" w:customStyle="1" w:styleId="Heading9Char">
    <w:name w:val="Heading 9 Char"/>
    <w:basedOn w:val="DefaultParagraphFont"/>
    <w:link w:val="Heading9"/>
    <w:uiPriority w:val="9"/>
    <w:qFormat/>
    <w:rsid w:val="0059611F"/>
    <w:rPr>
      <w:rFonts w:ascii="Arial" w:eastAsia="Arial" w:hAnsi="Arial" w:cs="Arial"/>
      <w:i/>
      <w:iCs/>
      <w:sz w:val="21"/>
      <w:szCs w:val="21"/>
      <w:lang w:eastAsia="en-GB"/>
    </w:rPr>
  </w:style>
  <w:style w:type="paragraph" w:styleId="Caption">
    <w:name w:val="caption"/>
    <w:basedOn w:val="Standard1"/>
    <w:next w:val="Normal"/>
    <w:qFormat/>
    <w:rsid w:val="0059611F"/>
    <w:pPr>
      <w:suppressLineNumbers/>
      <w:spacing w:before="120" w:after="120"/>
    </w:pPr>
    <w:rPr>
      <w:rFonts w:eastAsia="Arial"/>
      <w:i/>
      <w:iCs/>
    </w:rPr>
  </w:style>
  <w:style w:type="character" w:styleId="EndnoteReference">
    <w:name w:val="endnote reference"/>
    <w:basedOn w:val="DefaultParagraphFont"/>
    <w:uiPriority w:val="99"/>
    <w:semiHidden/>
    <w:unhideWhenUsed/>
    <w:qFormat/>
    <w:rsid w:val="0059611F"/>
    <w:rPr>
      <w:vertAlign w:val="superscript"/>
    </w:rPr>
  </w:style>
  <w:style w:type="paragraph" w:styleId="EndnoteText">
    <w:name w:val="endnote text"/>
    <w:basedOn w:val="Normal"/>
    <w:link w:val="EndnoteTextChar"/>
    <w:uiPriority w:val="99"/>
    <w:semiHidden/>
    <w:unhideWhenUsed/>
    <w:qFormat/>
    <w:rsid w:val="0059611F"/>
    <w:pPr>
      <w:spacing w:after="0"/>
    </w:pPr>
  </w:style>
  <w:style w:type="character" w:customStyle="1" w:styleId="EndnoteTextChar">
    <w:name w:val="Endnote Text Char"/>
    <w:basedOn w:val="DefaultParagraphFont"/>
    <w:link w:val="EndnoteText"/>
    <w:uiPriority w:val="99"/>
    <w:semiHidden/>
    <w:qFormat/>
    <w:rsid w:val="0059611F"/>
    <w:rPr>
      <w:rFonts w:ascii="Times New Roman" w:eastAsia="SimSun" w:hAnsi="Times New Roman" w:cs="Times New Roman"/>
      <w:szCs w:val="20"/>
      <w:lang w:eastAsia="en-GB"/>
    </w:rPr>
  </w:style>
  <w:style w:type="paragraph" w:styleId="Footer">
    <w:name w:val="footer"/>
    <w:basedOn w:val="Normal"/>
    <w:link w:val="FooterChar"/>
    <w:uiPriority w:val="99"/>
    <w:unhideWhenUsed/>
    <w:qFormat/>
    <w:rsid w:val="0059611F"/>
    <w:pPr>
      <w:tabs>
        <w:tab w:val="center" w:pos="4513"/>
        <w:tab w:val="right" w:pos="9026"/>
      </w:tabs>
      <w:spacing w:before="0" w:after="0"/>
    </w:pPr>
    <w:rPr>
      <w:rFonts w:cs="Mangal"/>
      <w:szCs w:val="21"/>
    </w:rPr>
  </w:style>
  <w:style w:type="character" w:customStyle="1" w:styleId="FooterChar">
    <w:name w:val="Footer Char"/>
    <w:basedOn w:val="DefaultParagraphFont"/>
    <w:link w:val="Footer"/>
    <w:uiPriority w:val="99"/>
    <w:qFormat/>
    <w:rsid w:val="0059611F"/>
    <w:rPr>
      <w:rFonts w:ascii="Times New Roman" w:eastAsia="SimSun" w:hAnsi="Times New Roman" w:cs="Mangal"/>
      <w:szCs w:val="21"/>
      <w:lang w:eastAsia="en-GB"/>
    </w:rPr>
  </w:style>
  <w:style w:type="character" w:styleId="FootnoteReference">
    <w:name w:val="footnote reference"/>
    <w:basedOn w:val="DefaultParagraphFont"/>
    <w:uiPriority w:val="99"/>
    <w:unhideWhenUsed/>
    <w:qFormat/>
    <w:rsid w:val="0059611F"/>
    <w:rPr>
      <w:vertAlign w:val="superscript"/>
    </w:rPr>
  </w:style>
  <w:style w:type="paragraph" w:styleId="FootnoteText">
    <w:name w:val="footnote text"/>
    <w:basedOn w:val="Normal"/>
    <w:link w:val="FootnoteTextChar"/>
    <w:uiPriority w:val="99"/>
    <w:semiHidden/>
    <w:unhideWhenUsed/>
    <w:qFormat/>
    <w:rsid w:val="0059611F"/>
    <w:pPr>
      <w:spacing w:after="40"/>
    </w:pPr>
    <w:rPr>
      <w:sz w:val="18"/>
    </w:rPr>
  </w:style>
  <w:style w:type="character" w:customStyle="1" w:styleId="FootnoteTextChar">
    <w:name w:val="Footnote Text Char"/>
    <w:basedOn w:val="DefaultParagraphFont"/>
    <w:link w:val="FootnoteText"/>
    <w:uiPriority w:val="99"/>
    <w:semiHidden/>
    <w:qFormat/>
    <w:rsid w:val="0059611F"/>
    <w:rPr>
      <w:rFonts w:ascii="Times New Roman" w:eastAsia="SimSun" w:hAnsi="Times New Roman" w:cs="Times New Roman"/>
      <w:sz w:val="18"/>
      <w:szCs w:val="20"/>
      <w:lang w:eastAsia="en-GB"/>
    </w:rPr>
  </w:style>
  <w:style w:type="paragraph" w:styleId="Header">
    <w:name w:val="header"/>
    <w:basedOn w:val="Normal"/>
    <w:link w:val="HeaderChar"/>
    <w:uiPriority w:val="99"/>
    <w:unhideWhenUsed/>
    <w:qFormat/>
    <w:rsid w:val="0059611F"/>
    <w:pPr>
      <w:tabs>
        <w:tab w:val="center" w:pos="4513"/>
        <w:tab w:val="right" w:pos="9026"/>
      </w:tabs>
      <w:spacing w:before="0" w:after="0"/>
    </w:pPr>
    <w:rPr>
      <w:rFonts w:cs="Mangal"/>
      <w:szCs w:val="21"/>
    </w:rPr>
  </w:style>
  <w:style w:type="character" w:customStyle="1" w:styleId="HeaderChar">
    <w:name w:val="Header Char"/>
    <w:basedOn w:val="DefaultParagraphFont"/>
    <w:link w:val="Header"/>
    <w:uiPriority w:val="99"/>
    <w:qFormat/>
    <w:rsid w:val="0059611F"/>
    <w:rPr>
      <w:rFonts w:ascii="Times New Roman" w:eastAsia="SimSun" w:hAnsi="Times New Roman" w:cs="Mangal"/>
      <w:szCs w:val="21"/>
      <w:lang w:eastAsia="en-GB"/>
    </w:rPr>
  </w:style>
  <w:style w:type="paragraph" w:styleId="HTMLPreformatted">
    <w:name w:val="HTML Preformatted"/>
    <w:link w:val="HTMLPreformattedChar"/>
    <w:uiPriority w:val="99"/>
    <w:unhideWhenUsed/>
    <w:rsid w:val="0059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Times New Roman" w:hint="eastAsia"/>
      <w:lang w:val="en-US" w:eastAsia="zh-CN"/>
    </w:rPr>
  </w:style>
  <w:style w:type="character" w:customStyle="1" w:styleId="HTMLPreformattedChar">
    <w:name w:val="HTML Preformatted Char"/>
    <w:basedOn w:val="DefaultParagraphFont"/>
    <w:link w:val="HTMLPreformatted"/>
    <w:uiPriority w:val="99"/>
    <w:rsid w:val="0059611F"/>
    <w:rPr>
      <w:rFonts w:ascii="SimSun" w:eastAsia="SimSun" w:hAnsi="SimSun" w:cs="Times New Roman"/>
      <w:lang w:val="en-US" w:eastAsia="zh-CN"/>
    </w:rPr>
  </w:style>
  <w:style w:type="character" w:styleId="Hyperlink">
    <w:name w:val="Hyperlink"/>
    <w:uiPriority w:val="99"/>
    <w:unhideWhenUsed/>
    <w:qFormat/>
    <w:rsid w:val="0059611F"/>
    <w:rPr>
      <w:color w:val="0563C1" w:themeColor="hyperlink"/>
      <w:u w:val="single"/>
    </w:rPr>
  </w:style>
  <w:style w:type="character" w:styleId="LineNumber">
    <w:name w:val="line number"/>
    <w:basedOn w:val="DefaultParagraphFont"/>
    <w:uiPriority w:val="99"/>
    <w:semiHidden/>
    <w:unhideWhenUsed/>
    <w:qFormat/>
    <w:rsid w:val="0059611F"/>
  </w:style>
  <w:style w:type="paragraph" w:styleId="List">
    <w:name w:val="List"/>
    <w:basedOn w:val="Textbody"/>
    <w:qFormat/>
    <w:rsid w:val="0059611F"/>
    <w:rPr>
      <w:rFonts w:eastAsia="Arial"/>
    </w:rPr>
  </w:style>
  <w:style w:type="paragraph" w:customStyle="1" w:styleId="Textbody">
    <w:name w:val="Text body"/>
    <w:basedOn w:val="Standard1"/>
    <w:qFormat/>
    <w:rsid w:val="0059611F"/>
    <w:pPr>
      <w:spacing w:after="140" w:line="276" w:lineRule="auto"/>
    </w:pPr>
  </w:style>
  <w:style w:type="paragraph" w:styleId="Subtitle">
    <w:name w:val="Subtitle"/>
    <w:basedOn w:val="Normal"/>
    <w:next w:val="Normal"/>
    <w:link w:val="SubtitleChar"/>
    <w:uiPriority w:val="11"/>
    <w:qFormat/>
    <w:rsid w:val="0059611F"/>
    <w:pPr>
      <w:spacing w:before="200" w:after="200"/>
    </w:pPr>
  </w:style>
  <w:style w:type="character" w:customStyle="1" w:styleId="SubtitleChar">
    <w:name w:val="Subtitle Char"/>
    <w:basedOn w:val="DefaultParagraphFont"/>
    <w:link w:val="Subtitle"/>
    <w:uiPriority w:val="11"/>
    <w:qFormat/>
    <w:rsid w:val="0059611F"/>
    <w:rPr>
      <w:rFonts w:ascii="Times New Roman" w:eastAsia="SimSun" w:hAnsi="Times New Roman" w:cs="Times New Roman"/>
      <w:szCs w:val="20"/>
      <w:lang w:eastAsia="en-GB"/>
    </w:rPr>
  </w:style>
  <w:style w:type="table" w:styleId="TableGrid">
    <w:name w:val="Table Grid"/>
    <w:basedOn w:val="TableNormal"/>
    <w:uiPriority w:val="39"/>
    <w:qFormat/>
    <w:rsid w:val="0059611F"/>
    <w:pPr>
      <w:spacing w:after="0" w:line="240" w:lineRule="auto"/>
    </w:pPr>
    <w:rPr>
      <w:rFonts w:ascii="Arial" w:eastAsia="noto serif cjk sc" w:hAnsi="Arial"/>
      <w:lang w:eastAsia="zh-CN"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ableofFigures">
    <w:name w:val="table of figures"/>
    <w:basedOn w:val="Normal"/>
    <w:next w:val="Normal"/>
    <w:uiPriority w:val="99"/>
    <w:unhideWhenUsed/>
    <w:qFormat/>
    <w:rsid w:val="0059611F"/>
    <w:pPr>
      <w:spacing w:after="0"/>
    </w:pPr>
  </w:style>
  <w:style w:type="paragraph" w:styleId="TOC1">
    <w:name w:val="toc 1"/>
    <w:basedOn w:val="Normal"/>
    <w:next w:val="Normal"/>
    <w:uiPriority w:val="39"/>
    <w:unhideWhenUsed/>
    <w:qFormat/>
    <w:rsid w:val="0059611F"/>
    <w:pPr>
      <w:spacing w:after="57"/>
    </w:pPr>
  </w:style>
  <w:style w:type="paragraph" w:styleId="TOC2">
    <w:name w:val="toc 2"/>
    <w:basedOn w:val="Normal"/>
    <w:next w:val="Normal"/>
    <w:uiPriority w:val="39"/>
    <w:unhideWhenUsed/>
    <w:qFormat/>
    <w:rsid w:val="0059611F"/>
    <w:pPr>
      <w:spacing w:after="57"/>
      <w:ind w:left="283"/>
    </w:pPr>
  </w:style>
  <w:style w:type="paragraph" w:styleId="TOC3">
    <w:name w:val="toc 3"/>
    <w:basedOn w:val="Normal"/>
    <w:next w:val="Normal"/>
    <w:uiPriority w:val="39"/>
    <w:unhideWhenUsed/>
    <w:qFormat/>
    <w:rsid w:val="0059611F"/>
    <w:pPr>
      <w:spacing w:after="57"/>
      <w:ind w:left="567"/>
    </w:pPr>
  </w:style>
  <w:style w:type="paragraph" w:styleId="TOC4">
    <w:name w:val="toc 4"/>
    <w:basedOn w:val="Normal"/>
    <w:next w:val="Normal"/>
    <w:uiPriority w:val="39"/>
    <w:unhideWhenUsed/>
    <w:qFormat/>
    <w:rsid w:val="0059611F"/>
    <w:pPr>
      <w:spacing w:after="57"/>
      <w:ind w:left="850"/>
    </w:pPr>
  </w:style>
  <w:style w:type="paragraph" w:styleId="TOC5">
    <w:name w:val="toc 5"/>
    <w:basedOn w:val="Normal"/>
    <w:next w:val="Normal"/>
    <w:uiPriority w:val="39"/>
    <w:unhideWhenUsed/>
    <w:qFormat/>
    <w:rsid w:val="0059611F"/>
    <w:pPr>
      <w:spacing w:after="57"/>
      <w:ind w:left="1134"/>
    </w:pPr>
  </w:style>
  <w:style w:type="paragraph" w:styleId="TOC6">
    <w:name w:val="toc 6"/>
    <w:basedOn w:val="Normal"/>
    <w:next w:val="Normal"/>
    <w:uiPriority w:val="39"/>
    <w:unhideWhenUsed/>
    <w:qFormat/>
    <w:rsid w:val="0059611F"/>
    <w:pPr>
      <w:spacing w:after="57"/>
      <w:ind w:left="1417"/>
    </w:pPr>
  </w:style>
  <w:style w:type="paragraph" w:styleId="TOC7">
    <w:name w:val="toc 7"/>
    <w:basedOn w:val="Normal"/>
    <w:next w:val="Normal"/>
    <w:uiPriority w:val="39"/>
    <w:unhideWhenUsed/>
    <w:qFormat/>
    <w:rsid w:val="0059611F"/>
    <w:pPr>
      <w:spacing w:after="57"/>
      <w:ind w:left="1701"/>
    </w:pPr>
  </w:style>
  <w:style w:type="paragraph" w:styleId="TOC8">
    <w:name w:val="toc 8"/>
    <w:basedOn w:val="Normal"/>
    <w:next w:val="Normal"/>
    <w:uiPriority w:val="39"/>
    <w:unhideWhenUsed/>
    <w:qFormat/>
    <w:rsid w:val="0059611F"/>
    <w:pPr>
      <w:spacing w:after="57"/>
      <w:ind w:left="1984"/>
    </w:pPr>
  </w:style>
  <w:style w:type="paragraph" w:styleId="TOC9">
    <w:name w:val="toc 9"/>
    <w:basedOn w:val="Normal"/>
    <w:next w:val="Normal"/>
    <w:uiPriority w:val="39"/>
    <w:unhideWhenUsed/>
    <w:qFormat/>
    <w:rsid w:val="0059611F"/>
    <w:pPr>
      <w:spacing w:after="57"/>
      <w:ind w:left="2268"/>
    </w:pPr>
  </w:style>
  <w:style w:type="paragraph" w:styleId="NoSpacing">
    <w:name w:val="No Spacing"/>
    <w:uiPriority w:val="1"/>
    <w:qFormat/>
    <w:rsid w:val="0059611F"/>
    <w:pPr>
      <w:spacing w:after="0" w:line="240" w:lineRule="auto"/>
    </w:pPr>
    <w:rPr>
      <w:rFonts w:ascii="Arial" w:eastAsia="noto serif cjk sc" w:hAnsi="Arial"/>
      <w:lang w:eastAsia="zh-CN" w:bidi="hi-IN"/>
    </w:rPr>
  </w:style>
  <w:style w:type="paragraph" w:styleId="Quote">
    <w:name w:val="Quote"/>
    <w:basedOn w:val="Normal"/>
    <w:next w:val="Normal"/>
    <w:link w:val="QuoteChar"/>
    <w:uiPriority w:val="29"/>
    <w:qFormat/>
    <w:rsid w:val="0059611F"/>
    <w:pPr>
      <w:ind w:left="720" w:right="720"/>
    </w:pPr>
    <w:rPr>
      <w:i/>
    </w:rPr>
  </w:style>
  <w:style w:type="character" w:customStyle="1" w:styleId="QuoteChar">
    <w:name w:val="Quote Char"/>
    <w:basedOn w:val="DefaultParagraphFont"/>
    <w:link w:val="Quote"/>
    <w:uiPriority w:val="29"/>
    <w:qFormat/>
    <w:rsid w:val="0059611F"/>
    <w:rPr>
      <w:rFonts w:ascii="Times New Roman" w:eastAsia="SimSun" w:hAnsi="Times New Roman" w:cs="Times New Roman"/>
      <w:i/>
      <w:szCs w:val="20"/>
      <w:lang w:eastAsia="en-GB"/>
    </w:rPr>
  </w:style>
  <w:style w:type="paragraph" w:styleId="IntenseQuote">
    <w:name w:val="Intense Quote"/>
    <w:basedOn w:val="Normal"/>
    <w:next w:val="Normal"/>
    <w:link w:val="IntenseQuoteChar"/>
    <w:uiPriority w:val="30"/>
    <w:qFormat/>
    <w:rsid w:val="0059611F"/>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basedOn w:val="DefaultParagraphFont"/>
    <w:link w:val="IntenseQuote"/>
    <w:uiPriority w:val="30"/>
    <w:qFormat/>
    <w:rsid w:val="0059611F"/>
    <w:rPr>
      <w:rFonts w:ascii="Times New Roman" w:eastAsia="SimSun" w:hAnsi="Times New Roman" w:cs="Times New Roman"/>
      <w:i/>
      <w:szCs w:val="20"/>
      <w:shd w:val="clear" w:color="auto" w:fill="F2F2F2"/>
      <w:lang w:eastAsia="en-GB"/>
    </w:rPr>
  </w:style>
  <w:style w:type="character" w:customStyle="1" w:styleId="CaptionChar">
    <w:name w:val="Caption Char"/>
    <w:uiPriority w:val="99"/>
    <w:qFormat/>
    <w:rsid w:val="0059611F"/>
  </w:style>
  <w:style w:type="table" w:customStyle="1" w:styleId="TableGridLight1">
    <w:name w:val="Table Grid Light1"/>
    <w:basedOn w:val="TableNormal"/>
    <w:uiPriority w:val="40"/>
    <w:qFormat/>
    <w:rsid w:val="0059611F"/>
    <w:pPr>
      <w:spacing w:after="0" w:line="240" w:lineRule="auto"/>
    </w:pPr>
    <w:rPr>
      <w:rFonts w:ascii="Arial" w:eastAsia="noto serif cjk sc" w:hAnsi="Arial"/>
      <w:lang w:eastAsia="zh-CN" w:bidi="hi-I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59"/>
    <w:qFormat/>
    <w:rsid w:val="0059611F"/>
    <w:pPr>
      <w:spacing w:after="0" w:line="240" w:lineRule="auto"/>
    </w:pPr>
    <w:rPr>
      <w:rFonts w:ascii="Arial" w:eastAsia="noto serif cjk sc" w:hAnsi="Arial"/>
      <w:lang w:eastAsia="zh-CN" w:bidi="hi-IN"/>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1">
    <w:name w:val="Plain Table 21"/>
    <w:basedOn w:val="TableNormal"/>
    <w:uiPriority w:val="59"/>
    <w:qFormat/>
    <w:rsid w:val="0059611F"/>
    <w:pPr>
      <w:spacing w:after="0" w:line="240" w:lineRule="auto"/>
    </w:pPr>
    <w:rPr>
      <w:rFonts w:ascii="Arial" w:eastAsia="noto serif cjk sc" w:hAnsi="Arial"/>
      <w:lang w:eastAsia="zh-CN" w:bidi="hi-IN"/>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1">
    <w:name w:val="Plain Table 31"/>
    <w:basedOn w:val="TableNormal"/>
    <w:uiPriority w:val="99"/>
    <w:qFormat/>
    <w:rsid w:val="0059611F"/>
    <w:pPr>
      <w:spacing w:after="0" w:line="240" w:lineRule="auto"/>
    </w:pPr>
    <w:rPr>
      <w:rFonts w:ascii="Arial" w:eastAsia="noto serif cjk sc" w:hAnsi="Arial"/>
      <w:lang w:eastAsia="zh-CN" w:bidi="hi-IN"/>
    </w:rP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1">
    <w:name w:val="Plain Table 4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1">
    <w:name w:val="Plain Table 51"/>
    <w:basedOn w:val="TableNormal"/>
    <w:uiPriority w:val="99"/>
    <w:qFormat/>
    <w:rsid w:val="0059611F"/>
    <w:pPr>
      <w:spacing w:after="0" w:line="240" w:lineRule="auto"/>
    </w:pPr>
    <w:rPr>
      <w:rFonts w:ascii="Arial" w:eastAsia="noto serif cjk sc" w:hAnsi="Arial"/>
      <w:lang w:eastAsia="zh-CN" w:bidi="hi-IN"/>
    </w:rP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1">
    <w:name w:val="Grid Table 1 Light1"/>
    <w:basedOn w:val="TableNormal"/>
    <w:uiPriority w:val="99"/>
    <w:qFormat/>
    <w:rsid w:val="0059611F"/>
    <w:pPr>
      <w:spacing w:after="0" w:line="240" w:lineRule="auto"/>
    </w:pPr>
    <w:rPr>
      <w:rFonts w:ascii="Arial" w:eastAsia="noto serif cjk sc" w:hAnsi="Arial"/>
      <w:lang w:eastAsia="zh-CN" w:bidi="hi-IN"/>
    </w:rPr>
    <w:tblPr>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qFormat/>
    <w:rsid w:val="0059611F"/>
    <w:pPr>
      <w:spacing w:after="0" w:line="240" w:lineRule="auto"/>
    </w:pPr>
    <w:rPr>
      <w:rFonts w:ascii="Arial" w:eastAsia="noto serif cjk sc" w:hAnsi="Arial"/>
      <w:lang w:eastAsia="zh-CN" w:bidi="hi-IN"/>
    </w:rPr>
    <w:tblPr>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TableNormal"/>
    <w:uiPriority w:val="99"/>
    <w:qFormat/>
    <w:rsid w:val="0059611F"/>
    <w:pPr>
      <w:spacing w:after="0" w:line="240" w:lineRule="auto"/>
    </w:pPr>
    <w:rPr>
      <w:rFonts w:ascii="Arial" w:eastAsia="noto serif cjk sc" w:hAnsi="Arial"/>
      <w:lang w:eastAsia="zh-CN" w:bidi="hi-IN"/>
    </w:r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TableNormal"/>
    <w:uiPriority w:val="99"/>
    <w:qFormat/>
    <w:rsid w:val="0059611F"/>
    <w:pPr>
      <w:spacing w:after="0" w:line="240" w:lineRule="auto"/>
    </w:pPr>
    <w:rPr>
      <w:rFonts w:ascii="Arial" w:eastAsia="noto serif cjk sc" w:hAnsi="Arial"/>
      <w:lang w:eastAsia="zh-CN" w:bidi="hi-IN"/>
    </w:rPr>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1">
    <w:name w:val="Grid Table 2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single" w:sz="12" w:space="0" w:color="6A6A6A" w:themeColor="text1" w:themeTint="95"/>
          <w:right w:val="nil"/>
        </w:tcBorders>
        <w:shd w:val="clear" w:color="FFFFFF" w:fill="auto"/>
      </w:tcPr>
    </w:tblStylePr>
    <w:tblStylePr w:type="lastRow">
      <w:rPr>
        <w:b/>
        <w:color w:val="404040"/>
      </w:rPr>
      <w:tblPr/>
      <w:tcPr>
        <w:tcBorders>
          <w:top w:val="single" w:sz="4" w:space="0" w:color="6A6A6A" w:themeColor="text1" w:themeTint="9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1">
    <w:name w:val="Grid Table 2 - Accent 1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il"/>
          <w:left w:val="nil"/>
          <w:bottom w:val="single" w:sz="12" w:space="0" w:color="537DC8" w:themeColor="accent1" w:themeTint="EA"/>
          <w:right w:val="nil"/>
        </w:tcBorders>
        <w:shd w:val="clear" w:color="FFFFFF" w:fill="auto"/>
      </w:tcPr>
    </w:tblStylePr>
    <w:tblStylePr w:type="lastRow">
      <w:rPr>
        <w:b/>
        <w:color w:val="404040"/>
      </w:rPr>
      <w:tblPr/>
      <w:tcPr>
        <w:tcBorders>
          <w:top w:val="single" w:sz="4" w:space="0" w:color="537DC8" w:themeColor="accent1" w:themeTint="E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1">
    <w:name w:val="Grid Table 2 - Accent 2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single" w:sz="12" w:space="0" w:color="F4B184" w:themeColor="accent2" w:themeTint="97"/>
          <w:right w:val="nil"/>
        </w:tcBorders>
        <w:shd w:val="clear" w:color="FFFFFF" w:fill="auto"/>
      </w:tcPr>
    </w:tblStylePr>
    <w:tblStylePr w:type="lastRow">
      <w:rPr>
        <w:b/>
        <w:color w:val="404040"/>
      </w:rPr>
      <w:tblPr/>
      <w:tcPr>
        <w:tcBorders>
          <w:top w:val="single" w:sz="4" w:space="0" w:color="F4B184" w:themeColor="accent2" w:themeTint="97"/>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1">
    <w:name w:val="Grid Table 2 - Accent 3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single" w:sz="12" w:space="0" w:color="A5A5A5" w:themeColor="accent3" w:themeTint="FE"/>
          <w:right w:val="nil"/>
        </w:tcBorders>
        <w:shd w:val="clear" w:color="FFFFFF" w:fill="auto"/>
      </w:tcPr>
    </w:tblStylePr>
    <w:tblStylePr w:type="lastRow">
      <w:rPr>
        <w:b/>
        <w:color w:val="404040"/>
      </w:rPr>
      <w:tblPr/>
      <w:tcPr>
        <w:tcBorders>
          <w:top w:val="single" w:sz="4" w:space="0" w:color="A5A5A5" w:themeColor="accent3" w:themeTint="FE"/>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1">
    <w:name w:val="Grid Table 2 - Accent 4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single" w:sz="12" w:space="0" w:color="FFD865" w:themeColor="accent4" w:themeTint="9A"/>
          <w:right w:val="nil"/>
        </w:tcBorders>
        <w:shd w:val="clear" w:color="FFFFFF" w:fill="auto"/>
      </w:tcPr>
    </w:tblStylePr>
    <w:tblStylePr w:type="lastRow">
      <w:rPr>
        <w:b/>
        <w:color w:val="404040"/>
      </w:rPr>
      <w:tblPr/>
      <w:tcPr>
        <w:tcBorders>
          <w:top w:val="single" w:sz="4" w:space="0" w:color="FFD865" w:themeColor="accent4" w:themeTint="9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1">
    <w:name w:val="Grid Table 2 - Accent 5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il"/>
          <w:left w:val="nil"/>
          <w:bottom w:val="single" w:sz="12" w:space="0" w:color="5B9BD5" w:themeColor="accent5"/>
          <w:right w:val="nil"/>
        </w:tcBorders>
        <w:shd w:val="clear" w:color="FFFFFF" w:fill="auto"/>
      </w:tcPr>
    </w:tblStylePr>
    <w:tblStylePr w:type="lastRow">
      <w:rPr>
        <w:b/>
        <w:color w:val="404040"/>
      </w:rPr>
      <w:tblPr/>
      <w:tcPr>
        <w:tcBorders>
          <w:top w:val="single" w:sz="4" w:space="0" w:color="5B9BD5" w:themeColor="accent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1">
    <w:name w:val="Grid Table 2 - Accent 6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single" w:sz="12" w:space="0" w:color="70AD47" w:themeColor="accent6"/>
          <w:right w:val="nil"/>
        </w:tcBorders>
        <w:shd w:val="clear" w:color="FFFFFF" w:fill="auto"/>
      </w:tcPr>
    </w:tblStylePr>
    <w:tblStylePr w:type="lastRow">
      <w:rPr>
        <w:b/>
        <w:color w:val="404040"/>
      </w:rPr>
      <w:tblPr/>
      <w:tcPr>
        <w:tcBorders>
          <w:top w:val="single" w:sz="4" w:space="0" w:color="70AD47" w:themeColor="accent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1">
    <w:name w:val="Grid Table 3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1">
    <w:name w:val="Grid Table 3 - Accent 1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1">
    <w:name w:val="Grid Table 3 - Accent 2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1">
    <w:name w:val="Grid Table 3 - Accent 3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1">
    <w:name w:val="Grid Table 3 - Accent 4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1">
    <w:name w:val="Grid Table 3 - Accent 5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1">
    <w:name w:val="Grid Table 3 - Accent 6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1">
    <w:name w:val="Grid Table 41"/>
    <w:basedOn w:val="TableNormal"/>
    <w:uiPriority w:val="59"/>
    <w:qFormat/>
    <w:rsid w:val="0059611F"/>
    <w:pPr>
      <w:spacing w:after="0" w:line="240" w:lineRule="auto"/>
    </w:pPr>
    <w:rPr>
      <w:rFonts w:ascii="Arial" w:eastAsia="noto serif cjk sc" w:hAnsi="Arial"/>
      <w:lang w:eastAsia="zh-CN" w:bidi="hi-IN"/>
    </w:rPr>
    <w:tblPr>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1">
    <w:name w:val="Grid Table 4 - Accent 11"/>
    <w:basedOn w:val="TableNormal"/>
    <w:uiPriority w:val="59"/>
    <w:qFormat/>
    <w:rsid w:val="0059611F"/>
    <w:pPr>
      <w:spacing w:after="0" w:line="240" w:lineRule="auto"/>
    </w:pPr>
    <w:rPr>
      <w:rFonts w:ascii="Arial" w:eastAsia="noto serif cjk sc" w:hAnsi="Arial"/>
      <w:lang w:eastAsia="zh-CN" w:bidi="hi-IN"/>
    </w:rPr>
    <w:tblPr>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1">
    <w:name w:val="Grid Table 4 - Accent 21"/>
    <w:basedOn w:val="TableNormal"/>
    <w:uiPriority w:val="59"/>
    <w:qFormat/>
    <w:rsid w:val="0059611F"/>
    <w:pPr>
      <w:spacing w:after="0" w:line="240" w:lineRule="auto"/>
    </w:pPr>
    <w:rPr>
      <w:rFonts w:ascii="Arial" w:eastAsia="noto serif cjk sc" w:hAnsi="Arial"/>
      <w:lang w:eastAsia="zh-CN" w:bidi="hi-IN"/>
    </w:r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1">
    <w:name w:val="Grid Table 4 - Accent 31"/>
    <w:basedOn w:val="TableNormal"/>
    <w:uiPriority w:val="59"/>
    <w:qFormat/>
    <w:rsid w:val="0059611F"/>
    <w:pPr>
      <w:spacing w:after="0" w:line="240" w:lineRule="auto"/>
    </w:pPr>
    <w:rPr>
      <w:rFonts w:ascii="Arial" w:eastAsia="noto serif cjk sc" w:hAnsi="Arial"/>
      <w:lang w:eastAsia="zh-CN" w:bidi="hi-IN"/>
    </w:r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1">
    <w:name w:val="Grid Table 4 - Accent 41"/>
    <w:basedOn w:val="TableNormal"/>
    <w:uiPriority w:val="59"/>
    <w:qFormat/>
    <w:rsid w:val="0059611F"/>
    <w:pPr>
      <w:spacing w:after="0" w:line="240" w:lineRule="auto"/>
    </w:pPr>
    <w:rPr>
      <w:rFonts w:ascii="Arial" w:eastAsia="noto serif cjk sc" w:hAnsi="Arial"/>
      <w:lang w:eastAsia="zh-CN" w:bidi="hi-IN"/>
    </w:rPr>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1">
    <w:name w:val="Grid Table 4 - Accent 51"/>
    <w:basedOn w:val="TableNormal"/>
    <w:uiPriority w:val="59"/>
    <w:qFormat/>
    <w:rsid w:val="0059611F"/>
    <w:pPr>
      <w:spacing w:after="0" w:line="240" w:lineRule="auto"/>
    </w:pPr>
    <w:rPr>
      <w:rFonts w:ascii="Arial" w:eastAsia="noto serif cjk sc" w:hAnsi="Arial"/>
      <w:lang w:eastAsia="zh-CN" w:bidi="hi-IN"/>
    </w:rPr>
    <w:tblPr>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1">
    <w:name w:val="Grid Table 4 - Accent 61"/>
    <w:basedOn w:val="TableNormal"/>
    <w:uiPriority w:val="59"/>
    <w:qFormat/>
    <w:rsid w:val="0059611F"/>
    <w:pPr>
      <w:spacing w:after="0" w:line="240" w:lineRule="auto"/>
    </w:pPr>
    <w:rPr>
      <w:rFonts w:ascii="Arial" w:eastAsia="noto serif cjk sc" w:hAnsi="Arial"/>
      <w:lang w:eastAsia="zh-CN" w:bidi="hi-IN"/>
    </w:r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1">
    <w:name w:val="Grid Table 5 Dark1"/>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1">
    <w:name w:val="Grid Table 5 Dark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1">
    <w:name w:val="Grid Table 5 Dark - Accent 31"/>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1">
    <w:name w:val="Grid Table 5 Dark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1">
    <w:name w:val="Grid Table 5 Dark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1">
    <w:name w:val="Grid Table 6 Colorful1"/>
    <w:basedOn w:val="TableNormal"/>
    <w:uiPriority w:val="99"/>
    <w:qFormat/>
    <w:rsid w:val="0059611F"/>
    <w:pPr>
      <w:spacing w:after="0" w:line="240" w:lineRule="auto"/>
    </w:pPr>
    <w:rPr>
      <w:rFonts w:ascii="Arial" w:eastAsia="noto serif cjk sc" w:hAnsi="Arial"/>
      <w:lang w:eastAsia="zh-CN" w:bidi="hi-IN"/>
    </w:rPr>
    <w:tblP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rPr>
      <w:tblPr/>
      <w:tcPr>
        <w:tcBorders>
          <w:bottom w:val="single" w:sz="12" w:space="0" w:color="7F7F7F" w:themeColor="text1" w:themeTint="80"/>
        </w:tcBorders>
      </w:tcPr>
    </w:tblStylePr>
    <w:tblStylePr w:type="lastRow">
      <w:rPr>
        <w:b/>
        <w:color w:val="7F7F7F" w:themeColor="text1" w:themeTint="80"/>
      </w:rPr>
    </w:tblStylePr>
    <w:tblStylePr w:type="firstCol">
      <w:rPr>
        <w:b/>
        <w:color w:val="7F7F7F" w:themeColor="text1" w:themeTint="80"/>
      </w:rPr>
    </w:tblStylePr>
    <w:tblStylePr w:type="lastCol">
      <w:rPr>
        <w:b/>
        <w:color w:val="7F7F7F" w:themeColor="text1" w:themeTint="80"/>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sz w:val="22"/>
      </w:rPr>
      <w:tblPr/>
      <w:tcPr>
        <w:shd w:val="clear" w:color="CBCBCB" w:themeColor="text1" w:themeTint="34" w:fill="CBCBCB" w:themeFill="text1" w:themeFillTint="34"/>
      </w:tcPr>
    </w:tblStylePr>
    <w:tblStylePr w:type="band2Horz">
      <w:rPr>
        <w:rFonts w:ascii="Arial" w:hAnsi="Arial"/>
        <w:color w:val="7F7F7F" w:themeColor="text1" w:themeTint="80"/>
        <w:sz w:val="22"/>
      </w:rPr>
    </w:tblStylePr>
  </w:style>
  <w:style w:type="table" w:customStyle="1" w:styleId="GridTable6Colorful-Accent11">
    <w:name w:val="Grid Table 6 Colorful - Accent 11"/>
    <w:basedOn w:val="TableNormal"/>
    <w:uiPriority w:val="99"/>
    <w:qFormat/>
    <w:rsid w:val="0059611F"/>
    <w:pPr>
      <w:spacing w:after="0" w:line="240" w:lineRule="auto"/>
    </w:pPr>
    <w:rPr>
      <w:rFonts w:ascii="Arial" w:eastAsia="noto serif cjk sc" w:hAnsi="Arial"/>
      <w:lang w:eastAsia="zh-CN" w:bidi="hi-IN"/>
    </w:rPr>
    <w:tblPr>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rPr>
      <w:tblPr/>
      <w:tcPr>
        <w:tcBorders>
          <w:bottom w:val="single" w:sz="12" w:space="0" w:color="A0B7E1" w:themeColor="accent1" w:themeTint="80"/>
        </w:tcBorders>
      </w:tcPr>
    </w:tblStylePr>
    <w:tblStylePr w:type="lastRow">
      <w:rPr>
        <w:b/>
        <w:color w:val="A0B7E1" w:themeColor="accent1" w:themeTint="80"/>
      </w:rPr>
    </w:tblStylePr>
    <w:tblStylePr w:type="firstCol">
      <w:rPr>
        <w:b/>
        <w:color w:val="A0B7E1" w:themeColor="accent1" w:themeTint="80"/>
      </w:rPr>
    </w:tblStylePr>
    <w:tblStylePr w:type="lastCol">
      <w:rPr>
        <w:b/>
        <w:color w:val="A0B7E1" w:themeColor="accent1" w:themeTint="80"/>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sz w:val="22"/>
      </w:rPr>
      <w:tblPr/>
      <w:tcPr>
        <w:shd w:val="clear" w:color="D8E2F3" w:themeColor="accent1" w:themeTint="34" w:fill="D8E2F3" w:themeFill="accent1" w:themeFillTint="34"/>
      </w:tcPr>
    </w:tblStylePr>
    <w:tblStylePr w:type="band2Horz">
      <w:rPr>
        <w:rFonts w:ascii="Arial" w:hAnsi="Arial"/>
        <w:color w:val="A0B7E1" w:themeColor="accent1" w:themeTint="80"/>
        <w:sz w:val="22"/>
      </w:rPr>
    </w:tblStylePr>
  </w:style>
  <w:style w:type="table" w:customStyle="1" w:styleId="GridTable6Colorful-Accent21">
    <w:name w:val="Grid Table 6 Colorful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285" w:themeColor="accent2" w:themeTint="96"/>
      </w:rPr>
      <w:tblPr/>
      <w:tcPr>
        <w:tcBorders>
          <w:bottom w:val="single" w:sz="12" w:space="0" w:color="F4B184" w:themeColor="accent2" w:themeTint="97"/>
        </w:tcBorders>
      </w:tcPr>
    </w:tblStylePr>
    <w:tblStylePr w:type="lastRow">
      <w:rPr>
        <w:b/>
        <w:color w:val="F4B285" w:themeColor="accent2" w:themeTint="96"/>
      </w:rPr>
    </w:tblStylePr>
    <w:tblStylePr w:type="firstCol">
      <w:rPr>
        <w:b/>
        <w:color w:val="F4B285" w:themeColor="accent2" w:themeTint="96"/>
      </w:rPr>
    </w:tblStylePr>
    <w:tblStylePr w:type="lastCol">
      <w:rPr>
        <w:b/>
        <w:color w:val="F4B285" w:themeColor="accent2" w:themeTint="96"/>
      </w:rPr>
    </w:tblStylePr>
    <w:tblStylePr w:type="band1Vert">
      <w:tblPr/>
      <w:tcPr>
        <w:shd w:val="clear" w:color="FBE5D6" w:themeColor="accent2" w:themeTint="32" w:fill="FBE5D6" w:themeFill="accent2" w:themeFillTint="32"/>
      </w:tcPr>
    </w:tblStylePr>
    <w:tblStylePr w:type="band1Horz">
      <w:rPr>
        <w:rFonts w:ascii="Arial" w:hAnsi="Arial"/>
        <w:color w:val="F4B285" w:themeColor="accent2" w:themeTint="96"/>
        <w:sz w:val="22"/>
      </w:rPr>
      <w:tblPr/>
      <w:tcPr>
        <w:shd w:val="clear" w:color="FBE5D6" w:themeColor="accent2" w:themeTint="32" w:fill="FBE5D6" w:themeFill="accent2" w:themeFillTint="32"/>
      </w:tcPr>
    </w:tblStylePr>
    <w:tblStylePr w:type="band2Horz">
      <w:rPr>
        <w:rFonts w:ascii="Arial" w:hAnsi="Arial"/>
        <w:color w:val="F4B285" w:themeColor="accent2" w:themeTint="96"/>
        <w:sz w:val="22"/>
      </w:rPr>
    </w:tblStylePr>
  </w:style>
  <w:style w:type="table" w:customStyle="1" w:styleId="GridTable6Colorful-Accent31">
    <w:name w:val="Grid Table 6 Colorful - Accent 31"/>
    <w:basedOn w:val="TableNormal"/>
    <w:uiPriority w:val="99"/>
    <w:qFormat/>
    <w:rsid w:val="0059611F"/>
    <w:pPr>
      <w:spacing w:after="0" w:line="240" w:lineRule="auto"/>
    </w:pPr>
    <w:rPr>
      <w:rFonts w:ascii="Arial" w:eastAsia="noto serif cjk sc" w:hAnsi="Arial"/>
      <w:lang w:eastAsia="zh-CN" w:bidi="hi-IN"/>
    </w:rPr>
    <w:tblPr>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rPr>
      <w:tblPr/>
      <w:tcPr>
        <w:tcBorders>
          <w:bottom w:val="single" w:sz="12" w:space="0" w:color="A5A5A5" w:themeColor="accent3" w:themeTint="FE"/>
        </w:tcBorders>
      </w:tcPr>
    </w:tblStylePr>
    <w:tblStylePr w:type="lastRow">
      <w:rPr>
        <w:b/>
        <w:color w:val="A5A5A5" w:themeColor="accent3"/>
      </w:rPr>
    </w:tblStylePr>
    <w:tblStylePr w:type="firstCol">
      <w:rPr>
        <w:b/>
        <w:color w:val="A5A5A5" w:themeColor="accent3"/>
      </w:rPr>
    </w:tblStylePr>
    <w:tblStylePr w:type="lastCol">
      <w:rPr>
        <w:b/>
        <w:color w:val="A5A5A5" w:themeColor="accent3"/>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sz w:val="22"/>
      </w:rPr>
      <w:tblPr/>
      <w:tcPr>
        <w:shd w:val="clear" w:color="ECECEC" w:themeColor="accent3" w:themeTint="34" w:fill="ECECEC" w:themeFill="accent3" w:themeFillTint="34"/>
      </w:tcPr>
    </w:tblStylePr>
    <w:tblStylePr w:type="band2Horz">
      <w:rPr>
        <w:rFonts w:ascii="Arial" w:hAnsi="Arial"/>
        <w:color w:val="A5A5A5" w:themeColor="accent3"/>
        <w:sz w:val="22"/>
      </w:rPr>
    </w:tblStylePr>
  </w:style>
  <w:style w:type="table" w:customStyle="1" w:styleId="GridTable6Colorful-Accent41">
    <w:name w:val="Grid Table 6 Colorful - Accent 41"/>
    <w:basedOn w:val="TableNormal"/>
    <w:uiPriority w:val="99"/>
    <w:qFormat/>
    <w:rsid w:val="0059611F"/>
    <w:pPr>
      <w:spacing w:after="0" w:line="240" w:lineRule="auto"/>
    </w:pPr>
    <w:rPr>
      <w:rFonts w:ascii="Arial" w:eastAsia="noto serif cjk sc" w:hAnsi="Arial"/>
      <w:lang w:eastAsia="zh-CN" w:bidi="hi-IN"/>
    </w:rPr>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966" w:themeColor="accent4" w:themeTint="99"/>
      </w:rPr>
      <w:tblPr/>
      <w:tcPr>
        <w:tcBorders>
          <w:bottom w:val="single" w:sz="12" w:space="0" w:color="FFD865" w:themeColor="accent4" w:themeTint="9A"/>
        </w:tcBorders>
      </w:tcPr>
    </w:tblStylePr>
    <w:tblStylePr w:type="lastRow">
      <w:rPr>
        <w:b/>
        <w:color w:val="FFD966" w:themeColor="accent4" w:themeTint="99"/>
      </w:rPr>
    </w:tblStylePr>
    <w:tblStylePr w:type="firstCol">
      <w:rPr>
        <w:b/>
        <w:color w:val="FFD966" w:themeColor="accent4" w:themeTint="99"/>
      </w:rPr>
    </w:tblStylePr>
    <w:tblStylePr w:type="lastCol">
      <w:rPr>
        <w:b/>
        <w:color w:val="FFD966" w:themeColor="accent4" w:themeTint="99"/>
      </w:rPr>
    </w:tblStylePr>
    <w:tblStylePr w:type="band1Vert">
      <w:tblPr/>
      <w:tcPr>
        <w:shd w:val="clear" w:color="FFF2CB" w:themeColor="accent4" w:themeTint="34" w:fill="FFF2CB" w:themeFill="accent4" w:themeFillTint="34"/>
      </w:tcPr>
    </w:tblStylePr>
    <w:tblStylePr w:type="band1Horz">
      <w:rPr>
        <w:rFonts w:ascii="Arial" w:hAnsi="Arial"/>
        <w:color w:val="FFD966" w:themeColor="accent4" w:themeTint="99"/>
        <w:sz w:val="22"/>
      </w:rPr>
      <w:tblPr/>
      <w:tcPr>
        <w:shd w:val="clear" w:color="FFF2CB" w:themeColor="accent4" w:themeTint="34" w:fill="FFF2CB" w:themeFill="accent4" w:themeFillTint="34"/>
      </w:tcPr>
    </w:tblStylePr>
    <w:tblStylePr w:type="band2Horz">
      <w:rPr>
        <w:rFonts w:ascii="Arial" w:hAnsi="Arial"/>
        <w:color w:val="FFD966" w:themeColor="accent4" w:themeTint="99"/>
        <w:sz w:val="22"/>
      </w:rPr>
    </w:tblStylePr>
  </w:style>
  <w:style w:type="table" w:customStyle="1" w:styleId="GridTable6Colorful-Accent51">
    <w:name w:val="Grid Table 6 Colorful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C" w:themeColor="accent5" w:themeShade="94"/>
      </w:rPr>
      <w:tblPr/>
      <w:tcPr>
        <w:tcBorders>
          <w:bottom w:val="single" w:sz="12" w:space="0" w:color="5B9BD5" w:themeColor="accent5"/>
        </w:tcBorders>
      </w:tcPr>
    </w:tblStylePr>
    <w:tblStylePr w:type="lastRow">
      <w:rPr>
        <w:b/>
        <w:color w:val="245A8C" w:themeColor="accent5" w:themeShade="94"/>
      </w:rPr>
    </w:tblStylePr>
    <w:tblStylePr w:type="firstCol">
      <w:rPr>
        <w:b/>
        <w:color w:val="245A8C" w:themeColor="accent5" w:themeShade="94"/>
      </w:rPr>
    </w:tblStylePr>
    <w:tblStylePr w:type="lastCol">
      <w:rPr>
        <w:b/>
        <w:color w:val="245A8C" w:themeColor="accent5" w:themeShade="94"/>
      </w:rPr>
    </w:tblStylePr>
    <w:tblStylePr w:type="band1Vert">
      <w:tblPr/>
      <w:tcPr>
        <w:shd w:val="clear" w:color="DDEAF6" w:themeColor="accent5" w:themeTint="34" w:fill="DDEAF6" w:themeFill="accent5" w:themeFillTint="34"/>
      </w:tcPr>
    </w:tblStylePr>
    <w:tblStylePr w:type="band1Horz">
      <w:rPr>
        <w:rFonts w:ascii="Arial" w:hAnsi="Arial"/>
        <w:color w:val="245A8C" w:themeColor="accent5" w:themeShade="94"/>
        <w:sz w:val="22"/>
      </w:rPr>
      <w:tblPr/>
      <w:tcPr>
        <w:shd w:val="clear" w:color="DDEAF6" w:themeColor="accent5" w:themeTint="34" w:fill="DDEAF6" w:themeFill="accent5" w:themeFillTint="34"/>
      </w:tcPr>
    </w:tblStylePr>
    <w:tblStylePr w:type="band2Horz">
      <w:rPr>
        <w:rFonts w:ascii="Arial" w:hAnsi="Arial"/>
        <w:color w:val="245A8C" w:themeColor="accent5" w:themeShade="94"/>
        <w:sz w:val="22"/>
      </w:rPr>
    </w:tblStylePr>
  </w:style>
  <w:style w:type="table" w:customStyle="1" w:styleId="GridTable6Colorful-Accent61">
    <w:name w:val="Grid Table 6 Colorful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C" w:themeColor="accent5" w:themeShade="94"/>
      </w:rPr>
      <w:tblPr/>
      <w:tcPr>
        <w:tcBorders>
          <w:bottom w:val="single" w:sz="12" w:space="0" w:color="70AD47" w:themeColor="accent6"/>
        </w:tcBorders>
      </w:tcPr>
    </w:tblStylePr>
    <w:tblStylePr w:type="lastRow">
      <w:rPr>
        <w:b/>
        <w:color w:val="245A8C" w:themeColor="accent5" w:themeShade="94"/>
      </w:rPr>
    </w:tblStylePr>
    <w:tblStylePr w:type="firstCol">
      <w:rPr>
        <w:b/>
        <w:color w:val="245A8C" w:themeColor="accent5" w:themeShade="94"/>
      </w:rPr>
    </w:tblStylePr>
    <w:tblStylePr w:type="lastCol">
      <w:rPr>
        <w:b/>
        <w:color w:val="245A8C" w:themeColor="accent5" w:themeShade="94"/>
      </w:rPr>
    </w:tblStylePr>
    <w:tblStylePr w:type="band1Vert">
      <w:tblPr/>
      <w:tcPr>
        <w:shd w:val="clear" w:color="E1EFD8" w:themeColor="accent6" w:themeTint="34" w:fill="E1EFD8" w:themeFill="accent6" w:themeFillTint="34"/>
      </w:tcPr>
    </w:tblStylePr>
    <w:tblStylePr w:type="band1Horz">
      <w:rPr>
        <w:rFonts w:ascii="Arial" w:hAnsi="Arial"/>
        <w:color w:val="245A8C" w:themeColor="accent5" w:themeShade="94"/>
        <w:sz w:val="22"/>
      </w:rPr>
      <w:tblPr/>
      <w:tcPr>
        <w:shd w:val="clear" w:color="E1EFD8" w:themeColor="accent6" w:themeTint="34" w:fill="E1EFD8" w:themeFill="accent6" w:themeFillTint="34"/>
      </w:tcPr>
    </w:tblStylePr>
    <w:tblStylePr w:type="band2Horz">
      <w:rPr>
        <w:rFonts w:ascii="Arial" w:hAnsi="Arial"/>
        <w:color w:val="245A8C" w:themeColor="accent5" w:themeShade="94"/>
        <w:sz w:val="22"/>
      </w:rPr>
    </w:tblStylePr>
  </w:style>
  <w:style w:type="table" w:customStyle="1" w:styleId="GridTable7Colorful1">
    <w:name w:val="Grid Table 7 Colorful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sz w:val="22"/>
      </w:rPr>
      <w:tblPr/>
      <w:tcPr>
        <w:tcBorders>
          <w:top w:val="nil"/>
          <w:left w:val="nil"/>
          <w:bottom w:val="single" w:sz="4" w:space="0" w:color="7F7F7F" w:themeColor="text1" w:themeTint="80"/>
          <w:right w:val="nil"/>
        </w:tcBorders>
        <w:shd w:val="clear" w:color="FFFFFF" w:themeColor="light1" w:fill="FFFFFF" w:themeFill="light1"/>
      </w:tcPr>
    </w:tblStylePr>
    <w:tblStylePr w:type="lastRow">
      <w:rPr>
        <w:rFonts w:ascii="Arial" w:hAnsi="Arial"/>
        <w:b/>
        <w:color w:val="7F7F7F" w:themeColor="text1" w:themeTint="80"/>
        <w:sz w:val="22"/>
      </w:rPr>
      <w:tblPr/>
      <w:tcPr>
        <w:tcBorders>
          <w:top w:val="single" w:sz="4" w:space="0" w:color="7F7F7F" w:themeColor="text1" w:themeTint="80"/>
          <w:left w:val="nil"/>
          <w:bottom w:val="nil"/>
          <w:right w:val="nil"/>
        </w:tcBorders>
        <w:shd w:val="clear" w:color="FFFFFF" w:themeColor="light1" w:fill="FFFFFF"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FFFFFF" w:fill="auto"/>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sz w:val="22"/>
      </w:rPr>
      <w:tblPr/>
      <w:tcPr>
        <w:shd w:val="clear" w:color="F2F2F2" w:themeColor="text1" w:themeTint="0D" w:fill="F2F2F2" w:themeFill="text1" w:themeFillTint="0D"/>
      </w:tcPr>
    </w:tblStylePr>
    <w:tblStylePr w:type="band2Horz">
      <w:rPr>
        <w:rFonts w:ascii="Arial" w:hAnsi="Arial"/>
        <w:color w:val="7F7F7F" w:themeColor="text1" w:themeTint="80"/>
        <w:sz w:val="22"/>
      </w:rPr>
    </w:tblStylePr>
  </w:style>
  <w:style w:type="table" w:customStyle="1" w:styleId="GridTable7Colorful-Accent11">
    <w:name w:val="Grid Table 7 Colorful - Accent 1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sz w:val="22"/>
      </w:rPr>
      <w:tblPr/>
      <w:tcPr>
        <w:tcBorders>
          <w:top w:val="nil"/>
          <w:left w:val="nil"/>
          <w:bottom w:val="single" w:sz="4" w:space="0" w:color="A0B7E1" w:themeColor="accent1" w:themeTint="80"/>
          <w:right w:val="nil"/>
        </w:tcBorders>
        <w:shd w:val="clear" w:color="FFFFFF" w:themeColor="light1" w:fill="FFFFFF" w:themeFill="light1"/>
      </w:tcPr>
    </w:tblStylePr>
    <w:tblStylePr w:type="lastRow">
      <w:rPr>
        <w:rFonts w:ascii="Arial" w:hAnsi="Arial"/>
        <w:b/>
        <w:color w:val="A0B7E1" w:themeColor="accent1" w:themeTint="80"/>
        <w:sz w:val="22"/>
      </w:rPr>
      <w:tblPr/>
      <w:tcPr>
        <w:tcBorders>
          <w:top w:val="single" w:sz="4" w:space="0" w:color="A0B7E1" w:themeColor="accent1" w:themeTint="80"/>
          <w:left w:val="nil"/>
          <w:bottom w:val="nil"/>
          <w:right w:val="nil"/>
        </w:tcBorders>
        <w:shd w:val="clear" w:color="FFFFFF" w:themeColor="light1" w:fill="FFFFFF" w:themeFill="light1"/>
      </w:tcPr>
    </w:tblStylePr>
    <w:tblStylePr w:type="firstCol">
      <w:pPr>
        <w:jc w:val="right"/>
      </w:pPr>
      <w:rPr>
        <w:rFonts w:ascii="Arial" w:hAnsi="Arial"/>
        <w:i/>
        <w:color w:val="A0B7E1" w:themeColor="accent1" w:themeTint="80"/>
        <w:sz w:val="22"/>
      </w:rPr>
      <w:tblPr/>
      <w:tcPr>
        <w:tcBorders>
          <w:top w:val="nil"/>
          <w:left w:val="nil"/>
          <w:bottom w:val="nil"/>
          <w:right w:val="single" w:sz="4" w:space="0" w:color="A0B7E1" w:themeColor="accent1" w:themeTint="80"/>
        </w:tcBorders>
        <w:shd w:val="clear" w:color="FFFFFF" w:fill="auto"/>
      </w:tcPr>
    </w:tblStylePr>
    <w:tblStylePr w:type="lastCol">
      <w:rPr>
        <w:rFonts w:ascii="Arial" w:hAnsi="Arial"/>
        <w:i/>
        <w:color w:val="A0B7E1" w:themeColor="accent1" w:themeTint="80"/>
        <w:sz w:val="22"/>
      </w:rPr>
      <w:tblPr/>
      <w:tcPr>
        <w:tcBorders>
          <w:top w:val="nil"/>
          <w:left w:val="single" w:sz="4" w:space="0" w:color="A0B7E1" w:themeColor="accent1" w:themeTint="80"/>
          <w:bottom w:val="nil"/>
          <w:right w:val="nil"/>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sz w:val="22"/>
      </w:rPr>
      <w:tblPr/>
      <w:tcPr>
        <w:shd w:val="clear" w:color="D8E2F3" w:themeColor="accent1" w:themeTint="34" w:fill="D8E2F3" w:themeFill="accent1" w:themeFillTint="34"/>
      </w:tcPr>
    </w:tblStylePr>
    <w:tblStylePr w:type="band2Horz">
      <w:rPr>
        <w:rFonts w:ascii="Arial" w:hAnsi="Arial"/>
        <w:color w:val="A0B7E1" w:themeColor="accent1" w:themeTint="80"/>
        <w:sz w:val="22"/>
      </w:rPr>
    </w:tblStylePr>
  </w:style>
  <w:style w:type="table" w:customStyle="1" w:styleId="GridTable7Colorful-Accent21">
    <w:name w:val="Grid Table 7 Colorful - Accent 2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285" w:themeColor="accent2" w:themeTint="96"/>
        <w:sz w:val="22"/>
      </w:rPr>
      <w:tblPr/>
      <w:tcPr>
        <w:tcBorders>
          <w:top w:val="nil"/>
          <w:left w:val="nil"/>
          <w:bottom w:val="single" w:sz="4" w:space="0" w:color="F4B184" w:themeColor="accent2" w:themeTint="97"/>
          <w:right w:val="nil"/>
        </w:tcBorders>
        <w:shd w:val="clear" w:color="FFFFFF" w:themeColor="light1" w:fill="FFFFFF" w:themeFill="light1"/>
      </w:tcPr>
    </w:tblStylePr>
    <w:tblStylePr w:type="lastRow">
      <w:rPr>
        <w:rFonts w:ascii="Arial" w:hAnsi="Arial"/>
        <w:b/>
        <w:color w:val="F4B285" w:themeColor="accent2" w:themeTint="96"/>
        <w:sz w:val="22"/>
      </w:rPr>
      <w:tblPr/>
      <w:tcPr>
        <w:tcBorders>
          <w:top w:val="single" w:sz="4" w:space="0" w:color="F4B184" w:themeColor="accent2" w:themeTint="97"/>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FFFFFF" w:fill="auto"/>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285" w:themeColor="accent2" w:themeTint="96"/>
        <w:sz w:val="22"/>
      </w:rPr>
      <w:tblPr/>
      <w:tcPr>
        <w:shd w:val="clear" w:color="FBE5D6" w:themeColor="accent2" w:themeTint="32" w:fill="FBE5D6" w:themeFill="accent2" w:themeFillTint="32"/>
      </w:tcPr>
    </w:tblStylePr>
    <w:tblStylePr w:type="band2Horz">
      <w:rPr>
        <w:rFonts w:ascii="Arial" w:hAnsi="Arial"/>
        <w:color w:val="F4B285" w:themeColor="accent2" w:themeTint="96"/>
        <w:sz w:val="22"/>
      </w:rPr>
    </w:tblStylePr>
  </w:style>
  <w:style w:type="table" w:customStyle="1" w:styleId="GridTable7Colorful-Accent31">
    <w:name w:val="Grid Table 7 Colorful - Accent 3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sz w:val="22"/>
      </w:rPr>
      <w:tblPr/>
      <w:tcPr>
        <w:tcBorders>
          <w:top w:val="nil"/>
          <w:left w:val="nil"/>
          <w:bottom w:val="single" w:sz="4" w:space="0" w:color="A5A5A5" w:themeColor="accent3" w:themeTint="FE"/>
          <w:right w:val="nil"/>
        </w:tcBorders>
        <w:shd w:val="clear" w:color="FFFFFF" w:themeColor="light1" w:fill="FFFFFF" w:themeFill="light1"/>
      </w:tcPr>
    </w:tblStylePr>
    <w:tblStylePr w:type="lastRow">
      <w:rPr>
        <w:rFonts w:ascii="Arial" w:hAnsi="Arial"/>
        <w:b/>
        <w:color w:val="A5A5A5" w:themeColor="accent3"/>
        <w:sz w:val="22"/>
      </w:rPr>
      <w:tblPr/>
      <w:tcPr>
        <w:tcBorders>
          <w:top w:val="single" w:sz="4" w:space="0" w:color="A5A5A5" w:themeColor="accent3" w:themeTint="FE"/>
          <w:left w:val="nil"/>
          <w:bottom w:val="nil"/>
          <w:right w:val="nil"/>
        </w:tcBorders>
        <w:shd w:val="clear" w:color="FFFFFF" w:themeColor="light1" w:fill="FFFFFF" w:themeFill="light1"/>
      </w:tcPr>
    </w:tblStylePr>
    <w:tblStylePr w:type="firstCol">
      <w:pPr>
        <w:jc w:val="right"/>
      </w:pPr>
      <w:rPr>
        <w:rFonts w:ascii="Arial" w:hAnsi="Arial"/>
        <w:i/>
        <w:color w:val="A5A5A5" w:themeColor="accent3"/>
        <w:sz w:val="22"/>
      </w:rPr>
      <w:tblPr/>
      <w:tcPr>
        <w:tcBorders>
          <w:top w:val="nil"/>
          <w:left w:val="nil"/>
          <w:bottom w:val="nil"/>
          <w:right w:val="single" w:sz="4" w:space="0" w:color="A5A5A5" w:themeColor="accent3" w:themeTint="FE"/>
        </w:tcBorders>
        <w:shd w:val="clear" w:color="FFFFFF" w:fill="auto"/>
      </w:tcPr>
    </w:tblStylePr>
    <w:tblStylePr w:type="lastCol">
      <w:rPr>
        <w:rFonts w:ascii="Arial" w:hAnsi="Arial"/>
        <w:i/>
        <w:color w:val="A5A5A5" w:themeColor="accent3"/>
        <w:sz w:val="22"/>
      </w:rPr>
      <w:tblPr/>
      <w:tcPr>
        <w:tcBorders>
          <w:top w:val="nil"/>
          <w:left w:val="single" w:sz="4" w:space="0" w:color="A5A5A5" w:themeColor="accent3" w:themeTint="FE"/>
          <w:bottom w:val="nil"/>
          <w:right w:val="nil"/>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sz w:val="22"/>
      </w:rPr>
      <w:tblPr/>
      <w:tcPr>
        <w:shd w:val="clear" w:color="ECECEC" w:themeColor="accent3" w:themeTint="34" w:fill="ECECEC" w:themeFill="accent3" w:themeFillTint="34"/>
      </w:tcPr>
    </w:tblStylePr>
    <w:tblStylePr w:type="band2Horz">
      <w:rPr>
        <w:rFonts w:ascii="Arial" w:hAnsi="Arial"/>
        <w:color w:val="A5A5A5" w:themeColor="accent3"/>
        <w:sz w:val="22"/>
      </w:rPr>
    </w:tblStylePr>
  </w:style>
  <w:style w:type="table" w:customStyle="1" w:styleId="GridTable7Colorful-Accent41">
    <w:name w:val="Grid Table 7 Colorful - Accent 4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966" w:themeColor="accent4" w:themeTint="99"/>
        <w:sz w:val="22"/>
      </w:rPr>
      <w:tblPr/>
      <w:tcPr>
        <w:tcBorders>
          <w:top w:val="nil"/>
          <w:left w:val="nil"/>
          <w:bottom w:val="single" w:sz="4" w:space="0" w:color="FFD865" w:themeColor="accent4" w:themeTint="9A"/>
          <w:right w:val="nil"/>
        </w:tcBorders>
        <w:shd w:val="clear" w:color="FFFFFF" w:themeColor="light1" w:fill="FFFFFF" w:themeFill="light1"/>
      </w:tcPr>
    </w:tblStylePr>
    <w:tblStylePr w:type="lastRow">
      <w:rPr>
        <w:rFonts w:ascii="Arial" w:hAnsi="Arial"/>
        <w:b/>
        <w:color w:val="FFD966" w:themeColor="accent4" w:themeTint="99"/>
        <w:sz w:val="22"/>
      </w:rPr>
      <w:tblPr/>
      <w:tcPr>
        <w:tcBorders>
          <w:top w:val="single" w:sz="4" w:space="0" w:color="FFD865" w:themeColor="accent4" w:themeTint="9A"/>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FFFFFF" w:fill="auto"/>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966" w:themeColor="accent4" w:themeTint="99"/>
        <w:sz w:val="22"/>
      </w:rPr>
      <w:tblPr/>
      <w:tcPr>
        <w:shd w:val="clear" w:color="FFF2CB" w:themeColor="accent4" w:themeTint="34" w:fill="FFF2CB" w:themeFill="accent4" w:themeFillTint="34"/>
      </w:tcPr>
    </w:tblStylePr>
    <w:tblStylePr w:type="band2Horz">
      <w:rPr>
        <w:rFonts w:ascii="Arial" w:hAnsi="Arial"/>
        <w:color w:val="FFD966" w:themeColor="accent4" w:themeTint="99"/>
        <w:sz w:val="22"/>
      </w:rPr>
    </w:tblStylePr>
  </w:style>
  <w:style w:type="table" w:customStyle="1" w:styleId="GridTable7Colorful-Accent51">
    <w:name w:val="Grid Table 7 Colorful - Accent 5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C" w:themeColor="accent5" w:themeShade="94"/>
        <w:sz w:val="22"/>
      </w:rPr>
      <w:tblPr/>
      <w:tcPr>
        <w:tcBorders>
          <w:top w:val="nil"/>
          <w:left w:val="nil"/>
          <w:bottom w:val="single" w:sz="4" w:space="0" w:color="A2C6E7" w:themeColor="accent5" w:themeTint="90"/>
          <w:right w:val="nil"/>
        </w:tcBorders>
        <w:shd w:val="clear" w:color="FFFFFF" w:themeColor="light1" w:fill="FFFFFF" w:themeFill="light1"/>
      </w:tcPr>
    </w:tblStylePr>
    <w:tblStylePr w:type="lastRow">
      <w:rPr>
        <w:rFonts w:ascii="Arial" w:hAnsi="Arial"/>
        <w:b/>
        <w:color w:val="245A8C" w:themeColor="accent5" w:themeShade="94"/>
        <w:sz w:val="22"/>
      </w:rPr>
      <w:tblPr/>
      <w:tcPr>
        <w:tcBorders>
          <w:top w:val="single" w:sz="4" w:space="0" w:color="A2C6E7" w:themeColor="accent5" w:themeTint="90"/>
          <w:left w:val="nil"/>
          <w:bottom w:val="nil"/>
          <w:right w:val="nil"/>
        </w:tcBorders>
        <w:shd w:val="clear" w:color="FFFFFF" w:themeColor="light1" w:fill="FFFFFF" w:themeFill="light1"/>
      </w:tcPr>
    </w:tblStylePr>
    <w:tblStylePr w:type="firstCol">
      <w:pPr>
        <w:jc w:val="right"/>
      </w:pPr>
      <w:rPr>
        <w:rFonts w:ascii="Arial" w:hAnsi="Arial"/>
        <w:i/>
        <w:color w:val="245A8C" w:themeColor="accent5" w:themeShade="94"/>
        <w:sz w:val="22"/>
      </w:rPr>
      <w:tblPr/>
      <w:tcPr>
        <w:tcBorders>
          <w:top w:val="nil"/>
          <w:left w:val="nil"/>
          <w:bottom w:val="nil"/>
          <w:right w:val="single" w:sz="4" w:space="0" w:color="A2C6E7" w:themeColor="accent5" w:themeTint="90"/>
        </w:tcBorders>
        <w:shd w:val="clear" w:color="FFFFFF" w:fill="auto"/>
      </w:tcPr>
    </w:tblStylePr>
    <w:tblStylePr w:type="lastCol">
      <w:rPr>
        <w:rFonts w:ascii="Arial" w:hAnsi="Arial"/>
        <w:i/>
        <w:color w:val="245A8C" w:themeColor="accent5" w:themeShade="94"/>
        <w:sz w:val="22"/>
      </w:rPr>
      <w:tblPr/>
      <w:tcPr>
        <w:tcBorders>
          <w:top w:val="nil"/>
          <w:left w:val="single" w:sz="4" w:space="0" w:color="A2C6E7" w:themeColor="accent5" w:themeTint="90"/>
          <w:bottom w:val="nil"/>
          <w:right w:val="nil"/>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C" w:themeColor="accent5" w:themeShade="94"/>
        <w:sz w:val="22"/>
      </w:rPr>
      <w:tblPr/>
      <w:tcPr>
        <w:shd w:val="clear" w:color="DDEAF6" w:themeColor="accent5" w:themeTint="34" w:fill="DDEAF6" w:themeFill="accent5" w:themeFillTint="34"/>
      </w:tcPr>
    </w:tblStylePr>
    <w:tblStylePr w:type="band2Horz">
      <w:rPr>
        <w:rFonts w:ascii="Arial" w:hAnsi="Arial"/>
        <w:color w:val="245A8C" w:themeColor="accent5" w:themeShade="94"/>
        <w:sz w:val="22"/>
      </w:rPr>
    </w:tblStylePr>
  </w:style>
  <w:style w:type="table" w:customStyle="1" w:styleId="GridTable7Colorful-Accent61">
    <w:name w:val="Grid Table 7 Colorful - Accent 61"/>
    <w:basedOn w:val="TableNormal"/>
    <w:uiPriority w:val="99"/>
    <w:qFormat/>
    <w:rsid w:val="0059611F"/>
    <w:pPr>
      <w:spacing w:after="0" w:line="240" w:lineRule="auto"/>
    </w:pPr>
    <w:rPr>
      <w:rFonts w:ascii="Arial" w:eastAsia="noto serif cjk sc" w:hAnsi="Arial"/>
      <w:lang w:eastAsia="zh-CN" w:bidi="hi-IN"/>
    </w:rPr>
    <w:tblPr>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06429" w:themeColor="accent6" w:themeShade="94"/>
        <w:sz w:val="22"/>
      </w:rPr>
      <w:tblPr/>
      <w:tcPr>
        <w:tcBorders>
          <w:top w:val="nil"/>
          <w:left w:val="nil"/>
          <w:bottom w:val="single" w:sz="4" w:space="0" w:color="ADD394" w:themeColor="accent6" w:themeTint="90"/>
          <w:right w:val="nil"/>
        </w:tcBorders>
        <w:shd w:val="clear" w:color="FFFFFF" w:themeColor="light1" w:fill="FFFFFF" w:themeFill="light1"/>
      </w:tcPr>
    </w:tblStylePr>
    <w:tblStylePr w:type="lastRow">
      <w:rPr>
        <w:rFonts w:ascii="Arial" w:hAnsi="Arial"/>
        <w:b/>
        <w:color w:val="406429" w:themeColor="accent6" w:themeShade="94"/>
        <w:sz w:val="22"/>
      </w:rPr>
      <w:tblPr/>
      <w:tcPr>
        <w:tcBorders>
          <w:top w:val="single" w:sz="4" w:space="0" w:color="ADD394" w:themeColor="accent6" w:themeTint="90"/>
          <w:left w:val="nil"/>
          <w:bottom w:val="nil"/>
          <w:right w:val="nil"/>
        </w:tcBorders>
        <w:shd w:val="clear" w:color="FFFFFF" w:themeColor="light1" w:fill="FFFFFF" w:themeFill="light1"/>
      </w:tcPr>
    </w:tblStylePr>
    <w:tblStylePr w:type="firstCol">
      <w:pPr>
        <w:jc w:val="right"/>
      </w:pPr>
      <w:rPr>
        <w:rFonts w:ascii="Arial" w:hAnsi="Arial"/>
        <w:i/>
        <w:color w:val="406429" w:themeColor="accent6" w:themeShade="94"/>
        <w:sz w:val="22"/>
      </w:rPr>
      <w:tblPr/>
      <w:tcPr>
        <w:tcBorders>
          <w:top w:val="nil"/>
          <w:left w:val="nil"/>
          <w:bottom w:val="nil"/>
          <w:right w:val="single" w:sz="4" w:space="0" w:color="ADD394" w:themeColor="accent6" w:themeTint="90"/>
        </w:tcBorders>
        <w:shd w:val="clear" w:color="FFFFFF" w:fill="auto"/>
      </w:tcPr>
    </w:tblStylePr>
    <w:tblStylePr w:type="lastCol">
      <w:rPr>
        <w:rFonts w:ascii="Arial" w:hAnsi="Arial"/>
        <w:i/>
        <w:color w:val="406429" w:themeColor="accent6" w:themeShade="94"/>
        <w:sz w:val="22"/>
      </w:rPr>
      <w:tblPr/>
      <w:tcPr>
        <w:tcBorders>
          <w:top w:val="nil"/>
          <w:left w:val="single" w:sz="4" w:space="0" w:color="ADD394" w:themeColor="accent6" w:themeTint="90"/>
          <w:bottom w:val="nil"/>
          <w:right w:val="nil"/>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06429" w:themeColor="accent6" w:themeShade="94"/>
        <w:sz w:val="22"/>
      </w:rPr>
      <w:tblPr/>
      <w:tcPr>
        <w:shd w:val="clear" w:color="E1EFD8" w:themeColor="accent6" w:themeTint="34" w:fill="E1EFD8" w:themeFill="accent6" w:themeFillTint="34"/>
      </w:tcPr>
    </w:tblStylePr>
    <w:tblStylePr w:type="band2Horz">
      <w:rPr>
        <w:rFonts w:ascii="Arial" w:hAnsi="Arial"/>
        <w:color w:val="406429" w:themeColor="accent6" w:themeShade="94"/>
        <w:sz w:val="22"/>
      </w:rPr>
    </w:tblStylePr>
  </w:style>
  <w:style w:type="table" w:customStyle="1" w:styleId="ListTable1Light-Accent11">
    <w:name w:val="List Table 1 Light - Accent 1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4472C4" w:themeColor="accent1"/>
          <w:right w:val="nil"/>
        </w:tcBorders>
      </w:tcPr>
    </w:tblStylePr>
    <w:tblStylePr w:type="lastRow">
      <w:rPr>
        <w:b/>
        <w:color w:val="404040"/>
      </w:rPr>
      <w:tblPr/>
      <w:tcPr>
        <w:tcBorders>
          <w:top w:val="single" w:sz="4" w:space="0" w:color="4472C4" w:themeColor="accent1"/>
          <w:left w:val="nil"/>
          <w:bottom w:val="nil"/>
          <w:right w:val="nil"/>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1">
    <w:name w:val="List Table 1 Light - Accent 2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ED7D31" w:themeColor="accent2"/>
          <w:right w:val="nil"/>
        </w:tcBorders>
      </w:tcPr>
    </w:tblStylePr>
    <w:tblStylePr w:type="lastRow">
      <w:rPr>
        <w:b/>
        <w:color w:val="404040"/>
      </w:rPr>
      <w:tblPr/>
      <w:tcPr>
        <w:tcBorders>
          <w:top w:val="single" w:sz="4" w:space="0" w:color="ED7D31" w:themeColor="accent2"/>
          <w:left w:val="nil"/>
          <w:bottom w:val="nil"/>
          <w:right w:val="nil"/>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1">
    <w:name w:val="List Table 1 Light - Accent 3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A5A5A5" w:themeColor="accent3"/>
          <w:right w:val="nil"/>
        </w:tcBorders>
      </w:tcPr>
    </w:tblStylePr>
    <w:tblStylePr w:type="lastRow">
      <w:rPr>
        <w:b/>
        <w:color w:val="404040"/>
      </w:rPr>
      <w:tblPr/>
      <w:tcPr>
        <w:tcBorders>
          <w:top w:val="single" w:sz="4" w:space="0" w:color="A5A5A5" w:themeColor="accent3"/>
          <w:left w:val="nil"/>
          <w:bottom w:val="nil"/>
          <w:right w:val="nil"/>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1">
    <w:name w:val="List Table 1 Light - Accent 4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FFC000" w:themeColor="accent4"/>
          <w:right w:val="nil"/>
        </w:tcBorders>
      </w:tcPr>
    </w:tblStylePr>
    <w:tblStylePr w:type="lastRow">
      <w:rPr>
        <w:b/>
        <w:color w:val="404040"/>
      </w:rPr>
      <w:tblPr/>
      <w:tcPr>
        <w:tcBorders>
          <w:top w:val="single" w:sz="4" w:space="0" w:color="FFC000"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1">
    <w:name w:val="List Table 1 Light - Accent 5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5B9BD5" w:themeColor="accent5"/>
          <w:right w:val="nil"/>
        </w:tcBorders>
      </w:tcPr>
    </w:tblStylePr>
    <w:tblStylePr w:type="lastRow">
      <w:rPr>
        <w:b/>
        <w:color w:val="404040"/>
      </w:rPr>
      <w:tblPr/>
      <w:tcPr>
        <w:tcBorders>
          <w:top w:val="single" w:sz="4" w:space="0" w:color="5B9BD5"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1">
    <w:name w:val="List Table 1 Light - Accent 61"/>
    <w:basedOn w:val="TableNormal"/>
    <w:uiPriority w:val="99"/>
    <w:qFormat/>
    <w:rsid w:val="0059611F"/>
    <w:pPr>
      <w:spacing w:after="0" w:line="240" w:lineRule="auto"/>
    </w:pPr>
    <w:rPr>
      <w:rFonts w:ascii="Arial" w:eastAsia="noto serif cjk sc" w:hAnsi="Arial"/>
      <w:lang w:eastAsia="zh-CN" w:bidi="hi-IN"/>
    </w:rPr>
    <w:tblPr/>
    <w:tblStylePr w:type="firstRow">
      <w:rPr>
        <w:b/>
        <w:color w:val="404040"/>
      </w:rPr>
      <w:tblPr/>
      <w:tcPr>
        <w:tcBorders>
          <w:top w:val="nil"/>
          <w:left w:val="nil"/>
          <w:bottom w:val="single" w:sz="4" w:space="0" w:color="70AD47" w:themeColor="accent6"/>
          <w:right w:val="nil"/>
        </w:tcBorders>
      </w:tcPr>
    </w:tblStylePr>
    <w:tblStylePr w:type="lastRow">
      <w:rPr>
        <w:b/>
        <w:color w:val="404040"/>
      </w:rPr>
      <w:tblPr/>
      <w:tcPr>
        <w:tcBorders>
          <w:top w:val="single" w:sz="4" w:space="0" w:color="70AD47"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1">
    <w:name w:val="List Table 21"/>
    <w:basedOn w:val="TableNormal"/>
    <w:uiPriority w:val="99"/>
    <w:qFormat/>
    <w:rsid w:val="0059611F"/>
    <w:pPr>
      <w:spacing w:after="0" w:line="240" w:lineRule="auto"/>
    </w:pPr>
    <w:rPr>
      <w:rFonts w:ascii="Arial" w:eastAsia="noto serif cjk sc" w:hAnsi="Arial"/>
      <w:lang w:eastAsia="zh-CN" w:bidi="hi-IN"/>
    </w:rPr>
    <w:tblPr>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la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1">
    <w:name w:val="List Table 2 - Accent 11"/>
    <w:basedOn w:val="TableNormal"/>
    <w:uiPriority w:val="99"/>
    <w:qFormat/>
    <w:rsid w:val="0059611F"/>
    <w:pPr>
      <w:spacing w:after="0" w:line="240" w:lineRule="auto"/>
    </w:pPr>
    <w:rPr>
      <w:rFonts w:ascii="Arial" w:eastAsia="noto serif cjk sc" w:hAnsi="Arial"/>
      <w:lang w:eastAsia="zh-CN" w:bidi="hi-IN"/>
    </w:rPr>
    <w:tblPr>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il"/>
          <w:bottom w:val="single" w:sz="4" w:space="0" w:color="95AFDD" w:themeColor="accent1" w:themeTint="90"/>
          <w:right w:val="nil"/>
        </w:tcBorders>
      </w:tcPr>
    </w:tblStylePr>
    <w:tblStylePr w:type="lastRow">
      <w:rPr>
        <w:rFonts w:ascii="Arial" w:hAnsi="Arial"/>
        <w:b/>
        <w:color w:val="404040"/>
        <w:sz w:val="22"/>
      </w:rPr>
      <w:tblPr/>
      <w:tcPr>
        <w:tcBorders>
          <w:top w:val="single" w:sz="4" w:space="0" w:color="95AFDD" w:themeColor="accent1" w:themeTint="90"/>
          <w:left w:val="nil"/>
          <w:bottom w:val="single" w:sz="4" w:space="0" w:color="95AFDD"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1">
    <w:name w:val="List Table 2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1">
    <w:name w:val="List Table 2 - Accent 31"/>
    <w:basedOn w:val="TableNormal"/>
    <w:uiPriority w:val="47"/>
    <w:qFormat/>
    <w:rsid w:val="0059611F"/>
    <w:pPr>
      <w:spacing w:after="0" w:line="240" w:lineRule="auto"/>
    </w:pPr>
    <w:rPr>
      <w:rFonts w:ascii="Arial" w:eastAsia="noto serif cjk sc" w:hAnsi="Arial"/>
      <w:lang w:eastAsia="zh-CN" w:bidi="hi-IN"/>
    </w:rPr>
    <w:tblPr>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2-Accent41">
    <w:name w:val="List Table 2 - Accent 41"/>
    <w:basedOn w:val="TableNormal"/>
    <w:uiPriority w:val="99"/>
    <w:qFormat/>
    <w:rsid w:val="0059611F"/>
    <w:pPr>
      <w:spacing w:after="0" w:line="240" w:lineRule="auto"/>
    </w:pPr>
    <w:rPr>
      <w:rFonts w:ascii="Arial" w:eastAsia="noto serif cjk sc" w:hAnsi="Arial"/>
      <w:lang w:eastAsia="zh-CN" w:bidi="hi-IN"/>
    </w:rPr>
    <w:tblPr>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la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1">
    <w:name w:val="List Table 2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il"/>
          <w:bottom w:val="single" w:sz="4" w:space="0" w:color="A2C6E7" w:themeColor="accent5" w:themeTint="90"/>
          <w:right w:val="nil"/>
        </w:tcBorders>
      </w:tcPr>
    </w:tblStylePr>
    <w:tblStylePr w:type="lastRow">
      <w:rPr>
        <w:rFonts w:ascii="Arial" w:hAnsi="Arial"/>
        <w:b/>
        <w:color w:val="404040"/>
        <w:sz w:val="22"/>
      </w:rPr>
      <w:tblPr/>
      <w:tcPr>
        <w:tcBorders>
          <w:top w:val="single" w:sz="4" w:space="0" w:color="A2C6E7" w:themeColor="accent5" w:themeTint="90"/>
          <w:left w:val="nil"/>
          <w:bottom w:val="single" w:sz="4" w:space="0" w:color="A2C6E7"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1">
    <w:name w:val="List Table 2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1">
    <w:name w:val="List Table 31"/>
    <w:basedOn w:val="TableNormal"/>
    <w:uiPriority w:val="99"/>
    <w:qFormat/>
    <w:rsid w:val="0059611F"/>
    <w:pPr>
      <w:spacing w:after="0" w:line="240" w:lineRule="auto"/>
    </w:pPr>
    <w:rPr>
      <w:rFonts w:ascii="Arial" w:eastAsia="noto serif cjk sc" w:hAnsi="Arial"/>
      <w:lang w:eastAsia="zh-CN" w:bidi="hi-IN"/>
    </w:r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qFormat/>
    <w:rsid w:val="0059611F"/>
    <w:pPr>
      <w:spacing w:after="0" w:line="240" w:lineRule="auto"/>
    </w:pPr>
    <w:rPr>
      <w:rFonts w:ascii="Arial" w:eastAsia="noto serif cjk sc" w:hAnsi="Arial"/>
      <w:lang w:eastAsia="zh-CN" w:bidi="hi-IN"/>
    </w:rPr>
    <w:tblPr>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TableNormal"/>
    <w:uiPriority w:val="99"/>
    <w:qFormat/>
    <w:rsid w:val="0059611F"/>
    <w:pPr>
      <w:spacing w:after="0" w:line="240" w:lineRule="auto"/>
    </w:pPr>
    <w:rPr>
      <w:rFonts w:ascii="Arial" w:eastAsia="noto serif cjk sc" w:hAnsi="Arial"/>
      <w:lang w:eastAsia="zh-CN" w:bidi="hi-IN"/>
    </w:rPr>
    <w:tblPr>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TableNormal"/>
    <w:uiPriority w:val="99"/>
    <w:qFormat/>
    <w:rsid w:val="0059611F"/>
    <w:pPr>
      <w:spacing w:after="0" w:line="240" w:lineRule="auto"/>
    </w:pPr>
    <w:rPr>
      <w:rFonts w:ascii="Arial" w:eastAsia="noto serif cjk sc" w:hAnsi="Arial"/>
      <w:lang w:eastAsia="zh-CN" w:bidi="hi-IN"/>
    </w:rPr>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1">
    <w:name w:val="List Table 41"/>
    <w:basedOn w:val="TableNormal"/>
    <w:uiPriority w:val="99"/>
    <w:qFormat/>
    <w:rsid w:val="0059611F"/>
    <w:pPr>
      <w:spacing w:after="0" w:line="240" w:lineRule="auto"/>
    </w:pPr>
    <w:rPr>
      <w:rFonts w:ascii="Arial" w:eastAsia="noto serif cjk sc" w:hAnsi="Arial"/>
      <w:lang w:eastAsia="zh-CN" w:bidi="hi-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1">
    <w:name w:val="List Table 4 - Accent 11"/>
    <w:basedOn w:val="TableNormal"/>
    <w:uiPriority w:val="99"/>
    <w:qFormat/>
    <w:rsid w:val="0059611F"/>
    <w:pPr>
      <w:spacing w:after="0" w:line="240" w:lineRule="auto"/>
    </w:pPr>
    <w:rPr>
      <w:rFonts w:ascii="Arial" w:eastAsia="noto serif cjk sc" w:hAnsi="Arial"/>
      <w:lang w:eastAsia="zh-CN" w:bidi="hi-IN"/>
    </w:rPr>
    <w:tblPr>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1">
    <w:name w:val="List Table 4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1">
    <w:name w:val="List Table 4 - Accent 31"/>
    <w:basedOn w:val="TableNormal"/>
    <w:uiPriority w:val="99"/>
    <w:qFormat/>
    <w:rsid w:val="0059611F"/>
    <w:pPr>
      <w:spacing w:after="0" w:line="240" w:lineRule="auto"/>
    </w:pPr>
    <w:rPr>
      <w:rFonts w:ascii="Arial" w:eastAsia="noto serif cjk sc" w:hAnsi="Arial"/>
      <w:lang w:eastAsia="zh-CN" w:bidi="hi-IN"/>
    </w:r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1">
    <w:name w:val="List Table 4 - Accent 41"/>
    <w:basedOn w:val="TableNormal"/>
    <w:uiPriority w:val="99"/>
    <w:qFormat/>
    <w:rsid w:val="0059611F"/>
    <w:pPr>
      <w:spacing w:after="0" w:line="240" w:lineRule="auto"/>
    </w:pPr>
    <w:rPr>
      <w:rFonts w:ascii="Arial" w:eastAsia="noto serif cjk sc" w:hAnsi="Arial"/>
      <w:lang w:eastAsia="zh-CN" w:bidi="hi-IN"/>
    </w:rPr>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1">
    <w:name w:val="List Table 4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1">
    <w:name w:val="List Table 4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1">
    <w:name w:val="List Table 5 Dark1"/>
    <w:basedOn w:val="TableNormal"/>
    <w:uiPriority w:val="99"/>
    <w:qFormat/>
    <w:rsid w:val="0059611F"/>
    <w:pPr>
      <w:spacing w:after="0" w:line="240" w:lineRule="auto"/>
    </w:pPr>
    <w:rPr>
      <w:rFonts w:ascii="Arial" w:eastAsia="noto serif cjk sc" w:hAnsi="Arial"/>
      <w:lang w:eastAsia="zh-CN" w:bidi="hi-IN"/>
    </w:rPr>
    <w:tblPr>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1">
    <w:name w:val="List Table 5 Dark - Accent 11"/>
    <w:basedOn w:val="TableNormal"/>
    <w:uiPriority w:val="99"/>
    <w:qFormat/>
    <w:rsid w:val="0059611F"/>
    <w:pPr>
      <w:spacing w:after="0" w:line="240" w:lineRule="auto"/>
    </w:pPr>
    <w:rPr>
      <w:rFonts w:ascii="Arial" w:eastAsia="noto serif cjk sc" w:hAnsi="Arial"/>
      <w:lang w:eastAsia="zh-CN" w:bidi="hi-IN"/>
    </w:rPr>
    <w:tblPr>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1">
    <w:name w:val="List Table 5 Dark - Accent 21"/>
    <w:basedOn w:val="TableNormal"/>
    <w:uiPriority w:val="99"/>
    <w:qFormat/>
    <w:rsid w:val="0059611F"/>
    <w:pPr>
      <w:spacing w:after="0" w:line="240" w:lineRule="auto"/>
    </w:pPr>
    <w:rPr>
      <w:rFonts w:ascii="Arial" w:eastAsia="noto serif cjk sc" w:hAnsi="Arial"/>
      <w:lang w:eastAsia="zh-CN" w:bidi="hi-IN"/>
    </w:rPr>
    <w:tblPr>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1">
    <w:name w:val="List Table 5 Dark - Accent 31"/>
    <w:basedOn w:val="TableNormal"/>
    <w:uiPriority w:val="99"/>
    <w:qFormat/>
    <w:rsid w:val="0059611F"/>
    <w:pPr>
      <w:spacing w:after="0" w:line="240" w:lineRule="auto"/>
    </w:pPr>
    <w:rPr>
      <w:rFonts w:ascii="Arial" w:eastAsia="noto serif cjk sc" w:hAnsi="Arial"/>
      <w:lang w:eastAsia="zh-CN" w:bidi="hi-IN"/>
    </w:rPr>
    <w:tblPr>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1">
    <w:name w:val="List Table 5 Dark - Accent 41"/>
    <w:basedOn w:val="TableNormal"/>
    <w:uiPriority w:val="99"/>
    <w:qFormat/>
    <w:rsid w:val="0059611F"/>
    <w:pPr>
      <w:spacing w:after="0" w:line="240" w:lineRule="auto"/>
    </w:pPr>
    <w:rPr>
      <w:rFonts w:ascii="Arial" w:eastAsia="noto serif cjk sc" w:hAnsi="Arial"/>
      <w:lang w:eastAsia="zh-CN" w:bidi="hi-IN"/>
    </w:rPr>
    <w:tblPr>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1">
    <w:name w:val="List Table 5 Dark - Accent 51"/>
    <w:basedOn w:val="TableNormal"/>
    <w:uiPriority w:val="99"/>
    <w:qFormat/>
    <w:rsid w:val="0059611F"/>
    <w:pPr>
      <w:spacing w:after="0" w:line="240" w:lineRule="auto"/>
    </w:pPr>
    <w:rPr>
      <w:rFonts w:ascii="Arial" w:eastAsia="noto serif cjk sc" w:hAnsi="Arial"/>
      <w:lang w:eastAsia="zh-CN" w:bidi="hi-IN"/>
    </w:rPr>
    <w:tblPr>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1">
    <w:name w:val="List Table 5 Dark - Accent 61"/>
    <w:basedOn w:val="TableNormal"/>
    <w:uiPriority w:val="99"/>
    <w:qFormat/>
    <w:rsid w:val="0059611F"/>
    <w:pPr>
      <w:spacing w:after="0" w:line="240" w:lineRule="auto"/>
    </w:pPr>
    <w:rPr>
      <w:rFonts w:ascii="Arial" w:eastAsia="noto serif cjk sc" w:hAnsi="Arial"/>
      <w:lang w:eastAsia="zh-CN" w:bidi="hi-IN"/>
    </w:rPr>
    <w:tblPr>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1">
    <w:name w:val="List Table 6 Colorful1"/>
    <w:basedOn w:val="TableNormal"/>
    <w:uiPriority w:val="99"/>
    <w:qFormat/>
    <w:rsid w:val="0059611F"/>
    <w:pPr>
      <w:spacing w:after="0" w:line="240" w:lineRule="auto"/>
    </w:pPr>
    <w:rPr>
      <w:rFonts w:ascii="Arial" w:eastAsia="noto serif cjk sc" w:hAnsi="Arial"/>
      <w:lang w:eastAsia="zh-CN" w:bidi="hi-IN"/>
    </w:rPr>
    <w:tblPr>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qFormat/>
    <w:rsid w:val="0059611F"/>
    <w:pPr>
      <w:spacing w:after="0" w:line="240" w:lineRule="auto"/>
    </w:pPr>
    <w:rPr>
      <w:rFonts w:ascii="Arial" w:eastAsia="noto serif cjk sc" w:hAnsi="Arial"/>
      <w:lang w:eastAsia="zh-CN" w:bidi="hi-IN"/>
    </w:rPr>
    <w:tblPr>
      <w:tblBorders>
        <w:top w:val="single" w:sz="4" w:space="0" w:color="4472C4" w:themeColor="accent1"/>
        <w:bottom w:val="single" w:sz="4" w:space="0" w:color="4472C4" w:themeColor="accent1"/>
      </w:tblBorders>
    </w:tblPr>
    <w:tblStylePr w:type="firstRow">
      <w:rPr>
        <w:b/>
        <w:color w:val="244174" w:themeColor="accent1" w:themeShade="94"/>
      </w:rPr>
      <w:tblPr/>
      <w:tcPr>
        <w:tcBorders>
          <w:bottom w:val="single" w:sz="4" w:space="0" w:color="4472C4" w:themeColor="accent1"/>
        </w:tcBorders>
      </w:tcPr>
    </w:tblStylePr>
    <w:tblStylePr w:type="lastRow">
      <w:rPr>
        <w:b/>
        <w:color w:val="244174" w:themeColor="accent1" w:themeShade="94"/>
      </w:rPr>
      <w:tblPr/>
      <w:tcPr>
        <w:tcBorders>
          <w:top w:val="single" w:sz="4" w:space="0" w:color="4472C4" w:themeColor="accent1"/>
        </w:tcBorders>
      </w:tcPr>
    </w:tblStylePr>
    <w:tblStylePr w:type="firstCol">
      <w:rPr>
        <w:b/>
        <w:color w:val="244174" w:themeColor="accent1" w:themeShade="94"/>
      </w:rPr>
    </w:tblStylePr>
    <w:tblStylePr w:type="lastCol">
      <w:rPr>
        <w:b/>
        <w:color w:val="244174" w:themeColor="accent1" w:themeShade="94"/>
      </w:rPr>
    </w:tblStylePr>
    <w:tblStylePr w:type="band1Vert">
      <w:tblPr/>
      <w:tcPr>
        <w:shd w:val="clear" w:color="CFDBF0" w:themeColor="accent1" w:themeTint="40" w:fill="CFDBF0" w:themeFill="accent1" w:themeFillTint="40"/>
      </w:tcPr>
    </w:tblStylePr>
    <w:tblStylePr w:type="band1Horz">
      <w:rPr>
        <w:rFonts w:ascii="Arial" w:hAnsi="Arial"/>
        <w:color w:val="244174" w:themeColor="accent1" w:themeShade="94"/>
        <w:sz w:val="22"/>
      </w:rPr>
      <w:tblPr/>
      <w:tcPr>
        <w:shd w:val="clear" w:color="CFDBF0" w:themeColor="accent1" w:themeTint="40" w:fill="CFDBF0" w:themeFill="accent1" w:themeFillTint="40"/>
      </w:tcPr>
    </w:tblStylePr>
    <w:tblStylePr w:type="band2Horz">
      <w:rPr>
        <w:rFonts w:ascii="Arial" w:hAnsi="Arial"/>
        <w:color w:val="244174" w:themeColor="accent1" w:themeShade="94"/>
        <w:sz w:val="22"/>
      </w:rPr>
    </w:tblStylePr>
  </w:style>
  <w:style w:type="table" w:customStyle="1" w:styleId="ListTable6Colorful-Accent21">
    <w:name w:val="List Table 6 Colorful - Accent 21"/>
    <w:basedOn w:val="TableNormal"/>
    <w:uiPriority w:val="99"/>
    <w:qFormat/>
    <w:rsid w:val="0059611F"/>
    <w:pPr>
      <w:spacing w:after="0" w:line="240" w:lineRule="auto"/>
    </w:pPr>
    <w:rPr>
      <w:rFonts w:ascii="Arial" w:eastAsia="noto serif cjk sc" w:hAnsi="Arial"/>
      <w:lang w:eastAsia="zh-CN" w:bidi="hi-IN"/>
    </w:rPr>
    <w:tblPr>
      <w:tblBorders>
        <w:top w:val="single" w:sz="4" w:space="0" w:color="F4B184" w:themeColor="accent2" w:themeTint="97"/>
        <w:bottom w:val="single" w:sz="4" w:space="0" w:color="F4B184" w:themeColor="accent2" w:themeTint="97"/>
      </w:tblBorders>
    </w:tblPr>
    <w:tblStylePr w:type="firstRow">
      <w:rPr>
        <w:b/>
        <w:color w:val="F4B285" w:themeColor="accent2" w:themeTint="96"/>
      </w:rPr>
      <w:tblPr/>
      <w:tcPr>
        <w:tcBorders>
          <w:bottom w:val="single" w:sz="4" w:space="0" w:color="F4B184" w:themeColor="accent2" w:themeTint="97"/>
        </w:tcBorders>
      </w:tcPr>
    </w:tblStylePr>
    <w:tblStylePr w:type="lastRow">
      <w:rPr>
        <w:b/>
        <w:color w:val="F4B285" w:themeColor="accent2" w:themeTint="96"/>
      </w:rPr>
      <w:tblPr/>
      <w:tcPr>
        <w:tcBorders>
          <w:top w:val="single" w:sz="4" w:space="0" w:color="F4B184" w:themeColor="accent2" w:themeTint="97"/>
        </w:tcBorders>
      </w:tcPr>
    </w:tblStylePr>
    <w:tblStylePr w:type="firstCol">
      <w:rPr>
        <w:b/>
        <w:color w:val="F4B285" w:themeColor="accent2" w:themeTint="96"/>
      </w:rPr>
    </w:tblStylePr>
    <w:tblStylePr w:type="lastCol">
      <w:rPr>
        <w:b/>
        <w:color w:val="F4B285" w:themeColor="accent2" w:themeTint="96"/>
      </w:rPr>
    </w:tblStylePr>
    <w:tblStylePr w:type="band1Vert">
      <w:tblPr/>
      <w:tcPr>
        <w:shd w:val="clear" w:color="FADECB" w:themeColor="accent2" w:themeTint="40" w:fill="FADECB" w:themeFill="accent2" w:themeFillTint="40"/>
      </w:tcPr>
    </w:tblStylePr>
    <w:tblStylePr w:type="band1Horz">
      <w:rPr>
        <w:rFonts w:ascii="Arial" w:hAnsi="Arial"/>
        <w:color w:val="F4B285" w:themeColor="accent2" w:themeTint="96"/>
        <w:sz w:val="22"/>
      </w:rPr>
      <w:tblPr/>
      <w:tcPr>
        <w:shd w:val="clear" w:color="FADECB" w:themeColor="accent2" w:themeTint="40" w:fill="FADECB" w:themeFill="accent2" w:themeFillTint="40"/>
      </w:tcPr>
    </w:tblStylePr>
    <w:tblStylePr w:type="band2Horz">
      <w:rPr>
        <w:rFonts w:ascii="Arial" w:hAnsi="Arial"/>
        <w:color w:val="F4B285" w:themeColor="accent2" w:themeTint="96"/>
        <w:sz w:val="22"/>
      </w:rPr>
    </w:tblStylePr>
  </w:style>
  <w:style w:type="table" w:customStyle="1" w:styleId="ListTable6Colorful-Accent31">
    <w:name w:val="List Table 6 Colorful - Accent 31"/>
    <w:basedOn w:val="TableNormal"/>
    <w:uiPriority w:val="99"/>
    <w:qFormat/>
    <w:rsid w:val="0059611F"/>
    <w:pPr>
      <w:spacing w:after="0" w:line="240" w:lineRule="auto"/>
    </w:pPr>
    <w:rPr>
      <w:rFonts w:ascii="Arial" w:eastAsia="noto serif cjk sc" w:hAnsi="Arial"/>
      <w:lang w:eastAsia="zh-CN" w:bidi="hi-IN"/>
    </w:rPr>
    <w:tblPr>
      <w:tblBorders>
        <w:top w:val="single" w:sz="4" w:space="0" w:color="C9C9C9" w:themeColor="accent3" w:themeTint="98"/>
        <w:bottom w:val="single" w:sz="4" w:space="0" w:color="C9C9C9" w:themeColor="accent3" w:themeTint="98"/>
      </w:tblBorders>
    </w:tblPr>
    <w:tblStylePr w:type="firstRow">
      <w:rPr>
        <w:b/>
        <w:color w:val="C9C9C9" w:themeColor="accent3" w:themeTint="99"/>
      </w:rPr>
      <w:tblPr/>
      <w:tcPr>
        <w:tcBorders>
          <w:bottom w:val="single" w:sz="4" w:space="0" w:color="C9C9C9" w:themeColor="accent3" w:themeTint="98"/>
        </w:tcBorders>
      </w:tcPr>
    </w:tblStylePr>
    <w:tblStylePr w:type="lastRow">
      <w:rPr>
        <w:b/>
        <w:color w:val="C9C9C9" w:themeColor="accent3" w:themeTint="99"/>
      </w:rPr>
      <w:tblPr/>
      <w:tcPr>
        <w:tcBorders>
          <w:top w:val="single" w:sz="4" w:space="0" w:color="C9C9C9" w:themeColor="accent3" w:themeTint="98"/>
        </w:tcBorders>
      </w:tcPr>
    </w:tblStylePr>
    <w:tblStylePr w:type="firstCol">
      <w:rPr>
        <w:b/>
        <w:color w:val="C9C9C9" w:themeColor="accent3" w:themeTint="99"/>
      </w:rPr>
    </w:tblStylePr>
    <w:tblStylePr w:type="lastCol">
      <w:rPr>
        <w:b/>
        <w:color w:val="C9C9C9" w:themeColor="accent3" w:themeTint="99"/>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9"/>
        <w:sz w:val="22"/>
      </w:rPr>
      <w:tblPr/>
      <w:tcPr>
        <w:shd w:val="clear" w:color="E8E8E8" w:themeColor="accent3" w:themeTint="40" w:fill="E8E8E8" w:themeFill="accent3" w:themeFillTint="40"/>
      </w:tcPr>
    </w:tblStylePr>
    <w:tblStylePr w:type="band2Horz">
      <w:rPr>
        <w:rFonts w:ascii="Arial" w:hAnsi="Arial"/>
        <w:color w:val="C9C9C9" w:themeColor="accent3" w:themeTint="99"/>
        <w:sz w:val="22"/>
      </w:rPr>
    </w:tblStylePr>
  </w:style>
  <w:style w:type="table" w:customStyle="1" w:styleId="ListTable6Colorful-Accent41">
    <w:name w:val="List Table 6 Colorful - Accent 41"/>
    <w:basedOn w:val="TableNormal"/>
    <w:uiPriority w:val="99"/>
    <w:qFormat/>
    <w:rsid w:val="0059611F"/>
    <w:pPr>
      <w:spacing w:after="0" w:line="240" w:lineRule="auto"/>
    </w:pPr>
    <w:rPr>
      <w:rFonts w:ascii="Arial" w:eastAsia="noto serif cjk sc" w:hAnsi="Arial"/>
      <w:lang w:eastAsia="zh-CN" w:bidi="hi-IN"/>
    </w:rPr>
    <w:tblPr>
      <w:tblBorders>
        <w:top w:val="single" w:sz="4" w:space="0" w:color="FFD865" w:themeColor="accent4" w:themeTint="9A"/>
        <w:bottom w:val="single" w:sz="4" w:space="0" w:color="FFD865" w:themeColor="accent4" w:themeTint="9A"/>
      </w:tblBorders>
    </w:tblPr>
    <w:tblStylePr w:type="firstRow">
      <w:rPr>
        <w:b/>
        <w:color w:val="FFD966" w:themeColor="accent4" w:themeTint="99"/>
      </w:rPr>
      <w:tblPr/>
      <w:tcPr>
        <w:tcBorders>
          <w:bottom w:val="single" w:sz="4" w:space="0" w:color="FFD865" w:themeColor="accent4" w:themeTint="9A"/>
        </w:tcBorders>
      </w:tcPr>
    </w:tblStylePr>
    <w:tblStylePr w:type="lastRow">
      <w:rPr>
        <w:b/>
        <w:color w:val="FFD966" w:themeColor="accent4" w:themeTint="99"/>
      </w:rPr>
      <w:tblPr/>
      <w:tcPr>
        <w:tcBorders>
          <w:top w:val="single" w:sz="4" w:space="0" w:color="FFD865" w:themeColor="accent4" w:themeTint="9A"/>
        </w:tcBorders>
      </w:tcPr>
    </w:tblStylePr>
    <w:tblStylePr w:type="firstCol">
      <w:rPr>
        <w:b/>
        <w:color w:val="FFD966" w:themeColor="accent4" w:themeTint="99"/>
      </w:rPr>
    </w:tblStylePr>
    <w:tblStylePr w:type="lastCol">
      <w:rPr>
        <w:b/>
        <w:color w:val="FFD966" w:themeColor="accent4" w:themeTint="99"/>
      </w:rPr>
    </w:tblStylePr>
    <w:tblStylePr w:type="band1Vert">
      <w:tblPr/>
      <w:tcPr>
        <w:shd w:val="clear" w:color="FFEFBF" w:themeColor="accent4" w:themeTint="40" w:fill="FFEFBF" w:themeFill="accent4" w:themeFillTint="40"/>
      </w:tcPr>
    </w:tblStylePr>
    <w:tblStylePr w:type="band1Horz">
      <w:rPr>
        <w:rFonts w:ascii="Arial" w:hAnsi="Arial"/>
        <w:color w:val="FFD966" w:themeColor="accent4" w:themeTint="99"/>
        <w:sz w:val="22"/>
      </w:rPr>
      <w:tblPr/>
      <w:tcPr>
        <w:shd w:val="clear" w:color="FFEFBF" w:themeColor="accent4" w:themeTint="40" w:fill="FFEFBF" w:themeFill="accent4" w:themeFillTint="40"/>
      </w:tcPr>
    </w:tblStylePr>
    <w:tblStylePr w:type="band2Horz">
      <w:rPr>
        <w:rFonts w:ascii="Arial" w:hAnsi="Arial"/>
        <w:color w:val="FFD966" w:themeColor="accent4" w:themeTint="99"/>
        <w:sz w:val="22"/>
      </w:rPr>
    </w:tblStylePr>
  </w:style>
  <w:style w:type="table" w:customStyle="1" w:styleId="ListTable6Colorful-Accent51">
    <w:name w:val="List Table 6 Colorful - Accent 51"/>
    <w:basedOn w:val="TableNormal"/>
    <w:uiPriority w:val="99"/>
    <w:qFormat/>
    <w:rsid w:val="0059611F"/>
    <w:pPr>
      <w:spacing w:after="0" w:line="240" w:lineRule="auto"/>
    </w:pPr>
    <w:rPr>
      <w:rFonts w:ascii="Arial" w:eastAsia="noto serif cjk sc" w:hAnsi="Arial"/>
      <w:lang w:eastAsia="zh-CN" w:bidi="hi-IN"/>
    </w:rPr>
    <w:tblPr>
      <w:tblBorders>
        <w:top w:val="single" w:sz="4" w:space="0" w:color="9BC2E5" w:themeColor="accent5" w:themeTint="9A"/>
        <w:bottom w:val="single" w:sz="4" w:space="0" w:color="9BC2E5" w:themeColor="accent5" w:themeTint="9A"/>
      </w:tblBorders>
    </w:tblPr>
    <w:tblStylePr w:type="firstRow">
      <w:rPr>
        <w:b/>
        <w:color w:val="9CC2E5" w:themeColor="accent5" w:themeTint="99"/>
      </w:rPr>
      <w:tblPr/>
      <w:tcPr>
        <w:tcBorders>
          <w:bottom w:val="single" w:sz="4" w:space="0" w:color="9BC2E5" w:themeColor="accent5" w:themeTint="9A"/>
        </w:tcBorders>
      </w:tcPr>
    </w:tblStylePr>
    <w:tblStylePr w:type="lastRow">
      <w:rPr>
        <w:b/>
        <w:color w:val="9CC2E5" w:themeColor="accent5" w:themeTint="99"/>
      </w:rPr>
      <w:tblPr/>
      <w:tcPr>
        <w:tcBorders>
          <w:top w:val="single" w:sz="4" w:space="0" w:color="9BC2E5" w:themeColor="accent5" w:themeTint="9A"/>
        </w:tcBorders>
      </w:tcPr>
    </w:tblStylePr>
    <w:tblStylePr w:type="firstCol">
      <w:rPr>
        <w:b/>
        <w:color w:val="9CC2E5" w:themeColor="accent5" w:themeTint="99"/>
      </w:rPr>
    </w:tblStylePr>
    <w:tblStylePr w:type="lastCol">
      <w:rPr>
        <w:b/>
        <w:color w:val="9CC2E5" w:themeColor="accent5" w:themeTint="99"/>
      </w:rPr>
    </w:tblStylePr>
    <w:tblStylePr w:type="band1Vert">
      <w:tblPr/>
      <w:tcPr>
        <w:shd w:val="clear" w:color="D5E5F4" w:themeColor="accent5" w:themeTint="40" w:fill="D5E5F4" w:themeFill="accent5" w:themeFillTint="40"/>
      </w:tcPr>
    </w:tblStylePr>
    <w:tblStylePr w:type="band1Horz">
      <w:rPr>
        <w:rFonts w:ascii="Arial" w:hAnsi="Arial"/>
        <w:color w:val="9CC2E5" w:themeColor="accent5" w:themeTint="99"/>
        <w:sz w:val="22"/>
      </w:rPr>
      <w:tblPr/>
      <w:tcPr>
        <w:shd w:val="clear" w:color="D5E5F4" w:themeColor="accent5" w:themeTint="40" w:fill="D5E5F4" w:themeFill="accent5" w:themeFillTint="40"/>
      </w:tcPr>
    </w:tblStylePr>
    <w:tblStylePr w:type="band2Horz">
      <w:rPr>
        <w:rFonts w:ascii="Arial" w:hAnsi="Arial"/>
        <w:color w:val="9CC2E5" w:themeColor="accent5" w:themeTint="99"/>
        <w:sz w:val="22"/>
      </w:rPr>
    </w:tblStylePr>
  </w:style>
  <w:style w:type="table" w:customStyle="1" w:styleId="ListTable6Colorful-Accent61">
    <w:name w:val="List Table 6 Colorful - Accent 61"/>
    <w:basedOn w:val="TableNormal"/>
    <w:uiPriority w:val="99"/>
    <w:qFormat/>
    <w:rsid w:val="0059611F"/>
    <w:pPr>
      <w:spacing w:after="0" w:line="240" w:lineRule="auto"/>
    </w:pPr>
    <w:rPr>
      <w:rFonts w:ascii="Arial" w:eastAsia="noto serif cjk sc" w:hAnsi="Arial"/>
      <w:lang w:eastAsia="zh-CN" w:bidi="hi-IN"/>
    </w:rPr>
    <w:tblPr>
      <w:tblBorders>
        <w:top w:val="single" w:sz="4" w:space="0" w:color="A9D08E" w:themeColor="accent6" w:themeTint="98"/>
        <w:bottom w:val="single" w:sz="4" w:space="0" w:color="A9D08E" w:themeColor="accent6" w:themeTint="98"/>
      </w:tblBorders>
    </w:tblPr>
    <w:tblStylePr w:type="firstRow">
      <w:rPr>
        <w:b/>
        <w:color w:val="A8D08D" w:themeColor="accent6" w:themeTint="99"/>
      </w:rPr>
      <w:tblPr/>
      <w:tcPr>
        <w:tcBorders>
          <w:bottom w:val="single" w:sz="4" w:space="0" w:color="A9D08E" w:themeColor="accent6" w:themeTint="98"/>
        </w:tcBorders>
      </w:tcPr>
    </w:tblStylePr>
    <w:tblStylePr w:type="lastRow">
      <w:rPr>
        <w:b/>
        <w:color w:val="A8D08D" w:themeColor="accent6" w:themeTint="99"/>
      </w:rPr>
      <w:tblPr/>
      <w:tcPr>
        <w:tcBorders>
          <w:top w:val="single" w:sz="4" w:space="0" w:color="A9D08E" w:themeColor="accent6" w:themeTint="98"/>
        </w:tcBorders>
      </w:tcPr>
    </w:tblStylePr>
    <w:tblStylePr w:type="firstCol">
      <w:rPr>
        <w:b/>
        <w:color w:val="A8D08D" w:themeColor="accent6" w:themeTint="99"/>
      </w:rPr>
    </w:tblStylePr>
    <w:tblStylePr w:type="lastCol">
      <w:rPr>
        <w:b/>
        <w:color w:val="A8D08D" w:themeColor="accent6" w:themeTint="99"/>
      </w:rPr>
    </w:tblStylePr>
    <w:tblStylePr w:type="band1Vert">
      <w:tblPr/>
      <w:tcPr>
        <w:shd w:val="clear" w:color="DAEBCF" w:themeColor="accent6" w:themeTint="40" w:fill="DAEBCF" w:themeFill="accent6" w:themeFillTint="40"/>
      </w:tcPr>
    </w:tblStylePr>
    <w:tblStylePr w:type="band1Horz">
      <w:rPr>
        <w:rFonts w:ascii="Arial" w:hAnsi="Arial"/>
        <w:color w:val="A8D08D" w:themeColor="accent6" w:themeTint="99"/>
        <w:sz w:val="22"/>
      </w:rPr>
      <w:tblPr/>
      <w:tcPr>
        <w:shd w:val="clear" w:color="DAEBCF" w:themeColor="accent6" w:themeTint="40" w:fill="DAEBCF" w:themeFill="accent6" w:themeFillTint="40"/>
      </w:tcPr>
    </w:tblStylePr>
    <w:tblStylePr w:type="band2Horz">
      <w:rPr>
        <w:rFonts w:ascii="Arial" w:hAnsi="Arial"/>
        <w:color w:val="A8D08D" w:themeColor="accent6" w:themeTint="99"/>
        <w:sz w:val="22"/>
      </w:rPr>
    </w:tblStylePr>
  </w:style>
  <w:style w:type="table" w:customStyle="1" w:styleId="ListTable7Colorful1">
    <w:name w:val="List Table 7 Colorful1"/>
    <w:basedOn w:val="TableNormal"/>
    <w:uiPriority w:val="99"/>
    <w:qFormat/>
    <w:rsid w:val="0059611F"/>
    <w:pPr>
      <w:spacing w:after="0" w:line="240" w:lineRule="auto"/>
    </w:pPr>
    <w:rPr>
      <w:rFonts w:ascii="Arial" w:eastAsia="noto serif cjk sc" w:hAnsi="Arial"/>
      <w:lang w:eastAsia="zh-CN" w:bidi="hi-IN"/>
    </w:rPr>
    <w:tblPr>
      <w:tblBorders>
        <w:right w:val="single" w:sz="4" w:space="0" w:color="7F7F7F" w:themeColor="text1" w:themeTint="80"/>
      </w:tblBorders>
    </w:tblPr>
    <w:tblStylePr w:type="firstRow">
      <w:rPr>
        <w:rFonts w:ascii="Arial" w:hAnsi="Arial"/>
        <w:i/>
        <w:color w:val="7F7F7F" w:themeColor="text1" w:themeTint="80"/>
        <w:sz w:val="22"/>
      </w:rPr>
      <w:tblPr/>
      <w:tcPr>
        <w:tcBorders>
          <w:top w:val="nil"/>
          <w:left w:val="nil"/>
          <w:bottom w:val="single" w:sz="4" w:space="0" w:color="7F7F7F" w:themeColor="text1" w:themeTint="80"/>
          <w:right w:val="nil"/>
        </w:tcBorders>
        <w:shd w:val="clear" w:color="FFFFFF" w:themeColor="light1" w:fill="FFFFFF" w:themeFill="light1"/>
      </w:tcPr>
    </w:tblStylePr>
    <w:tblStylePr w:type="lastRow">
      <w:rPr>
        <w:rFonts w:ascii="Arial" w:hAnsi="Arial"/>
        <w:i/>
        <w:color w:val="7F7F7F" w:themeColor="text1" w:themeTint="80"/>
        <w:sz w:val="22"/>
      </w:rPr>
      <w:tblPr/>
      <w:tcPr>
        <w:tcBorders>
          <w:top w:val="single" w:sz="4" w:space="0" w:color="7F7F7F" w:themeColor="text1" w:themeTint="80"/>
          <w:left w:val="nil"/>
          <w:bottom w:val="nil"/>
          <w:right w:val="nil"/>
        </w:tcBorders>
        <w:shd w:val="clear" w:color="FFFFFF" w:themeColor="light1" w:fill="FFFFFF"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FFFFFF" w:fill="auto"/>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sz w:val="22"/>
      </w:rPr>
      <w:tblPr/>
      <w:tcPr>
        <w:shd w:val="clear" w:color="BFBFBF" w:themeColor="text1" w:themeTint="40" w:fill="BFBFBF" w:themeFill="text1" w:themeFillTint="40"/>
      </w:tcPr>
    </w:tblStylePr>
    <w:tblStylePr w:type="band2Horz">
      <w:rPr>
        <w:rFonts w:ascii="Arial" w:hAnsi="Arial"/>
        <w:color w:val="7F7F7F" w:themeColor="text1" w:themeTint="80"/>
        <w:sz w:val="22"/>
      </w:rPr>
    </w:tblStylePr>
  </w:style>
  <w:style w:type="table" w:customStyle="1" w:styleId="ListTable7Colorful-Accent11">
    <w:name w:val="List Table 7 Colorful - Accent 11"/>
    <w:basedOn w:val="TableNormal"/>
    <w:uiPriority w:val="99"/>
    <w:qFormat/>
    <w:rsid w:val="0059611F"/>
    <w:pPr>
      <w:spacing w:after="0" w:line="240" w:lineRule="auto"/>
    </w:pPr>
    <w:rPr>
      <w:rFonts w:ascii="Arial" w:eastAsia="noto serif cjk sc" w:hAnsi="Arial"/>
      <w:lang w:eastAsia="zh-CN" w:bidi="hi-IN"/>
    </w:rPr>
    <w:tblPr>
      <w:tblBorders>
        <w:right w:val="single" w:sz="4" w:space="0" w:color="4472C4" w:themeColor="accent1"/>
      </w:tblBorders>
    </w:tblPr>
    <w:tblStylePr w:type="firstRow">
      <w:rPr>
        <w:rFonts w:ascii="Arial" w:hAnsi="Arial"/>
        <w:i/>
        <w:color w:val="244174" w:themeColor="accent1" w:themeShade="94"/>
        <w:sz w:val="22"/>
      </w:rPr>
      <w:tblPr/>
      <w:tcPr>
        <w:tcBorders>
          <w:top w:val="nil"/>
          <w:left w:val="nil"/>
          <w:bottom w:val="single" w:sz="4" w:space="0" w:color="4472C4" w:themeColor="accent1"/>
          <w:right w:val="nil"/>
        </w:tcBorders>
        <w:shd w:val="clear" w:color="FFFFFF" w:themeColor="light1" w:fill="FFFFFF" w:themeFill="light1"/>
      </w:tcPr>
    </w:tblStylePr>
    <w:tblStylePr w:type="lastRow">
      <w:rPr>
        <w:rFonts w:ascii="Arial" w:hAnsi="Arial"/>
        <w:i/>
        <w:color w:val="244174" w:themeColor="accent1" w:themeShade="94"/>
        <w:sz w:val="22"/>
      </w:rPr>
      <w:tblPr/>
      <w:tcPr>
        <w:tcBorders>
          <w:top w:val="single" w:sz="4" w:space="0" w:color="4472C4" w:themeColor="accent1"/>
          <w:left w:val="nil"/>
          <w:bottom w:val="nil"/>
          <w:right w:val="nil"/>
        </w:tcBorders>
        <w:shd w:val="clear" w:color="FFFFFF" w:themeColor="light1" w:fill="FFFFFF" w:themeFill="light1"/>
      </w:tcPr>
    </w:tblStylePr>
    <w:tblStylePr w:type="firstCol">
      <w:pPr>
        <w:jc w:val="right"/>
      </w:pPr>
      <w:rPr>
        <w:rFonts w:ascii="Arial" w:hAnsi="Arial"/>
        <w:i/>
        <w:color w:val="244174" w:themeColor="accent1" w:themeShade="94"/>
        <w:sz w:val="22"/>
      </w:rPr>
      <w:tblPr/>
      <w:tcPr>
        <w:tcBorders>
          <w:top w:val="nil"/>
          <w:left w:val="nil"/>
          <w:bottom w:val="nil"/>
          <w:right w:val="single" w:sz="4" w:space="0" w:color="4472C4" w:themeColor="accent1"/>
        </w:tcBorders>
        <w:shd w:val="clear" w:color="FFFFFF" w:fill="auto"/>
      </w:tcPr>
    </w:tblStylePr>
    <w:tblStylePr w:type="lastCol">
      <w:rPr>
        <w:rFonts w:ascii="Arial" w:hAnsi="Arial"/>
        <w:i/>
        <w:color w:val="244174" w:themeColor="accent1" w:themeShade="94"/>
        <w:sz w:val="22"/>
      </w:rPr>
      <w:tblPr/>
      <w:tcPr>
        <w:tcBorders>
          <w:top w:val="nil"/>
          <w:left w:val="single" w:sz="4" w:space="0" w:color="4472C4" w:themeColor="accent1"/>
          <w:bottom w:val="nil"/>
          <w:right w:val="nil"/>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44174" w:themeColor="accent1" w:themeShade="94"/>
        <w:sz w:val="22"/>
      </w:rPr>
      <w:tblPr/>
      <w:tcPr>
        <w:shd w:val="clear" w:color="CFDBF0" w:themeColor="accent1" w:themeTint="40" w:fill="CFDBF0" w:themeFill="accent1" w:themeFillTint="40"/>
      </w:tcPr>
    </w:tblStylePr>
    <w:tblStylePr w:type="band2Horz">
      <w:rPr>
        <w:rFonts w:ascii="Arial" w:hAnsi="Arial"/>
        <w:color w:val="244174" w:themeColor="accent1" w:themeShade="94"/>
        <w:sz w:val="22"/>
      </w:rPr>
    </w:tblStylePr>
  </w:style>
  <w:style w:type="table" w:customStyle="1" w:styleId="ListTable7Colorful-Accent21">
    <w:name w:val="List Table 7 Colorful - Accent 21"/>
    <w:basedOn w:val="TableNormal"/>
    <w:uiPriority w:val="99"/>
    <w:qFormat/>
    <w:rsid w:val="0059611F"/>
    <w:pPr>
      <w:spacing w:after="0" w:line="240" w:lineRule="auto"/>
    </w:pPr>
    <w:rPr>
      <w:rFonts w:ascii="Arial" w:eastAsia="noto serif cjk sc" w:hAnsi="Arial"/>
      <w:lang w:eastAsia="zh-CN" w:bidi="hi-IN"/>
    </w:rPr>
    <w:tblPr>
      <w:tblBorders>
        <w:right w:val="single" w:sz="4" w:space="0" w:color="F4B184" w:themeColor="accent2" w:themeTint="97"/>
      </w:tblBorders>
    </w:tblPr>
    <w:tblStylePr w:type="firstRow">
      <w:rPr>
        <w:rFonts w:ascii="Arial" w:hAnsi="Arial"/>
        <w:i/>
        <w:color w:val="F4B285" w:themeColor="accent2" w:themeTint="96"/>
        <w:sz w:val="22"/>
      </w:rPr>
      <w:tblPr/>
      <w:tcPr>
        <w:tcBorders>
          <w:top w:val="nil"/>
          <w:left w:val="nil"/>
          <w:bottom w:val="single" w:sz="4" w:space="0" w:color="F4B184" w:themeColor="accent2" w:themeTint="97"/>
          <w:right w:val="nil"/>
        </w:tcBorders>
        <w:shd w:val="clear" w:color="FFFFFF" w:themeColor="light1" w:fill="FFFFFF" w:themeFill="light1"/>
      </w:tcPr>
    </w:tblStylePr>
    <w:tblStylePr w:type="lastRow">
      <w:rPr>
        <w:rFonts w:ascii="Arial" w:hAnsi="Arial"/>
        <w:i/>
        <w:color w:val="F4B285" w:themeColor="accent2" w:themeTint="96"/>
        <w:sz w:val="22"/>
      </w:rPr>
      <w:tblPr/>
      <w:tcPr>
        <w:tcBorders>
          <w:top w:val="single" w:sz="4" w:space="0" w:color="F4B184" w:themeColor="accent2" w:themeTint="97"/>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FFFFFF" w:fill="auto"/>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285" w:themeColor="accent2" w:themeTint="96"/>
        <w:sz w:val="22"/>
      </w:rPr>
      <w:tblPr/>
      <w:tcPr>
        <w:shd w:val="clear" w:color="FADECB" w:themeColor="accent2" w:themeTint="40" w:fill="FADECB" w:themeFill="accent2" w:themeFillTint="40"/>
      </w:tcPr>
    </w:tblStylePr>
    <w:tblStylePr w:type="band2Horz">
      <w:rPr>
        <w:rFonts w:ascii="Arial" w:hAnsi="Arial"/>
        <w:color w:val="F4B285" w:themeColor="accent2" w:themeTint="96"/>
        <w:sz w:val="22"/>
      </w:rPr>
    </w:tblStylePr>
  </w:style>
  <w:style w:type="table" w:customStyle="1" w:styleId="ListTable7Colorful-Accent31">
    <w:name w:val="List Table 7 Colorful - Accent 31"/>
    <w:basedOn w:val="TableNormal"/>
    <w:uiPriority w:val="99"/>
    <w:qFormat/>
    <w:rsid w:val="0059611F"/>
    <w:pPr>
      <w:spacing w:after="0" w:line="240" w:lineRule="auto"/>
    </w:pPr>
    <w:rPr>
      <w:rFonts w:ascii="Arial" w:eastAsia="noto serif cjk sc" w:hAnsi="Arial"/>
      <w:lang w:eastAsia="zh-CN" w:bidi="hi-IN"/>
    </w:rPr>
    <w:tblPr>
      <w:tblBorders>
        <w:right w:val="single" w:sz="4" w:space="0" w:color="C9C9C9" w:themeColor="accent3" w:themeTint="98"/>
      </w:tblBorders>
    </w:tblPr>
    <w:tblStylePr w:type="firstRow">
      <w:rPr>
        <w:rFonts w:ascii="Arial" w:hAnsi="Arial"/>
        <w:i/>
        <w:color w:val="C9C9C9" w:themeColor="accent3" w:themeTint="99"/>
        <w:sz w:val="22"/>
      </w:rPr>
      <w:tblPr/>
      <w:tcPr>
        <w:tcBorders>
          <w:top w:val="nil"/>
          <w:left w:val="nil"/>
          <w:bottom w:val="single" w:sz="4" w:space="0" w:color="C9C9C9" w:themeColor="accent3" w:themeTint="98"/>
          <w:right w:val="nil"/>
        </w:tcBorders>
        <w:shd w:val="clear" w:color="FFFFFF" w:themeColor="light1" w:fill="FFFFFF" w:themeFill="light1"/>
      </w:tcPr>
    </w:tblStylePr>
    <w:tblStylePr w:type="lastRow">
      <w:rPr>
        <w:rFonts w:ascii="Arial" w:hAnsi="Arial"/>
        <w:i/>
        <w:color w:val="C9C9C9" w:themeColor="accent3" w:themeTint="99"/>
        <w:sz w:val="22"/>
      </w:rPr>
      <w:tblPr/>
      <w:tcPr>
        <w:tcBorders>
          <w:top w:val="single" w:sz="4" w:space="0" w:color="C9C9C9" w:themeColor="accent3" w:themeTint="98"/>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rPr>
      <w:tblPr/>
      <w:tcPr>
        <w:tcBorders>
          <w:top w:val="nil"/>
          <w:left w:val="nil"/>
          <w:bottom w:val="nil"/>
          <w:right w:val="single" w:sz="4" w:space="0" w:color="C9C9C9" w:themeColor="accent3" w:themeTint="98"/>
        </w:tcBorders>
        <w:shd w:val="clear" w:color="FFFFFF" w:fill="auto"/>
      </w:tcPr>
    </w:tblStylePr>
    <w:tblStylePr w:type="lastCol">
      <w:rPr>
        <w:rFonts w:ascii="Arial" w:hAnsi="Arial"/>
        <w:i/>
        <w:color w:val="C9C9C9" w:themeColor="accent3" w:themeTint="99"/>
        <w:sz w:val="22"/>
      </w:rPr>
      <w:tblPr/>
      <w:tcPr>
        <w:tcBorders>
          <w:top w:val="nil"/>
          <w:left w:val="single" w:sz="4" w:space="0" w:color="C9C9C9" w:themeColor="accent3" w:themeTint="98"/>
          <w:bottom w:val="nil"/>
          <w:right w:val="nil"/>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9"/>
        <w:sz w:val="22"/>
      </w:rPr>
      <w:tblPr/>
      <w:tcPr>
        <w:shd w:val="clear" w:color="E8E8E8" w:themeColor="accent3" w:themeTint="40" w:fill="E8E8E8" w:themeFill="accent3" w:themeFillTint="40"/>
      </w:tcPr>
    </w:tblStylePr>
    <w:tblStylePr w:type="band2Horz">
      <w:rPr>
        <w:rFonts w:ascii="Arial" w:hAnsi="Arial"/>
        <w:color w:val="C9C9C9" w:themeColor="accent3" w:themeTint="99"/>
        <w:sz w:val="22"/>
      </w:rPr>
    </w:tblStylePr>
  </w:style>
  <w:style w:type="table" w:customStyle="1" w:styleId="ListTable7Colorful-Accent41">
    <w:name w:val="List Table 7 Colorful - Accent 41"/>
    <w:basedOn w:val="TableNormal"/>
    <w:uiPriority w:val="99"/>
    <w:qFormat/>
    <w:rsid w:val="0059611F"/>
    <w:pPr>
      <w:spacing w:after="0" w:line="240" w:lineRule="auto"/>
    </w:pPr>
    <w:rPr>
      <w:rFonts w:ascii="Arial" w:eastAsia="noto serif cjk sc" w:hAnsi="Arial"/>
      <w:lang w:eastAsia="zh-CN" w:bidi="hi-IN"/>
    </w:rPr>
    <w:tblPr>
      <w:tblBorders>
        <w:right w:val="single" w:sz="4" w:space="0" w:color="FFD865" w:themeColor="accent4" w:themeTint="9A"/>
      </w:tblBorders>
    </w:tblPr>
    <w:tblStylePr w:type="firstRow">
      <w:rPr>
        <w:rFonts w:ascii="Arial" w:hAnsi="Arial"/>
        <w:i/>
        <w:color w:val="FFD966" w:themeColor="accent4" w:themeTint="99"/>
        <w:sz w:val="22"/>
      </w:rPr>
      <w:tblPr/>
      <w:tcPr>
        <w:tcBorders>
          <w:top w:val="nil"/>
          <w:left w:val="nil"/>
          <w:bottom w:val="single" w:sz="4" w:space="0" w:color="FFD865" w:themeColor="accent4" w:themeTint="9A"/>
          <w:right w:val="nil"/>
        </w:tcBorders>
        <w:shd w:val="clear" w:color="FFFFFF" w:themeColor="light1" w:fill="FFFFFF" w:themeFill="light1"/>
      </w:tcPr>
    </w:tblStylePr>
    <w:tblStylePr w:type="lastRow">
      <w:rPr>
        <w:rFonts w:ascii="Arial" w:hAnsi="Arial"/>
        <w:i/>
        <w:color w:val="FFD966" w:themeColor="accent4" w:themeTint="99"/>
        <w:sz w:val="22"/>
      </w:rPr>
      <w:tblPr/>
      <w:tcPr>
        <w:tcBorders>
          <w:top w:val="single" w:sz="4" w:space="0" w:color="FFD865" w:themeColor="accent4" w:themeTint="9A"/>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FFFFFF" w:fill="auto"/>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966" w:themeColor="accent4" w:themeTint="99"/>
        <w:sz w:val="22"/>
      </w:rPr>
      <w:tblPr/>
      <w:tcPr>
        <w:shd w:val="clear" w:color="FFEFBF" w:themeColor="accent4" w:themeTint="40" w:fill="FFEFBF" w:themeFill="accent4" w:themeFillTint="40"/>
      </w:tcPr>
    </w:tblStylePr>
    <w:tblStylePr w:type="band2Horz">
      <w:rPr>
        <w:rFonts w:ascii="Arial" w:hAnsi="Arial"/>
        <w:color w:val="FFD966" w:themeColor="accent4" w:themeTint="99"/>
        <w:sz w:val="22"/>
      </w:rPr>
    </w:tblStylePr>
  </w:style>
  <w:style w:type="table" w:customStyle="1" w:styleId="ListTable7Colorful-Accent51">
    <w:name w:val="List Table 7 Colorful - Accent 51"/>
    <w:basedOn w:val="TableNormal"/>
    <w:uiPriority w:val="99"/>
    <w:qFormat/>
    <w:rsid w:val="0059611F"/>
    <w:pPr>
      <w:spacing w:after="0" w:line="240" w:lineRule="auto"/>
    </w:pPr>
    <w:rPr>
      <w:rFonts w:ascii="Arial" w:eastAsia="noto serif cjk sc" w:hAnsi="Arial"/>
      <w:lang w:eastAsia="zh-CN" w:bidi="hi-IN"/>
    </w:rPr>
    <w:tblPr>
      <w:tblBorders>
        <w:right w:val="single" w:sz="4" w:space="0" w:color="9BC2E5" w:themeColor="accent5" w:themeTint="9A"/>
      </w:tblBorders>
    </w:tblPr>
    <w:tblStylePr w:type="firstRow">
      <w:rPr>
        <w:rFonts w:ascii="Arial" w:hAnsi="Arial"/>
        <w:i/>
        <w:color w:val="9CC2E5" w:themeColor="accent5" w:themeTint="99"/>
        <w:sz w:val="22"/>
      </w:rPr>
      <w:tblPr/>
      <w:tcPr>
        <w:tcBorders>
          <w:top w:val="nil"/>
          <w:left w:val="nil"/>
          <w:bottom w:val="single" w:sz="4" w:space="0" w:color="9BC2E5" w:themeColor="accent5" w:themeTint="9A"/>
          <w:right w:val="nil"/>
        </w:tcBorders>
        <w:shd w:val="clear" w:color="FFFFFF" w:themeColor="light1" w:fill="FFFFFF" w:themeFill="light1"/>
      </w:tcPr>
    </w:tblStylePr>
    <w:tblStylePr w:type="lastRow">
      <w:rPr>
        <w:rFonts w:ascii="Arial" w:hAnsi="Arial"/>
        <w:i/>
        <w:color w:val="9CC2E5" w:themeColor="accent5" w:themeTint="99"/>
        <w:sz w:val="22"/>
      </w:rPr>
      <w:tblPr/>
      <w:tcPr>
        <w:tcBorders>
          <w:top w:val="single" w:sz="4" w:space="0" w:color="9BC2E5" w:themeColor="accent5" w:themeTint="9A"/>
          <w:left w:val="nil"/>
          <w:bottom w:val="nil"/>
          <w:right w:val="nil"/>
        </w:tcBorders>
        <w:shd w:val="clear" w:color="FFFFFF" w:themeColor="light1" w:fill="FFFFFF" w:themeFill="light1"/>
      </w:tcPr>
    </w:tblStylePr>
    <w:tblStylePr w:type="firstCol">
      <w:pPr>
        <w:jc w:val="right"/>
      </w:pPr>
      <w:rPr>
        <w:rFonts w:ascii="Arial" w:hAnsi="Arial"/>
        <w:i/>
        <w:color w:val="9CC2E5" w:themeColor="accent5" w:themeTint="99"/>
        <w:sz w:val="22"/>
      </w:rPr>
      <w:tblPr/>
      <w:tcPr>
        <w:tcBorders>
          <w:top w:val="nil"/>
          <w:left w:val="nil"/>
          <w:bottom w:val="nil"/>
          <w:right w:val="single" w:sz="4" w:space="0" w:color="9BC2E5" w:themeColor="accent5" w:themeTint="9A"/>
        </w:tcBorders>
        <w:shd w:val="clear" w:color="FFFFFF" w:fill="auto"/>
      </w:tcPr>
    </w:tblStylePr>
    <w:tblStylePr w:type="lastCol">
      <w:rPr>
        <w:rFonts w:ascii="Arial" w:hAnsi="Arial"/>
        <w:i/>
        <w:color w:val="9CC2E5" w:themeColor="accent5" w:themeTint="99"/>
        <w:sz w:val="22"/>
      </w:rPr>
      <w:tblPr/>
      <w:tcPr>
        <w:tcBorders>
          <w:top w:val="nil"/>
          <w:left w:val="single" w:sz="4" w:space="0" w:color="9BC2E5" w:themeColor="accent5" w:themeTint="9A"/>
          <w:bottom w:val="nil"/>
          <w:right w:val="nil"/>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CC2E5" w:themeColor="accent5" w:themeTint="99"/>
        <w:sz w:val="22"/>
      </w:rPr>
      <w:tblPr/>
      <w:tcPr>
        <w:shd w:val="clear" w:color="D5E5F4" w:themeColor="accent5" w:themeTint="40" w:fill="D5E5F4" w:themeFill="accent5" w:themeFillTint="40"/>
      </w:tcPr>
    </w:tblStylePr>
    <w:tblStylePr w:type="band2Horz">
      <w:rPr>
        <w:rFonts w:ascii="Arial" w:hAnsi="Arial"/>
        <w:color w:val="9CC2E5" w:themeColor="accent5" w:themeTint="99"/>
        <w:sz w:val="22"/>
      </w:rPr>
    </w:tblStylePr>
  </w:style>
  <w:style w:type="table" w:customStyle="1" w:styleId="ListTable7Colorful-Accent61">
    <w:name w:val="List Table 7 Colorful - Accent 61"/>
    <w:basedOn w:val="TableNormal"/>
    <w:uiPriority w:val="99"/>
    <w:qFormat/>
    <w:rsid w:val="0059611F"/>
    <w:pPr>
      <w:spacing w:after="0" w:line="240" w:lineRule="auto"/>
    </w:pPr>
    <w:rPr>
      <w:rFonts w:ascii="Arial" w:eastAsia="noto serif cjk sc" w:hAnsi="Arial"/>
      <w:lang w:eastAsia="zh-CN" w:bidi="hi-IN"/>
    </w:rPr>
    <w:tblPr>
      <w:tblBorders>
        <w:right w:val="single" w:sz="4" w:space="0" w:color="A9D08E" w:themeColor="accent6" w:themeTint="98"/>
      </w:tblBorders>
    </w:tblPr>
    <w:tblStylePr w:type="firstRow">
      <w:rPr>
        <w:rFonts w:ascii="Arial" w:hAnsi="Arial"/>
        <w:i/>
        <w:color w:val="A8D08D" w:themeColor="accent6" w:themeTint="99"/>
        <w:sz w:val="22"/>
      </w:rPr>
      <w:tblPr/>
      <w:tcPr>
        <w:tcBorders>
          <w:top w:val="nil"/>
          <w:left w:val="nil"/>
          <w:bottom w:val="single" w:sz="4" w:space="0" w:color="A9D08E" w:themeColor="accent6" w:themeTint="98"/>
          <w:right w:val="nil"/>
        </w:tcBorders>
        <w:shd w:val="clear" w:color="FFFFFF" w:themeColor="light1" w:fill="FFFFFF" w:themeFill="light1"/>
      </w:tcPr>
    </w:tblStylePr>
    <w:tblStylePr w:type="lastRow">
      <w:rPr>
        <w:rFonts w:ascii="Arial" w:hAnsi="Arial"/>
        <w:i/>
        <w:color w:val="A8D08D" w:themeColor="accent6" w:themeTint="99"/>
        <w:sz w:val="22"/>
      </w:rPr>
      <w:tblPr/>
      <w:tcPr>
        <w:tcBorders>
          <w:top w:val="single" w:sz="4" w:space="0" w:color="A9D08E" w:themeColor="accent6" w:themeTint="98"/>
          <w:left w:val="nil"/>
          <w:bottom w:val="nil"/>
          <w:right w:val="nil"/>
        </w:tcBorders>
        <w:shd w:val="clear" w:color="FFFFFF" w:themeColor="light1" w:fill="FFFFFF" w:themeFill="light1"/>
      </w:tcPr>
    </w:tblStylePr>
    <w:tblStylePr w:type="firstCol">
      <w:pPr>
        <w:jc w:val="right"/>
      </w:pPr>
      <w:rPr>
        <w:rFonts w:ascii="Arial" w:hAnsi="Arial"/>
        <w:i/>
        <w:color w:val="A8D08D" w:themeColor="accent6" w:themeTint="99"/>
        <w:sz w:val="22"/>
      </w:rPr>
      <w:tblPr/>
      <w:tcPr>
        <w:tcBorders>
          <w:top w:val="nil"/>
          <w:left w:val="nil"/>
          <w:bottom w:val="nil"/>
          <w:right w:val="single" w:sz="4" w:space="0" w:color="A9D08E" w:themeColor="accent6" w:themeTint="98"/>
        </w:tcBorders>
        <w:shd w:val="clear" w:color="FFFFFF" w:fill="auto"/>
      </w:tcPr>
    </w:tblStylePr>
    <w:tblStylePr w:type="lastCol">
      <w:rPr>
        <w:rFonts w:ascii="Arial" w:hAnsi="Arial"/>
        <w:i/>
        <w:color w:val="A8D08D" w:themeColor="accent6" w:themeTint="99"/>
        <w:sz w:val="22"/>
      </w:rPr>
      <w:tblPr/>
      <w:tcPr>
        <w:tcBorders>
          <w:top w:val="nil"/>
          <w:left w:val="single" w:sz="4" w:space="0" w:color="A9D08E" w:themeColor="accent6" w:themeTint="98"/>
          <w:bottom w:val="nil"/>
          <w:right w:val="nil"/>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8D08D" w:themeColor="accent6" w:themeTint="99"/>
        <w:sz w:val="22"/>
      </w:rPr>
      <w:tblPr/>
      <w:tcPr>
        <w:shd w:val="clear" w:color="DAEBCF" w:themeColor="accent6" w:themeTint="40" w:fill="DAEBCF" w:themeFill="accent6" w:themeFillTint="40"/>
      </w:tcPr>
    </w:tblStylePr>
    <w:tblStylePr w:type="band2Horz">
      <w:rPr>
        <w:rFonts w:ascii="Arial" w:hAnsi="Arial"/>
        <w:color w:val="A8D08D" w:themeColor="accent6" w:themeTint="99"/>
        <w:sz w:val="22"/>
      </w:rPr>
    </w:tblStylePr>
  </w:style>
  <w:style w:type="table" w:customStyle="1" w:styleId="Lined-Accent">
    <w:name w:val="Lined - Accent"/>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qFormat/>
    <w:rsid w:val="0059611F"/>
    <w:pPr>
      <w:spacing w:after="0" w:line="240" w:lineRule="auto"/>
    </w:pPr>
    <w:rPr>
      <w:rFonts w:ascii="Arial" w:eastAsia="noto serif cjk sc" w:hAnsi="Arial"/>
      <w:color w:val="404040"/>
      <w:sz w:val="20"/>
      <w:szCs w:val="20"/>
      <w:lang w:eastAsia="en-GB"/>
    </w:rP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qFormat/>
    <w:rsid w:val="0059611F"/>
    <w:pPr>
      <w:spacing w:after="0" w:line="240" w:lineRule="auto"/>
    </w:pPr>
    <w:rPr>
      <w:rFonts w:ascii="Arial" w:eastAsia="noto serif cjk sc" w:hAnsi="Arial"/>
      <w:color w:val="404040"/>
      <w:sz w:val="20"/>
      <w:szCs w:val="20"/>
      <w:lang w:eastAsia="en-GB"/>
    </w:rPr>
    <w:tblPr>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qFormat/>
    <w:rsid w:val="0059611F"/>
    <w:pPr>
      <w:spacing w:after="0" w:line="240" w:lineRule="auto"/>
    </w:pPr>
    <w:rPr>
      <w:rFonts w:ascii="Arial" w:eastAsia="noto serif cjk sc" w:hAnsi="Arial"/>
      <w:lang w:eastAsia="zh-CN" w:bidi="hi-IN"/>
    </w:rPr>
    <w:tblPr>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qFormat/>
    <w:rsid w:val="0059611F"/>
    <w:pPr>
      <w:spacing w:after="0" w:line="240" w:lineRule="auto"/>
    </w:pPr>
    <w:rPr>
      <w:rFonts w:ascii="Arial" w:eastAsia="noto serif cjk sc" w:hAnsi="Arial"/>
      <w:lang w:eastAsia="zh-CN" w:bidi="hi-IN"/>
    </w:rPr>
    <w:tblPr>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qFormat/>
    <w:rsid w:val="0059611F"/>
    <w:pPr>
      <w:spacing w:after="0" w:line="240" w:lineRule="auto"/>
    </w:pPr>
    <w:rPr>
      <w:rFonts w:ascii="Arial" w:eastAsia="noto serif cjk sc" w:hAnsi="Arial"/>
      <w:lang w:eastAsia="zh-CN" w:bidi="hi-IN"/>
    </w:r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qFormat/>
    <w:rsid w:val="0059611F"/>
    <w:pPr>
      <w:spacing w:after="0" w:line="240" w:lineRule="auto"/>
    </w:pPr>
    <w:rPr>
      <w:rFonts w:ascii="Arial" w:eastAsia="noto serif cjk sc" w:hAnsi="Arial"/>
      <w:lang w:eastAsia="zh-CN" w:bidi="hi-IN"/>
    </w:r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qFormat/>
    <w:rsid w:val="0059611F"/>
    <w:pPr>
      <w:spacing w:after="0" w:line="240" w:lineRule="auto"/>
    </w:pPr>
    <w:rPr>
      <w:rFonts w:ascii="Arial" w:eastAsia="noto serif cjk sc" w:hAnsi="Arial"/>
      <w:lang w:eastAsia="zh-CN" w:bidi="hi-IN"/>
    </w:rPr>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qFormat/>
    <w:rsid w:val="0059611F"/>
    <w:pPr>
      <w:spacing w:after="0" w:line="240" w:lineRule="auto"/>
    </w:pPr>
    <w:rPr>
      <w:rFonts w:ascii="Arial" w:eastAsia="noto serif cjk sc" w:hAnsi="Arial"/>
      <w:lang w:eastAsia="zh-CN" w:bidi="hi-IN"/>
    </w:rPr>
    <w:tblPr>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qFormat/>
    <w:rsid w:val="0059611F"/>
    <w:pPr>
      <w:spacing w:after="0" w:line="240" w:lineRule="auto"/>
    </w:pPr>
    <w:rPr>
      <w:rFonts w:ascii="Arial" w:eastAsia="noto serif cjk sc" w:hAnsi="Arial"/>
      <w:lang w:eastAsia="zh-CN" w:bidi="hi-IN"/>
    </w:r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customStyle="1" w:styleId="TOCHeading1">
    <w:name w:val="TOC Heading1"/>
    <w:uiPriority w:val="39"/>
    <w:unhideWhenUsed/>
    <w:qFormat/>
    <w:rsid w:val="0059611F"/>
    <w:pPr>
      <w:spacing w:after="0" w:line="240" w:lineRule="auto"/>
    </w:pPr>
    <w:rPr>
      <w:rFonts w:ascii="Arial" w:eastAsia="noto serif cjk sc" w:hAnsi="Arial"/>
      <w:lang w:eastAsia="zh-CN" w:bidi="hi-IN"/>
    </w:rPr>
  </w:style>
  <w:style w:type="paragraph" w:customStyle="1" w:styleId="Heading">
    <w:name w:val="Heading"/>
    <w:basedOn w:val="Standard1"/>
    <w:next w:val="Textbody"/>
    <w:qFormat/>
    <w:rsid w:val="0059611F"/>
    <w:pPr>
      <w:keepNext/>
      <w:spacing w:before="240" w:after="120"/>
    </w:pPr>
    <w:rPr>
      <w:rFonts w:ascii="Liberation Sans" w:eastAsia="noto sans cjk sc" w:hAnsi="Liberation Sans"/>
      <w:sz w:val="28"/>
      <w:szCs w:val="28"/>
    </w:rPr>
  </w:style>
  <w:style w:type="character" w:customStyle="1" w:styleId="BulletSymbols">
    <w:name w:val="Bullet Symbols"/>
    <w:qFormat/>
    <w:rsid w:val="0059611F"/>
    <w:rPr>
      <w:rFonts w:ascii="OpenSymbol" w:eastAsia="OpenSymbol" w:hAnsi="OpenSymbol" w:cs="OpenSymbol"/>
    </w:rPr>
  </w:style>
  <w:style w:type="paragraph" w:styleId="ListParagraph">
    <w:name w:val="List Paragraph"/>
    <w:basedOn w:val="Normal"/>
    <w:uiPriority w:val="34"/>
    <w:qFormat/>
    <w:rsid w:val="0059611F"/>
    <w:pPr>
      <w:ind w:left="720"/>
      <w:contextualSpacing/>
    </w:pPr>
    <w:rPr>
      <w:rFonts w:cs="Mangal"/>
      <w:szCs w:val="21"/>
    </w:rPr>
  </w:style>
  <w:style w:type="paragraph" w:customStyle="1" w:styleId="Revision1">
    <w:name w:val="Revision1"/>
    <w:hidden/>
    <w:uiPriority w:val="99"/>
    <w:semiHidden/>
    <w:qFormat/>
    <w:rsid w:val="0059611F"/>
    <w:pPr>
      <w:spacing w:after="0" w:line="240" w:lineRule="auto"/>
    </w:pPr>
    <w:rPr>
      <w:rFonts w:asciiTheme="minorHAnsi" w:eastAsia="noto serif cjk sc" w:hAnsiTheme="minorHAnsi" w:cs="Mangal"/>
      <w:szCs w:val="21"/>
      <w:lang w:eastAsia="zh-CN" w:bidi="hi-IN"/>
    </w:rPr>
  </w:style>
  <w:style w:type="character" w:styleId="PlaceholderText">
    <w:name w:val="Placeholder Text"/>
    <w:basedOn w:val="DefaultParagraphFont"/>
    <w:uiPriority w:val="99"/>
    <w:semiHidden/>
    <w:qFormat/>
    <w:rsid w:val="0059611F"/>
    <w:rPr>
      <w:color w:val="808080"/>
    </w:rPr>
  </w:style>
  <w:style w:type="paragraph" w:customStyle="1" w:styleId="SMText">
    <w:name w:val="SM Text"/>
    <w:basedOn w:val="Normal"/>
    <w:qFormat/>
    <w:rsid w:val="0059611F"/>
    <w:pPr>
      <w:suppressAutoHyphens/>
      <w:spacing w:before="0" w:after="0"/>
      <w:ind w:firstLine="480"/>
    </w:pPr>
    <w:rPr>
      <w:rFonts w:ascii="Helvetica" w:eastAsia="Times New Roman" w:hAnsi="Helvetica"/>
      <w:lang w:val="en-US" w:eastAsia="en-US"/>
    </w:rPr>
  </w:style>
  <w:style w:type="paragraph" w:customStyle="1" w:styleId="berarbeitung1">
    <w:name w:val="Überarbeitung1"/>
    <w:hidden/>
    <w:uiPriority w:val="99"/>
    <w:semiHidden/>
    <w:qFormat/>
    <w:rsid w:val="0059611F"/>
    <w:pPr>
      <w:spacing w:after="0" w:line="240" w:lineRule="auto"/>
    </w:pPr>
    <w:rPr>
      <w:rFonts w:ascii="Times New Roman" w:eastAsia="noto serif cjk sc" w:hAnsi="Times New Roman" w:cs="Mangal"/>
      <w:szCs w:val="21"/>
      <w:lang w:eastAsia="zh-CN" w:bidi="hi-IN"/>
    </w:rPr>
  </w:style>
  <w:style w:type="paragraph" w:customStyle="1" w:styleId="Revision2">
    <w:name w:val="Revision2"/>
    <w:hidden/>
    <w:uiPriority w:val="99"/>
    <w:semiHidden/>
    <w:qFormat/>
    <w:rsid w:val="0059611F"/>
    <w:pPr>
      <w:spacing w:after="0" w:line="240" w:lineRule="auto"/>
    </w:pPr>
    <w:rPr>
      <w:rFonts w:ascii="Times New Roman" w:eastAsia="noto serif cjk sc" w:hAnsi="Times New Roman" w:cs="Mangal"/>
      <w:szCs w:val="21"/>
      <w:lang w:eastAsia="zh-CN" w:bidi="hi-IN"/>
    </w:rPr>
  </w:style>
  <w:style w:type="character" w:customStyle="1" w:styleId="UnresolvedMention1">
    <w:name w:val="Unresolved Mention1"/>
    <w:basedOn w:val="DefaultParagraphFont"/>
    <w:uiPriority w:val="99"/>
    <w:semiHidden/>
    <w:unhideWhenUsed/>
    <w:qFormat/>
    <w:rsid w:val="0059611F"/>
    <w:rPr>
      <w:color w:val="605E5C"/>
      <w:shd w:val="clear" w:color="auto" w:fill="E1DFDD"/>
    </w:rPr>
  </w:style>
  <w:style w:type="paragraph" w:customStyle="1" w:styleId="msonormal0">
    <w:name w:val="msonormal"/>
    <w:basedOn w:val="Normal"/>
    <w:qFormat/>
    <w:rsid w:val="0059611F"/>
    <w:pPr>
      <w:spacing w:before="100" w:beforeAutospacing="1" w:after="100" w:afterAutospacing="1" w:line="240" w:lineRule="auto"/>
    </w:pPr>
    <w:rPr>
      <w:rFonts w:eastAsia="Times New Roman"/>
    </w:rPr>
  </w:style>
  <w:style w:type="paragraph" w:customStyle="1" w:styleId="Revision3">
    <w:name w:val="Revision3"/>
    <w:hidden/>
    <w:uiPriority w:val="99"/>
    <w:semiHidden/>
    <w:qFormat/>
    <w:rsid w:val="0059611F"/>
    <w:pPr>
      <w:spacing w:after="0" w:line="240" w:lineRule="auto"/>
    </w:pPr>
    <w:rPr>
      <w:rFonts w:ascii="Times New Roman" w:eastAsia="noto serif cjk sc" w:hAnsi="Times New Roman" w:cs="Mangal"/>
      <w:szCs w:val="21"/>
      <w:lang w:eastAsia="zh-CN" w:bidi="hi-IN"/>
    </w:rPr>
  </w:style>
  <w:style w:type="table" w:customStyle="1" w:styleId="TableGridLight2">
    <w:name w:val="Table Grid Light2"/>
    <w:basedOn w:val="TableNormal"/>
    <w:uiPriority w:val="40"/>
    <w:qFormat/>
    <w:rsid w:val="0059611F"/>
    <w:pPr>
      <w:spacing w:after="0" w:line="240" w:lineRule="auto"/>
    </w:pPr>
    <w:rPr>
      <w:rFonts w:ascii="Times New Roman" w:eastAsia="SimSun" w:hAnsi="Times New Roman" w:cs="Times New Roman"/>
      <w:sz w:val="20"/>
      <w:szCs w:val="20"/>
      <w:lang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E671B2"/>
    <w:pPr>
      <w:spacing w:after="0" w:line="240" w:lineRule="auto"/>
    </w:pPr>
    <w:rPr>
      <w:rFonts w:ascii="Times New Roman" w:eastAsia="SimSun" w:hAnsi="Times New Roman" w:cs="Times New Roman"/>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72A34-1E6D-4CF8-B00E-ACC3A7ABA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10307</Words>
  <Characters>58750</Characters>
  <Application>Microsoft Office Word</Application>
  <DocSecurity>0</DocSecurity>
  <Lines>489</Lines>
  <Paragraphs>137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GFZ German Research Centre for Geosciences</Company>
  <LinksUpToDate>false</LinksUpToDate>
  <CharactersWithSpaces>68920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kumar</dc:creator>
  <cp:keywords/>
  <dc:description/>
  <cp:lastModifiedBy>kumar</cp:lastModifiedBy>
  <cp:revision>23</cp:revision>
  <dcterms:created xsi:type="dcterms:W3CDTF">2023-08-15T10:15:00Z</dcterms:created>
  <dcterms:modified xsi:type="dcterms:W3CDTF">2023-08-25T05:24:00Z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9efd2d2a-7a8b-3857-9072-964ba16fa584</vt:lpwstr>
  </property>
  <property fmtid="{D5CDD505-2E9C-101B-9397-08002B2CF9AE}" pid="24" name="Mendeley Citation Style_1">
    <vt:lpwstr>http://www.zotero.org/styles/american-sociological-association</vt:lpwstr>
  </property>
</Properties>
</file>