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2"/>
        <w:tblW w:w="4999" w:type="pct"/>
        <w:tblInd w:w="0" w:type="dxa"/>
        <w:tblBorders>
          <w:top w:val="single" w:color="auto" w:sz="12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6824"/>
      </w:tblGrid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5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GLOSSARY</w:t>
            </w:r>
          </w:p>
        </w:tc>
        <w:tc>
          <w:tcPr>
            <w:tcW w:w="4004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5" w:type="pc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GEO</w:t>
            </w:r>
          </w:p>
        </w:tc>
        <w:tc>
          <w:tcPr>
            <w:tcW w:w="4004" w:type="pct"/>
            <w:tcBorders>
              <w:top w:val="single" w:color="auto" w:sz="12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Gene Expression Omnibus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GO</w:t>
            </w:r>
          </w:p>
        </w:tc>
        <w:tc>
          <w:tcPr>
            <w:tcW w:w="4004" w:type="pct"/>
            <w:shd w:val="clear" w:color="auto" w:fill="auto"/>
            <w:noWrap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gene ontology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KEGG</w:t>
            </w:r>
          </w:p>
        </w:tc>
        <w:tc>
          <w:tcPr>
            <w:tcW w:w="4004" w:type="pct"/>
            <w:shd w:val="clear" w:color="auto" w:fill="auto"/>
            <w:noWrap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Kyoto Encyclopedia of Genes and Genomes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LR</w:t>
            </w:r>
          </w:p>
        </w:tc>
        <w:tc>
          <w:tcPr>
            <w:tcW w:w="4004" w:type="pct"/>
            <w:shd w:val="clear" w:color="auto" w:fill="auto"/>
            <w:noWrap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ligand receptor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LASSO</w:t>
            </w:r>
          </w:p>
        </w:tc>
        <w:tc>
          <w:tcPr>
            <w:tcW w:w="4004" w:type="pct"/>
            <w:shd w:val="clear" w:color="auto" w:fill="auto"/>
            <w:noWrap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least absolute shrinkage and selection operator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HFD</w:t>
            </w:r>
          </w:p>
        </w:tc>
        <w:tc>
          <w:tcPr>
            <w:tcW w:w="4004" w:type="pct"/>
            <w:shd w:val="clear" w:color="auto" w:fill="auto"/>
            <w:noWrap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High-fat-diet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RT-PCR</w:t>
            </w:r>
          </w:p>
        </w:tc>
        <w:tc>
          <w:tcPr>
            <w:tcW w:w="4004" w:type="pct"/>
            <w:shd w:val="clear" w:color="auto" w:fill="auto"/>
            <w:noWrap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real-time polymerase chain reaction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MetS</w:t>
            </w:r>
          </w:p>
        </w:tc>
        <w:tc>
          <w:tcPr>
            <w:tcW w:w="4004" w:type="pct"/>
            <w:shd w:val="clear" w:color="auto" w:fill="auto"/>
            <w:noWrap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metabolic syndrome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LN</w:t>
            </w:r>
          </w:p>
        </w:tc>
        <w:tc>
          <w:tcPr>
            <w:tcW w:w="4004" w:type="pct"/>
            <w:shd w:val="clear" w:color="auto" w:fill="auto"/>
            <w:noWrap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lymph nodes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TH</w:t>
            </w:r>
          </w:p>
        </w:tc>
        <w:tc>
          <w:tcPr>
            <w:tcW w:w="4004" w:type="pct"/>
            <w:shd w:val="clear" w:color="auto" w:fill="auto"/>
            <w:noWrap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helper T cells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99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GC</w:t>
            </w:r>
          </w:p>
        </w:tc>
        <w:tc>
          <w:tcPr>
            <w:tcW w:w="4004" w:type="pct"/>
            <w:shd w:val="clear" w:color="auto" w:fill="auto"/>
            <w:noWrap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germinal center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GAPDH</w:t>
            </w:r>
          </w:p>
        </w:tc>
        <w:tc>
          <w:tcPr>
            <w:tcW w:w="4004" w:type="pct"/>
            <w:shd w:val="clear" w:color="auto" w:fill="auto"/>
            <w:noWrap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glyceraldehyde 3-phosphate dehydrogenase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PKC</w:t>
            </w:r>
          </w:p>
        </w:tc>
        <w:tc>
          <w:tcPr>
            <w:tcW w:w="4004" w:type="pct"/>
            <w:shd w:val="clear" w:color="auto" w:fill="auto"/>
            <w:noWrap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protein kinase 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HEXIM1</w:t>
            </w:r>
          </w:p>
        </w:tc>
        <w:tc>
          <w:tcPr>
            <w:tcW w:w="4004" w:type="pct"/>
            <w:shd w:val="clear" w:color="auto" w:fill="auto"/>
            <w:noWrap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Hexamethylene Bis-Acetamide-Inducible Protein 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PCA</w:t>
            </w:r>
          </w:p>
        </w:tc>
        <w:tc>
          <w:tcPr>
            <w:tcW w:w="4004" w:type="pct"/>
            <w:shd w:val="clear" w:color="auto" w:fill="auto"/>
            <w:noWrap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Principal Component Analysis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UMAP</w:t>
            </w:r>
          </w:p>
        </w:tc>
        <w:tc>
          <w:tcPr>
            <w:tcW w:w="4004" w:type="pct"/>
            <w:shd w:val="clear" w:color="auto" w:fill="auto"/>
            <w:noWrap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Uniform Manifold Approximation and Projection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SNN</w:t>
            </w:r>
          </w:p>
        </w:tc>
        <w:tc>
          <w:tcPr>
            <w:tcW w:w="4004" w:type="pct"/>
            <w:shd w:val="clear" w:color="auto" w:fill="auto"/>
            <w:noWrap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Spiking Neural Network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PPI</w:t>
            </w:r>
          </w:p>
        </w:tc>
        <w:tc>
          <w:tcPr>
            <w:tcW w:w="4004" w:type="pct"/>
            <w:shd w:val="clear" w:color="auto" w:fill="auto"/>
            <w:noWrap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protein protein interaction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DEGs</w:t>
            </w:r>
          </w:p>
        </w:tc>
        <w:tc>
          <w:tcPr>
            <w:tcW w:w="4004" w:type="pct"/>
            <w:shd w:val="clear" w:color="auto" w:fill="auto"/>
            <w:noWrap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differentially expressed gene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ROC</w:t>
            </w:r>
          </w:p>
        </w:tc>
        <w:tc>
          <w:tcPr>
            <w:tcW w:w="4004" w:type="pct"/>
            <w:shd w:val="clear" w:color="auto" w:fill="auto"/>
            <w:noWrap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receiver operating characteristic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tSNE</w:t>
            </w:r>
          </w:p>
        </w:tc>
        <w:tc>
          <w:tcPr>
            <w:tcW w:w="4004" w:type="pct"/>
            <w:shd w:val="clear" w:color="auto" w:fill="auto"/>
            <w:noWrap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t-Distributed Stochastic Neighbor Embedding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ER</w:t>
            </w:r>
          </w:p>
        </w:tc>
        <w:tc>
          <w:tcPr>
            <w:tcW w:w="4004" w:type="pct"/>
            <w:shd w:val="clear" w:color="auto" w:fill="auto"/>
            <w:noWrap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endoplasmic reticulum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STRING</w:t>
            </w:r>
          </w:p>
        </w:tc>
        <w:tc>
          <w:tcPr>
            <w:tcW w:w="4004" w:type="pct"/>
            <w:shd w:val="clear" w:color="auto" w:fill="auto"/>
            <w:noWrap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search tool for recurring instances of neighbouring genes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5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TG</w:t>
            </w:r>
          </w:p>
        </w:tc>
        <w:tc>
          <w:tcPr>
            <w:tcW w:w="4004" w:type="pct"/>
            <w:tcBorders>
              <w:bottom w:val="single" w:color="auto" w:sz="12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Triglyceride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yZDUyMWY3MGI1NmRhNTkwNzM0MjFjZDk0ZWMxMTUifQ=="/>
  </w:docVars>
  <w:rsids>
    <w:rsidRoot w:val="00000000"/>
    <w:rsid w:val="0E0D7668"/>
    <w:rsid w:val="12045226"/>
    <w:rsid w:val="25F807A6"/>
    <w:rsid w:val="28427CBE"/>
    <w:rsid w:val="2E485166"/>
    <w:rsid w:val="2FF41B95"/>
    <w:rsid w:val="30AF345D"/>
    <w:rsid w:val="493E5A23"/>
    <w:rsid w:val="4D722A68"/>
    <w:rsid w:val="4E6C1FEA"/>
    <w:rsid w:val="4F07768F"/>
    <w:rsid w:val="4F1E0A42"/>
    <w:rsid w:val="4F457D08"/>
    <w:rsid w:val="57643855"/>
    <w:rsid w:val="57D77065"/>
    <w:rsid w:val="581806B0"/>
    <w:rsid w:val="595022DA"/>
    <w:rsid w:val="5EAA7B88"/>
    <w:rsid w:val="694906D7"/>
    <w:rsid w:val="6C112375"/>
    <w:rsid w:val="6E201C15"/>
    <w:rsid w:val="71593474"/>
    <w:rsid w:val="7313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703</Characters>
  <Lines>1</Lines>
  <Paragraphs>1</Paragraphs>
  <TotalTime>1</TotalTime>
  <ScaleCrop>false</ScaleCrop>
  <LinksUpToDate>false</LinksUpToDate>
  <CharactersWithSpaces>758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2023-06-01T13:07:00Z</dcterms:created>
  <dc:creator>Rastus</dc:creator>
  <cp:lastModifiedBy>沈鸢京</cp:lastModifiedBy>
  <dcterms:modified xsi:type="dcterms:W3CDTF">2023-06-03T06:51:57Z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3D7B0DB6F7C646D3B58583EA5914D1EF_12</vt:lpwstr>
  </property>
</Properties>
</file>