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Arial" w:hAnsi="Arial" w:cs="Arial"/>
          <w:b/>
          <w:bCs/>
          <w:kern w:val="0"/>
          <w:sz w:val="26"/>
          <w:szCs w:val="26"/>
        </w:rPr>
      </w:pPr>
      <w:bookmarkStart w:id="0" w:name="_Hlk98859720"/>
      <w:r>
        <w:rPr>
          <w:rFonts w:ascii="Arial" w:hAnsi="Arial" w:cs="Arial"/>
          <w:b/>
          <w:bCs/>
          <w:kern w:val="0"/>
          <w:sz w:val="26"/>
          <w:szCs w:val="26"/>
        </w:rPr>
        <w:t>Lifestyle profile is independently associated with incidence and mortality of nonalcoholic fatty liver disease</w:t>
      </w:r>
    </w:p>
    <w:bookmarkEnd w:id="0"/>
    <w:p>
      <w:pPr>
        <w:spacing w:line="360" w:lineRule="auto"/>
        <w:rPr>
          <w:rFonts w:ascii="Arial" w:hAnsi="Arial" w:cs="Arial"/>
          <w:sz w:val="18"/>
          <w:szCs w:val="18"/>
        </w:rPr>
      </w:pPr>
    </w:p>
    <w:p>
      <w:pPr>
        <w:spacing w:line="360" w:lineRule="auto"/>
        <w:rPr>
          <w:rFonts w:hint="eastAsia" w:ascii="Arial" w:hAnsi="Arial" w:cs="Arial"/>
          <w:sz w:val="18"/>
          <w:szCs w:val="18"/>
        </w:rPr>
      </w:pPr>
      <w:r>
        <w:rPr>
          <w:rFonts w:hint="eastAsia" w:ascii="Arial" w:hAnsi="Arial" w:cs="Arial"/>
          <w:sz w:val="18"/>
          <w:szCs w:val="18"/>
        </w:rPr>
        <w:t>Beilin Tu</w:t>
      </w:r>
      <w:r>
        <w:rPr>
          <w:rFonts w:hint="eastAsia" w:ascii="Arial" w:hAnsi="Arial" w:cs="Arial"/>
          <w:sz w:val="18"/>
          <w:szCs w:val="18"/>
          <w:vertAlign w:val="superscript"/>
        </w:rPr>
        <w:t>1</w:t>
      </w:r>
      <w:r>
        <w:rPr>
          <w:rFonts w:hint="eastAsia" w:ascii="Arial" w:hAnsi="Arial" w:cs="Arial"/>
          <w:sz w:val="18"/>
          <w:szCs w:val="18"/>
        </w:rPr>
        <w:t>, Wei Li</w:t>
      </w:r>
      <w:r>
        <w:rPr>
          <w:rFonts w:hint="eastAsia" w:ascii="Arial" w:hAnsi="Arial" w:cs="Arial"/>
          <w:sz w:val="18"/>
          <w:szCs w:val="18"/>
          <w:vertAlign w:val="superscript"/>
        </w:rPr>
        <w:t>1</w:t>
      </w:r>
      <w:r>
        <w:rPr>
          <w:rFonts w:hint="eastAsia" w:ascii="Arial" w:hAnsi="Arial" w:cs="Arial"/>
          <w:sz w:val="18"/>
          <w:szCs w:val="18"/>
        </w:rPr>
        <w:t>, Haitao Xiao</w:t>
      </w:r>
      <w:r>
        <w:rPr>
          <w:rFonts w:hint="eastAsia" w:ascii="Arial" w:hAnsi="Arial" w:cs="Arial"/>
          <w:sz w:val="18"/>
          <w:szCs w:val="18"/>
          <w:vertAlign w:val="superscript"/>
        </w:rPr>
        <w:t>1</w:t>
      </w:r>
      <w:r>
        <w:rPr>
          <w:rFonts w:hint="eastAsia" w:ascii="Arial" w:hAnsi="Arial" w:cs="Arial"/>
          <w:sz w:val="18"/>
          <w:szCs w:val="18"/>
        </w:rPr>
        <w:t>, Xuewen Xu</w:t>
      </w:r>
      <w:r>
        <w:rPr>
          <w:rFonts w:hint="eastAsia" w:ascii="Arial" w:hAnsi="Arial" w:cs="Arial"/>
          <w:sz w:val="18"/>
          <w:szCs w:val="18"/>
          <w:vertAlign w:val="superscript"/>
        </w:rPr>
        <w:t>1</w:t>
      </w:r>
      <w:r>
        <w:rPr>
          <w:rFonts w:hint="eastAsia" w:ascii="Arial" w:hAnsi="Arial" w:cs="Arial"/>
          <w:sz w:val="18"/>
          <w:szCs w:val="18"/>
        </w:rPr>
        <w:t>, Yange Zhang</w:t>
      </w:r>
      <w:r>
        <w:rPr>
          <w:rFonts w:hint="eastAsia" w:ascii="Arial" w:hAnsi="Arial" w:cs="Arial"/>
          <w:sz w:val="18"/>
          <w:szCs w:val="18"/>
          <w:vertAlign w:val="superscript"/>
        </w:rPr>
        <w:t>1,2</w:t>
      </w:r>
      <w:r>
        <w:rPr>
          <w:rFonts w:hint="eastAsia" w:ascii="Arial" w:hAnsi="Arial" w:cs="Arial"/>
          <w:sz w:val="18"/>
          <w:szCs w:val="18"/>
        </w:rPr>
        <w:t xml:space="preserve"> </w:t>
      </w:r>
    </w:p>
    <w:p>
      <w:pPr>
        <w:spacing w:line="360" w:lineRule="auto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  <w:vertAlign w:val="superscript"/>
        </w:rPr>
        <w:t>1</w:t>
      </w:r>
      <w:r>
        <w:rPr>
          <w:rFonts w:ascii="Arial" w:hAnsi="Arial" w:cs="Arial"/>
          <w:sz w:val="15"/>
          <w:szCs w:val="15"/>
        </w:rPr>
        <w:t>Department of Plastic and Burns Surgery, West China Hospital, Sichuan University, Chengd</w:t>
      </w:r>
      <w:bookmarkStart w:id="1" w:name="_GoBack"/>
      <w:bookmarkEnd w:id="1"/>
      <w:r>
        <w:rPr>
          <w:rFonts w:ascii="Arial" w:hAnsi="Arial" w:cs="Arial"/>
          <w:sz w:val="15"/>
          <w:szCs w:val="15"/>
        </w:rPr>
        <w:t>u 610041, China;</w:t>
      </w:r>
    </w:p>
    <w:p>
      <w:pPr>
        <w:spacing w:line="360" w:lineRule="auto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  <w:vertAlign w:val="superscript"/>
        </w:rPr>
        <w:t>2</w:t>
      </w:r>
      <w:r>
        <w:rPr>
          <w:rFonts w:ascii="Arial" w:hAnsi="Arial" w:cs="Arial"/>
          <w:sz w:val="15"/>
          <w:szCs w:val="15"/>
        </w:rPr>
        <w:t>Department of Liver Surgery and Liver Transplantation, State Key Laboratory of Biotherapy and Cancer Center, West China Hospital, Sichuan University and Collaborative Innovation Center of Biotherapy, Chengdu 610041, China</w:t>
      </w:r>
    </w:p>
    <w:p>
      <w:pPr>
        <w:spacing w:line="360" w:lineRule="auto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>Correspondence: Department of Plastic and Burns Surgery, West China Hospital, Sichuan University, 37 Guoxue</w:t>
      </w:r>
      <w:r>
        <w:rPr>
          <w:rFonts w:hint="eastAsia" w:ascii="Arial" w:hAnsi="Arial" w:cs="Arial"/>
          <w:sz w:val="15"/>
          <w:szCs w:val="15"/>
          <w:lang w:val="en-US" w:eastAsia="zh-CN"/>
        </w:rPr>
        <w:t xml:space="preserve"> Road</w:t>
      </w:r>
      <w:r>
        <w:rPr>
          <w:rFonts w:ascii="Arial" w:hAnsi="Arial" w:cs="Arial"/>
          <w:sz w:val="15"/>
          <w:szCs w:val="15"/>
        </w:rPr>
        <w:t xml:space="preserve">, Chengdu 610041, China. E-mail address: zhangyangeplastic@126.com (Y. Zhang); </w:t>
      </w:r>
      <w:r>
        <w:fldChar w:fldCharType="begin"/>
      </w:r>
      <w:r>
        <w:instrText xml:space="preserve"> HYPERLINK "mailto:xuxuewenplastic@126.com" </w:instrText>
      </w:r>
      <w:r>
        <w:fldChar w:fldCharType="separate"/>
      </w:r>
      <w:r>
        <w:rPr>
          <w:rFonts w:ascii="Arial" w:hAnsi="Arial" w:cs="Arial"/>
          <w:sz w:val="15"/>
          <w:szCs w:val="15"/>
        </w:rPr>
        <w:t>xuxuewenplastic@126.com</w:t>
      </w:r>
      <w:r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  <w:t xml:space="preserve"> (X. Xu).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4"/>
        <w:tblW w:w="9816" w:type="dxa"/>
        <w:jc w:val="center"/>
        <w:tblLayout w:type="autofit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630"/>
        <w:gridCol w:w="750"/>
        <w:gridCol w:w="750"/>
        <w:gridCol w:w="750"/>
        <w:gridCol w:w="750"/>
        <w:gridCol w:w="768"/>
        <w:gridCol w:w="1192"/>
        <w:gridCol w:w="1192"/>
        <w:gridCol w:w="1192"/>
        <w:gridCol w:w="1192"/>
        <w:gridCol w:w="222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9" w:hRule="atLeast"/>
          <w:jc w:val="center"/>
        </w:trPr>
        <w:tc>
          <w:tcPr>
            <w:tcW w:w="98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131413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131413"/>
                <w:kern w:val="0"/>
                <w:sz w:val="16"/>
                <w:szCs w:val="16"/>
              </w:rPr>
              <w:t>Table S1 Latent profile analysis for determining the best number of profiles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9" w:hRule="atLeast"/>
          <w:jc w:val="center"/>
        </w:trPr>
        <w:tc>
          <w:tcPr>
            <w:tcW w:w="16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Number of classes</w:t>
            </w:r>
          </w:p>
        </w:tc>
        <w:tc>
          <w:tcPr>
            <w:tcW w:w="6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AIC</w:t>
            </w:r>
          </w:p>
        </w:tc>
        <w:tc>
          <w:tcPr>
            <w:tcW w:w="6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CAIC</w:t>
            </w:r>
          </w:p>
        </w:tc>
        <w:tc>
          <w:tcPr>
            <w:tcW w:w="6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BIC</w:t>
            </w:r>
          </w:p>
        </w:tc>
        <w:tc>
          <w:tcPr>
            <w:tcW w:w="67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SABIC</w:t>
            </w:r>
          </w:p>
        </w:tc>
        <w:tc>
          <w:tcPr>
            <w:tcW w:w="7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Entropy</w:t>
            </w:r>
          </w:p>
        </w:tc>
        <w:tc>
          <w:tcPr>
            <w:tcW w:w="4768" w:type="dxa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Number of patients in each latent profile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9" w:hRule="atLeast"/>
          <w:jc w:val="center"/>
        </w:trPr>
        <w:tc>
          <w:tcPr>
            <w:tcW w:w="1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9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4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04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04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171376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171531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171512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171452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7718 (79.4%)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2000 (20.6%)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04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171303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171516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171490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171407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0.584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6082 (62.6%)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2952 (30.4%)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684 (7.0%)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04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166516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166786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166753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166648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0.663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5952 (61.2%)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2650 (27.3%)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678 (7.0%)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438 (4.5%)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04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rPr>
          <w:gridAfter w:val="1"/>
          <w:wAfter w:w="6" w:type="dxa"/>
          <w:trHeight w:val="204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146846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147002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146983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146922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0.965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8913 (89.3%)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1067 (10.7%)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04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134424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134638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134612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134529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0.546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5070 (50.8%)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4889 (49.0%)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21 (0.2%)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219" w:hRule="atLeast"/>
          <w:jc w:val="center"/>
        </w:trPr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146696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146967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146934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146829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0.478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4084 (40.9%)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3579 (35.9%)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1234 (12.4%)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1086 (10.9%)</w:t>
            </w:r>
          </w:p>
        </w:tc>
      </w:tr>
      <w:tr>
        <w:trPr>
          <w:gridAfter w:val="1"/>
          <w:wAfter w:w="6" w:type="dxa"/>
          <w:trHeight w:val="312" w:hRule="atLeast"/>
          <w:jc w:val="center"/>
        </w:trPr>
        <w:tc>
          <w:tcPr>
            <w:tcW w:w="981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  <w:t>AIC, Akaike information criterion; CAIC, consistent Akaike information criterion; BIC, Bayesian information criteria; SABIC, sample-size adjusted Bayesian Information Criterion.</w:t>
            </w:r>
          </w:p>
        </w:tc>
      </w:tr>
      <w:tr>
        <w:trPr>
          <w:trHeight w:val="204" w:hRule="atLeast"/>
          <w:jc w:val="center"/>
        </w:trPr>
        <w:tc>
          <w:tcPr>
            <w:tcW w:w="9810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16"/>
                <w:szCs w:val="16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ind w:firstLine="2100" w:firstLineChars="1000"/>
      </w:pPr>
      <w:r>
        <w:drawing>
          <wp:inline distT="0" distB="0" distL="0" distR="0">
            <wp:extent cx="2468880" cy="463296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463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</w:rPr>
      </w:pPr>
      <w:r>
        <w:rPr>
          <w:rFonts w:hint="eastAsia" w:ascii="Arial" w:hAnsi="Arial" w:cs="Arial"/>
          <w:szCs w:val="21"/>
        </w:rPr>
        <w:t>F</w:t>
      </w:r>
      <w:r>
        <w:rPr>
          <w:rFonts w:ascii="Arial" w:hAnsi="Arial" w:cs="Arial"/>
          <w:szCs w:val="21"/>
        </w:rPr>
        <w:t xml:space="preserve">ig. S1 Flowchart of the inclusion and exclusion criteria in the current study. NHANES, National Health and Nutrition Examination Survey; LPA, latent profile analysis; </w:t>
      </w:r>
      <w:r>
        <w:rPr>
          <w:rFonts w:ascii="Arial" w:hAnsi="Arial" w:cs="Arial"/>
        </w:rPr>
        <w:t>HSI, hepatic steatosis index; NAFLD, non-alcoholic fatty liver disease; HEI, healthy eating index; BMI, body mass index; HCV, hepatitis C; HBV, hepatitis B.</w:t>
      </w:r>
    </w:p>
    <w:p/>
    <w:p/>
    <w:p/>
    <w:p/>
    <w:p/>
    <w:p/>
    <w:p/>
    <w:p/>
    <w:p/>
    <w:p/>
    <w:p/>
    <w:p/>
    <w:p/>
    <w:p/>
    <w:p/>
    <w:p/>
    <w:p>
      <w:r>
        <w:drawing>
          <wp:inline distT="0" distB="0" distL="0" distR="0">
            <wp:extent cx="5274310" cy="283654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Fig. S2 Unadjusted Kaplan-Meier survival curves for effect of lifestyle profile on all-cause mortality in all participants (A) or those with HSI &gt;36 or HSI &lt;30 (B).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ind w:firstLine="1470" w:firstLineChars="700"/>
      </w:pPr>
      <w:r>
        <w:drawing>
          <wp:inline distT="0" distB="0" distL="0" distR="0">
            <wp:extent cx="2798445" cy="5084445"/>
            <wp:effectExtent l="0" t="0" r="190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8445" cy="508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F</w:t>
      </w:r>
      <w:r>
        <w:rPr>
          <w:rFonts w:ascii="Arial" w:hAnsi="Arial" w:cs="Arial"/>
          <w:szCs w:val="21"/>
        </w:rPr>
        <w:t>ig. S3 Associations of the number of healthy lifestyle factors (healthy lifestyle score) with incident NAFLD (A) and all-cause survival (B). The following variables were adjusted: sex, age, race, education, marital status, family income to poverty ratio, employment, insurance. RR, risk ratio.</w:t>
      </w:r>
    </w:p>
    <w:p/>
    <w:p/>
    <w:p/>
    <w:p/>
    <w:p/>
    <w:p/>
    <w:p/>
    <w:p/>
    <w:p/>
    <w:p/>
    <w:p/>
    <w:p/>
    <w:p>
      <w:r>
        <w:drawing>
          <wp:inline distT="0" distB="0" distL="0" distR="0">
            <wp:extent cx="5274310" cy="57067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0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F</w:t>
      </w:r>
      <w:r>
        <w:rPr>
          <w:rFonts w:ascii="Arial" w:hAnsi="Arial" w:cs="Arial"/>
          <w:szCs w:val="21"/>
        </w:rPr>
        <w:t>ig. S4 Unadjusted Kaplan-Meier survival curves for effect of the number of healthy lifestyle factors (healthy lifestyle score) on all-cause mortality in patients with NAFLD, separately by profiles (A-D: profile 1-profile 4).</w:t>
      </w: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xMTFhMzY0YjAzMWRhZTc5NjVkNDI1OWY5YzgzM2MifQ=="/>
  </w:docVars>
  <w:rsids>
    <w:rsidRoot w:val="00C004DB"/>
    <w:rsid w:val="000E50E6"/>
    <w:rsid w:val="001A472F"/>
    <w:rsid w:val="001D1759"/>
    <w:rsid w:val="00294133"/>
    <w:rsid w:val="002D4D76"/>
    <w:rsid w:val="002F5F2E"/>
    <w:rsid w:val="00394F43"/>
    <w:rsid w:val="003A516D"/>
    <w:rsid w:val="003D1B35"/>
    <w:rsid w:val="004C1DCE"/>
    <w:rsid w:val="006D1BBD"/>
    <w:rsid w:val="007151D2"/>
    <w:rsid w:val="007B4188"/>
    <w:rsid w:val="008F4D33"/>
    <w:rsid w:val="009D1E56"/>
    <w:rsid w:val="00B33360"/>
    <w:rsid w:val="00C004DB"/>
    <w:rsid w:val="00C36680"/>
    <w:rsid w:val="00CF6535"/>
    <w:rsid w:val="00F1352B"/>
    <w:rsid w:val="00F25538"/>
    <w:rsid w:val="00F93944"/>
    <w:rsid w:val="00FB3327"/>
    <w:rsid w:val="42F2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364</Words>
  <Characters>2174</Characters>
  <Lines>19</Lines>
  <Paragraphs>5</Paragraphs>
  <TotalTime>14</TotalTime>
  <ScaleCrop>false</ScaleCrop>
  <LinksUpToDate>false</LinksUpToDate>
  <CharactersWithSpaces>2461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2022-03-11T04:54:00Z</dcterms:created>
  <dc:creator>li wei</dc:creator>
  <cp:lastModifiedBy>林雨</cp:lastModifiedBy>
  <dcterms:modified xsi:type="dcterms:W3CDTF">2023-08-17T16:26:44Z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5640ED1C1F9149DD99AADDFDA2582D0A_12</vt:lpwstr>
  </property>
</Properties>
</file>