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B175B" w14:textId="54AED079" w:rsidR="008A3E32" w:rsidRDefault="0014223D" w:rsidP="008A3E32">
      <w:pPr>
        <w:spacing w:after="0" w:line="480" w:lineRule="auto"/>
        <w:rPr>
          <w:rFonts w:ascii="Times New Roman" w:hAnsi="Times New Roman" w:cs="Times New Roman"/>
          <w:sz w:val="24"/>
          <w:szCs w:val="24"/>
        </w:rPr>
      </w:pPr>
      <w:r>
        <w:rPr>
          <w:rFonts w:ascii="Times New Roman" w:hAnsi="Times New Roman" w:cs="Times New Roman"/>
          <w:sz w:val="24"/>
          <w:szCs w:val="24"/>
        </w:rPr>
        <w:t>Online Resource 5</w:t>
      </w:r>
      <w:r w:rsidR="008A3E32">
        <w:rPr>
          <w:rFonts w:ascii="Times New Roman" w:hAnsi="Times New Roman" w:cs="Times New Roman"/>
          <w:sz w:val="24"/>
          <w:szCs w:val="24"/>
        </w:rPr>
        <w:t xml:space="preserve">: </w:t>
      </w:r>
      <w:bookmarkStart w:id="0" w:name="_Hlk30581335"/>
      <w:r w:rsidR="008A3E32">
        <w:rPr>
          <w:rFonts w:ascii="Times New Roman" w:hAnsi="Times New Roman" w:cs="Times New Roman"/>
          <w:sz w:val="24"/>
          <w:szCs w:val="24"/>
        </w:rPr>
        <w:t xml:space="preserve">Details of model simulation for the creation of paper figures. </w:t>
      </w:r>
      <w:bookmarkEnd w:id="0"/>
    </w:p>
    <w:p w14:paraId="0CDBC7CB" w14:textId="518084E7" w:rsidR="008A3E32" w:rsidRDefault="008A3E32" w:rsidP="008A3E32">
      <w:pPr>
        <w:spacing w:after="0" w:line="480" w:lineRule="auto"/>
        <w:rPr>
          <w:rFonts w:ascii="Times New Roman" w:hAnsi="Times New Roman" w:cs="Times New Roman"/>
          <w:sz w:val="24"/>
          <w:szCs w:val="24"/>
        </w:rPr>
      </w:pPr>
    </w:p>
    <w:p w14:paraId="749E83ED" w14:textId="77777777" w:rsidR="0014223D" w:rsidRPr="003B2DAB" w:rsidRDefault="0014223D" w:rsidP="0014223D">
      <w:pPr>
        <w:spacing w:after="0" w:line="480" w:lineRule="auto"/>
        <w:rPr>
          <w:rFonts w:ascii="Times New Roman" w:hAnsi="Times New Roman" w:cs="Times New Roman"/>
          <w:b/>
          <w:i/>
          <w:iCs/>
          <w:sz w:val="24"/>
          <w:szCs w:val="24"/>
        </w:rPr>
      </w:pPr>
      <w:r>
        <w:rPr>
          <w:rFonts w:ascii="Times New Roman" w:hAnsi="Times New Roman" w:cs="Times New Roman"/>
          <w:b/>
          <w:i/>
          <w:iCs/>
          <w:sz w:val="24"/>
          <w:szCs w:val="24"/>
        </w:rPr>
        <w:t xml:space="preserve">Rainfall Variability and </w:t>
      </w:r>
      <w:r w:rsidRPr="00A901C4">
        <w:rPr>
          <w:rFonts w:ascii="Times New Roman" w:hAnsi="Times New Roman" w:cs="Times New Roman"/>
          <w:b/>
          <w:i/>
          <w:iCs/>
          <w:sz w:val="24"/>
          <w:szCs w:val="24"/>
        </w:rPr>
        <w:t>Deciduous-Evergreen Coexistence in Tropical Forests</w:t>
      </w:r>
    </w:p>
    <w:p w14:paraId="00381E4D" w14:textId="77777777" w:rsidR="0014223D" w:rsidRDefault="0014223D" w:rsidP="0014223D">
      <w:pPr>
        <w:spacing w:after="0" w:line="480" w:lineRule="auto"/>
        <w:rPr>
          <w:rFonts w:ascii="Times New Roman" w:hAnsi="Times New Roman" w:cs="Times New Roman"/>
          <w:sz w:val="24"/>
          <w:szCs w:val="24"/>
        </w:rPr>
      </w:pPr>
      <w:r>
        <w:rPr>
          <w:rFonts w:ascii="Times New Roman" w:hAnsi="Times New Roman" w:cs="Times New Roman"/>
          <w:i/>
          <w:iCs/>
          <w:sz w:val="24"/>
          <w:szCs w:val="24"/>
        </w:rPr>
        <w:t xml:space="preserve">Authors: </w:t>
      </w:r>
      <w:r>
        <w:rPr>
          <w:rFonts w:ascii="Times New Roman" w:hAnsi="Times New Roman" w:cs="Times New Roman"/>
          <w:sz w:val="24"/>
          <w:szCs w:val="24"/>
        </w:rPr>
        <w:t>Andrew J. Muehleisen</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,2</w:t>
      </w:r>
      <w:r>
        <w:rPr>
          <w:rFonts w:ascii="Times New Roman" w:hAnsi="Times New Roman" w:cs="Times New Roman"/>
          <w:sz w:val="24"/>
          <w:szCs w:val="24"/>
        </w:rPr>
        <w:t>, Naomi B. Schwartz</w:t>
      </w:r>
      <w:r>
        <w:rPr>
          <w:rFonts w:ascii="Times New Roman" w:hAnsi="Times New Roman" w:cs="Times New Roman"/>
          <w:i/>
          <w:sz w:val="24"/>
          <w:szCs w:val="24"/>
          <w:vertAlign w:val="superscript"/>
        </w:rPr>
        <w:t>3</w:t>
      </w:r>
      <w:r>
        <w:rPr>
          <w:rFonts w:ascii="Times New Roman" w:hAnsi="Times New Roman" w:cs="Times New Roman"/>
          <w:sz w:val="24"/>
          <w:szCs w:val="24"/>
        </w:rPr>
        <w:t>, Simon M. Stump</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r>
        <w:rPr>
          <w:rFonts w:ascii="Times New Roman" w:hAnsi="Times New Roman" w:cs="Times New Roman"/>
          <w:sz w:val="24"/>
          <w:szCs w:val="24"/>
        </w:rPr>
        <w:t>, A. Carla Staver</w:t>
      </w:r>
      <w:r w:rsidRPr="003B2879">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p>
    <w:p w14:paraId="03EF258D" w14:textId="77777777" w:rsidR="0014223D" w:rsidRPr="006949D9" w:rsidRDefault="0014223D" w:rsidP="0014223D">
      <w:pPr>
        <w:spacing w:after="0" w:line="480" w:lineRule="auto"/>
        <w:rPr>
          <w:rFonts w:ascii="Times New Roman" w:hAnsi="Times New Roman" w:cs="Times New Roman"/>
          <w:sz w:val="24"/>
          <w:szCs w:val="24"/>
        </w:rPr>
      </w:pPr>
      <w:r>
        <w:rPr>
          <w:rFonts w:ascii="Times New Roman" w:hAnsi="Times New Roman" w:cs="Times New Roman"/>
          <w:i/>
          <w:iCs/>
          <w:sz w:val="24"/>
          <w:szCs w:val="24"/>
        </w:rPr>
        <w:t>Affiliations</w:t>
      </w:r>
      <w:r>
        <w:rPr>
          <w:rFonts w:ascii="Times New Roman" w:hAnsi="Times New Roman" w:cs="Times New Roman"/>
          <w:sz w:val="24"/>
          <w:szCs w:val="24"/>
        </w:rPr>
        <w:t xml:space="preserve">: </w:t>
      </w:r>
    </w:p>
    <w:p w14:paraId="088040D5" w14:textId="77777777" w:rsidR="0014223D" w:rsidRDefault="0014223D" w:rsidP="0014223D">
      <w:pPr>
        <w:spacing w:after="0" w:line="480" w:lineRule="auto"/>
        <w:rPr>
          <w:rFonts w:ascii="Times New Roman" w:hAnsi="Times New Roman" w:cs="Times New Roman"/>
          <w:sz w:val="24"/>
          <w:szCs w:val="24"/>
        </w:rPr>
      </w:pPr>
      <w:r w:rsidRPr="003B2879">
        <w:rPr>
          <w:rFonts w:ascii="Times New Roman" w:hAnsi="Times New Roman" w:cs="Times New Roman"/>
          <w:i/>
          <w:sz w:val="24"/>
          <w:szCs w:val="24"/>
          <w:vertAlign w:val="superscript"/>
        </w:rPr>
        <w:t>1</w:t>
      </w:r>
      <w:r>
        <w:rPr>
          <w:rFonts w:ascii="Times New Roman" w:hAnsi="Times New Roman" w:cs="Times New Roman"/>
          <w:sz w:val="24"/>
          <w:szCs w:val="24"/>
        </w:rPr>
        <w:t xml:space="preserve"> Yale School of Forestry and Environmental Studies, New Haven, CT 06511 USA</w:t>
      </w:r>
    </w:p>
    <w:p w14:paraId="3B43EC7A" w14:textId="77777777" w:rsidR="0014223D" w:rsidRPr="00CD6DE5" w:rsidRDefault="0014223D" w:rsidP="0014223D">
      <w:pPr>
        <w:spacing w:after="0"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CD6DE5">
        <w:rPr>
          <w:rFonts w:ascii="Times New Roman" w:hAnsi="Times New Roman"/>
          <w:sz w:val="24"/>
          <w:szCs w:val="24"/>
        </w:rPr>
        <w:t xml:space="preserve"> </w:t>
      </w:r>
      <w:r>
        <w:rPr>
          <w:rFonts w:ascii="Times New Roman" w:hAnsi="Times New Roman"/>
          <w:sz w:val="24"/>
          <w:szCs w:val="24"/>
        </w:rPr>
        <w:t xml:space="preserve">Institute of Ecology and Evolution, University of Oregon, Eugene, OR </w:t>
      </w:r>
      <w:r w:rsidRPr="00640092">
        <w:rPr>
          <w:rStyle w:val="lrzxr"/>
          <w:rFonts w:ascii="Times New Roman" w:hAnsi="Times New Roman"/>
          <w:sz w:val="24"/>
          <w:szCs w:val="24"/>
        </w:rPr>
        <w:t>97403</w:t>
      </w:r>
      <w:r>
        <w:rPr>
          <w:rFonts w:ascii="Times New Roman" w:hAnsi="Times New Roman"/>
          <w:sz w:val="24"/>
          <w:szCs w:val="24"/>
        </w:rPr>
        <w:t>, USA</w:t>
      </w:r>
    </w:p>
    <w:p w14:paraId="37D3E7B7" w14:textId="77777777" w:rsidR="0014223D" w:rsidRDefault="0014223D" w:rsidP="0014223D">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3</w:t>
      </w:r>
      <w:r>
        <w:rPr>
          <w:rFonts w:ascii="Times New Roman" w:hAnsi="Times New Roman" w:cs="Times New Roman"/>
          <w:sz w:val="24"/>
          <w:szCs w:val="24"/>
        </w:rPr>
        <w:t xml:space="preserve"> Department of Geography, University of British Columbia, Vancouver, BC V6T 1Z4 Canada</w:t>
      </w:r>
    </w:p>
    <w:p w14:paraId="576D1C1D" w14:textId="77777777" w:rsidR="0014223D" w:rsidRDefault="0014223D" w:rsidP="0014223D">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4</w:t>
      </w:r>
      <w:r>
        <w:rPr>
          <w:rFonts w:ascii="Times New Roman" w:hAnsi="Times New Roman" w:cs="Times New Roman"/>
          <w:sz w:val="24"/>
          <w:szCs w:val="24"/>
        </w:rPr>
        <w:t xml:space="preserve"> Department of Ecology and Evolutionary Biology, Yale University, New Haven, CT 06511 USA</w:t>
      </w:r>
    </w:p>
    <w:p w14:paraId="0FDC6D10" w14:textId="77777777" w:rsidR="0014223D" w:rsidRDefault="0014223D" w:rsidP="0014223D">
      <w:pPr>
        <w:spacing w:after="0" w:line="480" w:lineRule="auto"/>
        <w:rPr>
          <w:rFonts w:ascii="Times New Roman" w:hAnsi="Times New Roman" w:cs="Times New Roman"/>
          <w:sz w:val="24"/>
          <w:szCs w:val="24"/>
        </w:rPr>
      </w:pPr>
    </w:p>
    <w:p w14:paraId="1650C134" w14:textId="77777777" w:rsidR="0014223D" w:rsidRDefault="0014223D" w:rsidP="0014223D">
      <w:pPr>
        <w:pStyle w:val="Heading2"/>
        <w:widowControl w:val="0"/>
        <w:spacing w:line="480" w:lineRule="auto"/>
        <w:rPr>
          <w:rFonts w:eastAsiaTheme="minorEastAsia"/>
          <w:b w:val="0"/>
          <w:bCs w:val="0"/>
          <w:lang w:val="en-CA"/>
        </w:rPr>
      </w:pPr>
      <w:r>
        <w:rPr>
          <w:i/>
          <w:iCs/>
        </w:rPr>
        <w:t>Corresponding author</w:t>
      </w:r>
      <w:r>
        <w:t>: Andrew J. Muehleisen; 272 Onyx Bridge, 5289 University of Oregon, Eugene, OR 97403; amuehlei@uoregon.edu</w:t>
      </w:r>
    </w:p>
    <w:p w14:paraId="4A776EAE" w14:textId="6DC30F2C" w:rsidR="0014223D" w:rsidRDefault="0014223D" w:rsidP="008A3E32">
      <w:pPr>
        <w:spacing w:after="0" w:line="480" w:lineRule="auto"/>
        <w:rPr>
          <w:rFonts w:ascii="Times New Roman" w:hAnsi="Times New Roman" w:cs="Times New Roman"/>
          <w:sz w:val="24"/>
          <w:szCs w:val="24"/>
          <w:lang w:val="en-CA"/>
        </w:rPr>
      </w:pPr>
    </w:p>
    <w:p w14:paraId="6F29F6BB" w14:textId="37EB4591" w:rsidR="0014223D" w:rsidRDefault="0014223D" w:rsidP="008A3E32">
      <w:pPr>
        <w:spacing w:after="0" w:line="480" w:lineRule="auto"/>
        <w:rPr>
          <w:rFonts w:ascii="Times New Roman" w:hAnsi="Times New Roman" w:cs="Times New Roman"/>
          <w:sz w:val="24"/>
          <w:szCs w:val="24"/>
          <w:lang w:val="en-CA"/>
        </w:rPr>
      </w:pPr>
    </w:p>
    <w:p w14:paraId="57D8993A" w14:textId="2B7B1FD6" w:rsidR="0014223D" w:rsidRDefault="0014223D" w:rsidP="008A3E32">
      <w:pPr>
        <w:spacing w:after="0" w:line="480" w:lineRule="auto"/>
        <w:rPr>
          <w:rFonts w:ascii="Times New Roman" w:hAnsi="Times New Roman" w:cs="Times New Roman"/>
          <w:sz w:val="24"/>
          <w:szCs w:val="24"/>
          <w:lang w:val="en-CA"/>
        </w:rPr>
      </w:pPr>
    </w:p>
    <w:p w14:paraId="2D811F72" w14:textId="4DA035ED" w:rsidR="0014223D" w:rsidRDefault="0014223D" w:rsidP="008A3E32">
      <w:pPr>
        <w:spacing w:after="0" w:line="480" w:lineRule="auto"/>
        <w:rPr>
          <w:rFonts w:ascii="Times New Roman" w:hAnsi="Times New Roman" w:cs="Times New Roman"/>
          <w:sz w:val="24"/>
          <w:szCs w:val="24"/>
          <w:lang w:val="en-CA"/>
        </w:rPr>
      </w:pPr>
    </w:p>
    <w:p w14:paraId="164192F3" w14:textId="6CAF438D" w:rsidR="0014223D" w:rsidRDefault="0014223D" w:rsidP="008A3E32">
      <w:pPr>
        <w:spacing w:after="0" w:line="480" w:lineRule="auto"/>
        <w:rPr>
          <w:rFonts w:ascii="Times New Roman" w:hAnsi="Times New Roman" w:cs="Times New Roman"/>
          <w:sz w:val="24"/>
          <w:szCs w:val="24"/>
          <w:lang w:val="en-CA"/>
        </w:rPr>
      </w:pPr>
    </w:p>
    <w:p w14:paraId="1ABF58CF" w14:textId="39BEB5EC" w:rsidR="0014223D" w:rsidRDefault="0014223D" w:rsidP="008A3E32">
      <w:pPr>
        <w:spacing w:after="0" w:line="480" w:lineRule="auto"/>
        <w:rPr>
          <w:rFonts w:ascii="Times New Roman" w:hAnsi="Times New Roman" w:cs="Times New Roman"/>
          <w:sz w:val="24"/>
          <w:szCs w:val="24"/>
          <w:lang w:val="en-CA"/>
        </w:rPr>
      </w:pPr>
    </w:p>
    <w:p w14:paraId="6455E577" w14:textId="4E50F20D" w:rsidR="0014223D" w:rsidRDefault="0014223D" w:rsidP="008A3E32">
      <w:pPr>
        <w:spacing w:after="0" w:line="480" w:lineRule="auto"/>
        <w:rPr>
          <w:rFonts w:ascii="Times New Roman" w:hAnsi="Times New Roman" w:cs="Times New Roman"/>
          <w:sz w:val="24"/>
          <w:szCs w:val="24"/>
          <w:lang w:val="en-CA"/>
        </w:rPr>
      </w:pPr>
    </w:p>
    <w:p w14:paraId="1262C52D" w14:textId="72330AC3" w:rsidR="0014223D" w:rsidRDefault="0014223D" w:rsidP="008A3E32">
      <w:pPr>
        <w:spacing w:after="0" w:line="480" w:lineRule="auto"/>
        <w:rPr>
          <w:rFonts w:ascii="Times New Roman" w:hAnsi="Times New Roman" w:cs="Times New Roman"/>
          <w:sz w:val="24"/>
          <w:szCs w:val="24"/>
          <w:lang w:val="en-CA"/>
        </w:rPr>
      </w:pPr>
    </w:p>
    <w:p w14:paraId="2B30DC9E" w14:textId="77777777" w:rsidR="0014223D" w:rsidRPr="0014223D" w:rsidRDefault="0014223D" w:rsidP="008A3E32">
      <w:pPr>
        <w:spacing w:after="0" w:line="480" w:lineRule="auto"/>
        <w:rPr>
          <w:rFonts w:ascii="Times New Roman" w:hAnsi="Times New Roman" w:cs="Times New Roman"/>
          <w:sz w:val="24"/>
          <w:szCs w:val="24"/>
          <w:lang w:val="en-CA"/>
        </w:rPr>
      </w:pPr>
    </w:p>
    <w:p w14:paraId="668C6008" w14:textId="77777777" w:rsidR="008A3E32" w:rsidRPr="003053E1" w:rsidRDefault="008A3E32" w:rsidP="008A3E32">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For simulation, we initiated a community of equal parts deciduous and evergreen trees (</w:t>
      </w:r>
      <w:r w:rsidRPr="00EA1918">
        <w:rPr>
          <w:rFonts w:ascii="Times New Roman" w:hAnsi="Times New Roman" w:cs="Times New Roman"/>
          <w:i/>
          <w:iCs/>
          <w:sz w:val="24"/>
          <w:szCs w:val="24"/>
        </w:rPr>
        <w:t>p</w:t>
      </w:r>
      <w:r w:rsidRPr="00EA1918">
        <w:rPr>
          <w:rFonts w:ascii="Times New Roman" w:hAnsi="Times New Roman" w:cs="Times New Roman"/>
          <w:i/>
          <w:iCs/>
          <w:sz w:val="24"/>
          <w:szCs w:val="24"/>
          <w:vertAlign w:val="subscript"/>
        </w:rPr>
        <w:t>e</w:t>
      </w:r>
      <w:r>
        <w:rPr>
          <w:rFonts w:ascii="Times New Roman" w:hAnsi="Times New Roman" w:cs="Times New Roman"/>
          <w:sz w:val="24"/>
          <w:szCs w:val="24"/>
        </w:rPr>
        <w:t xml:space="preserve"> = </w:t>
      </w:r>
      <w:r w:rsidRPr="00EA1918">
        <w:rPr>
          <w:rFonts w:ascii="Times New Roman" w:hAnsi="Times New Roman" w:cs="Times New Roman"/>
          <w:i/>
          <w:iCs/>
          <w:sz w:val="24"/>
          <w:szCs w:val="24"/>
        </w:rPr>
        <w:t>p</w:t>
      </w:r>
      <w:r w:rsidRPr="00EA1918">
        <w:rPr>
          <w:rFonts w:ascii="Times New Roman" w:hAnsi="Times New Roman" w:cs="Times New Roman"/>
          <w:i/>
          <w:iCs/>
          <w:sz w:val="24"/>
          <w:szCs w:val="24"/>
          <w:vertAlign w:val="subscript"/>
        </w:rPr>
        <w:t>d</w:t>
      </w:r>
      <w:r>
        <w:rPr>
          <w:rFonts w:ascii="Times New Roman" w:hAnsi="Times New Roman" w:cs="Times New Roman"/>
          <w:sz w:val="24"/>
          <w:szCs w:val="24"/>
        </w:rPr>
        <w:t xml:space="preserve"> = 0.5). The resource gain for each strategy was determined according to the environmental variables in each time step (Eqn. 3 and 4), growth rates determined accounting for a fixed mortality rate in each strategy (Eqn. 1), and population proportions updated for the next time step (Eqn. 2). We simulated our model until the community composition no longer changed (</w:t>
      </w:r>
      <w:r w:rsidRPr="00474AFE">
        <w:rPr>
          <w:rFonts w:ascii="Times New Roman" w:hAnsi="Times New Roman" w:cs="Times New Roman"/>
          <w:i/>
          <w:sz w:val="24"/>
          <w:szCs w:val="24"/>
        </w:rPr>
        <w:t>i.e.</w:t>
      </w:r>
      <w:r>
        <w:rPr>
          <w:rFonts w:ascii="Times New Roman" w:hAnsi="Times New Roman" w:cs="Times New Roman"/>
          <w:sz w:val="24"/>
          <w:szCs w:val="24"/>
        </w:rPr>
        <w:t xml:space="preserve">, when it reached equilibrium) or, in the temporal storage effect scenario, dynamics reached a periodic solution, one of which occurred within 10,000 time-steps for most iterations of our model. </w:t>
      </w:r>
    </w:p>
    <w:p w14:paraId="324CEFF8" w14:textId="77777777" w:rsidR="008A3E32" w:rsidRPr="00C36CBF" w:rsidRDefault="008A3E32" w:rsidP="008A3E32">
      <w:pPr>
        <w:spacing w:after="0" w:line="480" w:lineRule="auto"/>
        <w:rPr>
          <w:rFonts w:ascii="Times New Roman" w:eastAsiaTheme="minorEastAsia" w:hAnsi="Times New Roman" w:cs="Times New Roman"/>
          <w:sz w:val="24"/>
          <w:szCs w:val="24"/>
        </w:rPr>
      </w:pPr>
      <w:r>
        <w:rPr>
          <w:rFonts w:ascii="Times New Roman" w:hAnsi="Times New Roman" w:cs="Times New Roman"/>
          <w:sz w:val="24"/>
          <w:szCs w:val="24"/>
        </w:rPr>
        <w:tab/>
        <w:t>The equilibrium value of deciduousness</w:t>
      </w:r>
      <w:r w:rsidRPr="00EA1918">
        <w:rPr>
          <w:rFonts w:ascii="Times New Roman" w:hAnsi="Times New Roman" w:cs="Times New Roman"/>
          <w:i/>
          <w:iCs/>
          <w:sz w:val="24"/>
          <w:szCs w:val="24"/>
        </w:rPr>
        <w:t xml:space="preserve"> p</w:t>
      </w:r>
      <w:r w:rsidRPr="00EA1918">
        <w:rPr>
          <w:rFonts w:ascii="Times New Roman" w:hAnsi="Times New Roman" w:cs="Times New Roman"/>
          <w:i/>
          <w:iCs/>
          <w:sz w:val="24"/>
          <w:szCs w:val="24"/>
          <w:vertAlign w:val="subscript"/>
        </w:rPr>
        <w:t>d</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was determined for a range of environmental conditions for Figures </w:t>
      </w:r>
      <w:r w:rsidRPr="003053E1">
        <w:rPr>
          <w:rFonts w:ascii="Times New Roman" w:hAnsi="Times New Roman" w:cs="Times New Roman"/>
          <w:b/>
          <w:bCs/>
          <w:sz w:val="24"/>
          <w:szCs w:val="24"/>
        </w:rPr>
        <w:t>2</w:t>
      </w:r>
      <w:r>
        <w:rPr>
          <w:rFonts w:ascii="Times New Roman" w:hAnsi="Times New Roman" w:cs="Times New Roman"/>
          <w:sz w:val="24"/>
          <w:szCs w:val="24"/>
        </w:rPr>
        <w:t xml:space="preserve">, </w:t>
      </w:r>
      <w:r w:rsidRPr="003053E1">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sz w:val="24"/>
          <w:szCs w:val="24"/>
        </w:rPr>
        <w:t xml:space="preserve"> and </w:t>
      </w:r>
      <w:r w:rsidRPr="003053E1">
        <w:rPr>
          <w:rFonts w:ascii="Times New Roman" w:hAnsi="Times New Roman" w:cs="Times New Roman"/>
          <w:b/>
          <w:bCs/>
          <w:sz w:val="24"/>
          <w:szCs w:val="24"/>
        </w:rPr>
        <w:t>4</w:t>
      </w:r>
      <w:r>
        <w:rPr>
          <w:rFonts w:ascii="Times New Roman" w:hAnsi="Times New Roman" w:cs="Times New Roman"/>
          <w:sz w:val="24"/>
          <w:szCs w:val="24"/>
        </w:rPr>
        <w:t xml:space="preserve">. Parameter values were chosen to reflect both realistic values and, importantly, ranges that demonstrated the full extent of model behavior. We did not include model results simulated across the parameters </w:t>
      </w:r>
      <w:r>
        <w:rPr>
          <w:rFonts w:ascii="Times New Roman" w:hAnsi="Times New Roman" w:cs="Times New Roman"/>
          <w:i/>
          <w:iCs/>
          <w:sz w:val="24"/>
          <w:szCs w:val="24"/>
        </w:rPr>
        <w:t xml:space="preserve">m, c, </w:t>
      </w:r>
      <w:proofErr w:type="gramStart"/>
      <w:r>
        <w:rPr>
          <w:rFonts w:ascii="Times New Roman" w:hAnsi="Times New Roman" w:cs="Times New Roman"/>
          <w:i/>
          <w:iCs/>
          <w:sz w:val="24"/>
          <w:szCs w:val="24"/>
        </w:rPr>
        <w:t>r</w:t>
      </w:r>
      <w:proofErr w:type="gramEnd"/>
      <w:r>
        <w:rPr>
          <w:rFonts w:ascii="Times New Roman" w:hAnsi="Times New Roman" w:cs="Times New Roman"/>
          <w:i/>
          <w:iCs/>
          <w:sz w:val="24"/>
          <w:szCs w:val="24"/>
        </w:rPr>
        <w:t xml:space="preserve"> </w:t>
      </w:r>
      <w:r>
        <w:rPr>
          <w:rFonts w:ascii="Times New Roman" w:hAnsi="Times New Roman" w:cs="Times New Roman"/>
          <w:sz w:val="24"/>
          <w:szCs w:val="24"/>
        </w:rPr>
        <w:t xml:space="preserve">and </w:t>
      </w:r>
      <w:r w:rsidRPr="002051A2">
        <w:rPr>
          <w:rFonts w:ascii="Times New Roman" w:hAnsi="Times New Roman" w:cs="Times New Roman"/>
          <w:i/>
          <w:iCs/>
          <w:sz w:val="24"/>
          <w:szCs w:val="24"/>
        </w:rPr>
        <w:t>LL</w:t>
      </w:r>
      <w:r>
        <w:rPr>
          <w:rFonts w:ascii="Times New Roman" w:hAnsi="Times New Roman" w:cs="Times New Roman"/>
          <w:sz w:val="24"/>
          <w:szCs w:val="24"/>
        </w:rPr>
        <w:t xml:space="preserve">, as they were not directly related to our questions. We simulated our model across the following parameter ranges: mean annual rainfall (mm), as divided between wet and dry months, </w:t>
      </w:r>
      <w:proofErr w:type="spellStart"/>
      <w:r>
        <w:rPr>
          <w:rFonts w:ascii="Times New Roman" w:hAnsi="Times New Roman" w:cs="Times New Roman"/>
          <w:sz w:val="24"/>
          <w:szCs w:val="24"/>
        </w:rPr>
        <w:t>R</w:t>
      </w:r>
      <w:r>
        <w:rPr>
          <w:rFonts w:ascii="Times New Roman" w:hAnsi="Times New Roman" w:cs="Times New Roman"/>
          <w:sz w:val="24"/>
          <w:szCs w:val="24"/>
          <w:vertAlign w:val="subscript"/>
        </w:rPr>
        <w:t>tot</w:t>
      </w:r>
      <w:proofErr w:type="spellEnd"/>
      <w:r>
        <w:rPr>
          <w:rFonts w:ascii="Times New Roman" w:hAnsi="Times New Roman" w:cs="Times New Roman"/>
          <w:sz w:val="24"/>
          <w:szCs w:val="24"/>
        </w:rPr>
        <w:t xml:space="preserve"> = (1000,4000); typical dry month rainfall (mm), </w:t>
      </w:r>
      <w:proofErr w:type="spellStart"/>
      <w:r>
        <w:rPr>
          <w:rFonts w:ascii="Times New Roman" w:hAnsi="Times New Roman" w:cs="Times New Roman"/>
          <w:sz w:val="24"/>
          <w:szCs w:val="24"/>
        </w:rPr>
        <w:t>R</w:t>
      </w:r>
      <w:r>
        <w:rPr>
          <w:rFonts w:ascii="Times New Roman" w:hAnsi="Times New Roman" w:cs="Times New Roman"/>
          <w:sz w:val="24"/>
          <w:szCs w:val="24"/>
          <w:vertAlign w:val="subscript"/>
        </w:rPr>
        <w:t>dry</w:t>
      </w:r>
      <w:proofErr w:type="spellEnd"/>
      <w:r>
        <w:rPr>
          <w:rFonts w:ascii="Times New Roman" w:hAnsi="Times New Roman" w:cs="Times New Roman"/>
          <w:sz w:val="24"/>
          <w:szCs w:val="24"/>
        </w:rPr>
        <w:t xml:space="preserve"> = (0,100); wet season length, </w:t>
      </w:r>
      <m:oMath>
        <m:r>
          <w:rPr>
            <w:rFonts w:ascii="Cambria Math" w:hAnsi="Cambria Math" w:cs="Times New Roman"/>
            <w:sz w:val="24"/>
            <w:szCs w:val="24"/>
          </w:rPr>
          <m:t>φ</m:t>
        </m:r>
      </m:oMath>
      <w:r>
        <w:rPr>
          <w:rFonts w:ascii="Times New Roman" w:eastAsiaTheme="minorEastAsia" w:hAnsi="Times New Roman" w:cs="Times New Roman"/>
          <w:sz w:val="24"/>
          <w:szCs w:val="24"/>
        </w:rPr>
        <w:t xml:space="preserve"> = (0.5,1). For Figures </w:t>
      </w:r>
      <w:r w:rsidRPr="00C36CBF">
        <w:rPr>
          <w:rFonts w:ascii="Times New Roman" w:eastAsiaTheme="minorEastAsia" w:hAnsi="Times New Roman" w:cs="Times New Roman"/>
          <w:b/>
          <w:bCs/>
          <w:sz w:val="24"/>
          <w:szCs w:val="24"/>
        </w:rPr>
        <w:t>2, 3</w:t>
      </w:r>
      <w:r>
        <w:rPr>
          <w:rFonts w:ascii="Times New Roman" w:eastAsiaTheme="minorEastAsia" w:hAnsi="Times New Roman" w:cs="Times New Roman"/>
          <w:sz w:val="24"/>
          <w:szCs w:val="24"/>
        </w:rPr>
        <w:t xml:space="preserve"> and </w:t>
      </w:r>
      <w:r w:rsidRPr="00C36CBF">
        <w:rPr>
          <w:rFonts w:ascii="Times New Roman" w:eastAsiaTheme="minorEastAsia" w:hAnsi="Times New Roman" w:cs="Times New Roman"/>
          <w:b/>
          <w:bCs/>
          <w:sz w:val="24"/>
          <w:szCs w:val="24"/>
        </w:rPr>
        <w:t>4</w:t>
      </w:r>
      <w:r>
        <w:rPr>
          <w:rFonts w:ascii="Times New Roman" w:eastAsiaTheme="minorEastAsia" w:hAnsi="Times New Roman" w:cs="Times New Roman"/>
          <w:sz w:val="24"/>
          <w:szCs w:val="24"/>
        </w:rPr>
        <w:t xml:space="preserve">, mortality </w:t>
      </w:r>
      <w:r>
        <w:rPr>
          <w:rFonts w:ascii="Times New Roman" w:eastAsiaTheme="minorEastAsia" w:hAnsi="Times New Roman" w:cs="Times New Roman"/>
          <w:i/>
          <w:iCs/>
          <w:sz w:val="24"/>
          <w:szCs w:val="24"/>
        </w:rPr>
        <w:t xml:space="preserve">m </w:t>
      </w:r>
      <w:r>
        <w:rPr>
          <w:rFonts w:ascii="Times New Roman" w:eastAsiaTheme="minorEastAsia" w:hAnsi="Times New Roman" w:cs="Times New Roman"/>
          <w:sz w:val="24"/>
          <w:szCs w:val="24"/>
        </w:rPr>
        <w:t xml:space="preserve">was fixed at 0.1, leaf longevity of evergreens </w:t>
      </w:r>
      <w:r>
        <w:rPr>
          <w:rFonts w:ascii="Times New Roman" w:eastAsiaTheme="minorEastAsia" w:hAnsi="Times New Roman" w:cs="Times New Roman"/>
          <w:i/>
          <w:iCs/>
          <w:sz w:val="24"/>
          <w:szCs w:val="24"/>
        </w:rPr>
        <w:t xml:space="preserve">LL </w:t>
      </w:r>
      <w:r>
        <w:rPr>
          <w:rFonts w:ascii="Times New Roman" w:eastAsiaTheme="minorEastAsia" w:hAnsi="Times New Roman" w:cs="Times New Roman"/>
          <w:sz w:val="24"/>
          <w:szCs w:val="24"/>
        </w:rPr>
        <w:t xml:space="preserve">was fixed at 1.2, the water-equivalent cost of respiration </w:t>
      </w:r>
      <w:r>
        <w:rPr>
          <w:rFonts w:ascii="Times New Roman" w:eastAsiaTheme="minorEastAsia" w:hAnsi="Times New Roman" w:cs="Times New Roman"/>
          <w:i/>
          <w:iCs/>
          <w:sz w:val="24"/>
          <w:szCs w:val="24"/>
        </w:rPr>
        <w:t xml:space="preserve">r </w:t>
      </w:r>
      <w:r>
        <w:rPr>
          <w:rFonts w:ascii="Times New Roman" w:eastAsiaTheme="minorEastAsia" w:hAnsi="Times New Roman" w:cs="Times New Roman"/>
          <w:sz w:val="24"/>
          <w:szCs w:val="24"/>
        </w:rPr>
        <w:t xml:space="preserve">was fixed at 200 mm, and the water-equivalent cost of leaf regrowth </w:t>
      </w:r>
      <w:r>
        <w:rPr>
          <w:rFonts w:ascii="Times New Roman" w:eastAsiaTheme="minorEastAsia" w:hAnsi="Times New Roman" w:cs="Times New Roman"/>
          <w:i/>
          <w:iCs/>
          <w:sz w:val="24"/>
          <w:szCs w:val="24"/>
        </w:rPr>
        <w:t>c</w:t>
      </w:r>
      <w:r>
        <w:rPr>
          <w:rFonts w:ascii="Times New Roman" w:eastAsiaTheme="minorEastAsia" w:hAnsi="Times New Roman" w:cs="Times New Roman"/>
          <w:sz w:val="24"/>
          <w:szCs w:val="24"/>
        </w:rPr>
        <w:t xml:space="preserve"> was fixed at 600 mm. </w:t>
      </w:r>
    </w:p>
    <w:p w14:paraId="4C9EC77F" w14:textId="77777777" w:rsidR="008A3E32" w:rsidRDefault="008A3E32" w:rsidP="008A3E32">
      <w:pPr>
        <w:spacing w:after="0" w:line="480" w:lineRule="auto"/>
        <w:rPr>
          <w:rFonts w:ascii="Times New Roman" w:hAnsi="Times New Roman" w:cs="Times New Roman"/>
          <w:sz w:val="24"/>
          <w:szCs w:val="24"/>
        </w:rPr>
      </w:pPr>
      <w:r>
        <w:rPr>
          <w:rFonts w:ascii="Times New Roman" w:eastAsiaTheme="minorEastAsia" w:hAnsi="Times New Roman" w:cs="Times New Roman"/>
          <w:sz w:val="24"/>
          <w:szCs w:val="24"/>
        </w:rPr>
        <w:tab/>
        <w:t xml:space="preserve">In the individual optimization and seasonal rainfall versions of our model, environmental variables were fixed, such that resource gain was determined in each time step under the exact same conditions. In the interannual rainfall scenario, </w:t>
      </w:r>
      <w:proofErr w:type="spellStart"/>
      <w:r>
        <w:rPr>
          <w:rFonts w:ascii="Times New Roman" w:eastAsiaTheme="minorEastAsia" w:hAnsi="Times New Roman" w:cs="Times New Roman"/>
          <w:sz w:val="24"/>
          <w:szCs w:val="24"/>
        </w:rPr>
        <w:t>R</w:t>
      </w:r>
      <w:r>
        <w:rPr>
          <w:rFonts w:ascii="Times New Roman" w:eastAsiaTheme="minorEastAsia" w:hAnsi="Times New Roman" w:cs="Times New Roman"/>
          <w:sz w:val="24"/>
          <w:szCs w:val="24"/>
          <w:vertAlign w:val="subscript"/>
        </w:rPr>
        <w:t>dry</w:t>
      </w:r>
      <w:proofErr w:type="spellEnd"/>
      <w:r>
        <w:rPr>
          <w:rFonts w:ascii="Times New Roman" w:eastAsiaTheme="minorEastAsia" w:hAnsi="Times New Roman" w:cs="Times New Roman"/>
          <w:sz w:val="24"/>
          <w:szCs w:val="24"/>
        </w:rPr>
        <w:t xml:space="preserve"> decreased by a fixed amount in regular intervals. For Figure </w:t>
      </w:r>
      <w:r w:rsidRPr="00C36CBF">
        <w:rPr>
          <w:rFonts w:ascii="Times New Roman" w:eastAsiaTheme="minorEastAsia" w:hAnsi="Times New Roman" w:cs="Times New Roman"/>
          <w:b/>
          <w:bCs/>
          <w:sz w:val="24"/>
          <w:szCs w:val="24"/>
        </w:rPr>
        <w:t>4</w:t>
      </w:r>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R</w:t>
      </w:r>
      <w:r>
        <w:rPr>
          <w:rFonts w:ascii="Times New Roman" w:eastAsiaTheme="minorEastAsia" w:hAnsi="Times New Roman" w:cs="Times New Roman"/>
          <w:sz w:val="24"/>
          <w:szCs w:val="24"/>
          <w:vertAlign w:val="subscript"/>
        </w:rPr>
        <w:t>dry</w:t>
      </w:r>
      <w:proofErr w:type="spellEnd"/>
      <w:r>
        <w:rPr>
          <w:rFonts w:ascii="Times New Roman" w:eastAsiaTheme="minorEastAsia" w:hAnsi="Times New Roman" w:cs="Times New Roman"/>
          <w:sz w:val="24"/>
          <w:szCs w:val="24"/>
        </w:rPr>
        <w:t xml:space="preserve"> was decreased by 50% in El Niño years with a 4-year return </w:t>
      </w:r>
      <w:r>
        <w:rPr>
          <w:rFonts w:ascii="Times New Roman" w:eastAsiaTheme="minorEastAsia" w:hAnsi="Times New Roman" w:cs="Times New Roman"/>
          <w:sz w:val="24"/>
          <w:szCs w:val="24"/>
        </w:rPr>
        <w:lastRenderedPageBreak/>
        <w:t xml:space="preserve">frequency, yielding a periodic solution, the average of which we used as the equilibrium proportion deciduous </w:t>
      </w:r>
      <m:oMath>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p</m:t>
                </m:r>
              </m:e>
            </m:acc>
          </m:e>
          <m:sub>
            <m:r>
              <w:rPr>
                <w:rFonts w:ascii="Cambria Math" w:hAnsi="Cambria Math" w:cs="Times New Roman"/>
                <w:sz w:val="24"/>
                <w:szCs w:val="24"/>
              </w:rPr>
              <m:t>d</m:t>
            </m:r>
          </m:sub>
        </m:sSub>
      </m:oMath>
      <w:r>
        <w:rPr>
          <w:rFonts w:ascii="Times New Roman" w:hAnsi="Times New Roman" w:cs="Times New Roman"/>
          <w:sz w:val="24"/>
          <w:szCs w:val="24"/>
        </w:rPr>
        <w:t>.</w:t>
      </w:r>
    </w:p>
    <w:p w14:paraId="02583B24" w14:textId="77777777" w:rsidR="00C478FA" w:rsidRDefault="00000000"/>
    <w:sectPr w:rsidR="00C478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E32"/>
    <w:rsid w:val="0014223D"/>
    <w:rsid w:val="002152A1"/>
    <w:rsid w:val="002947AA"/>
    <w:rsid w:val="005C5801"/>
    <w:rsid w:val="006A574F"/>
    <w:rsid w:val="007D14BC"/>
    <w:rsid w:val="008A3E32"/>
    <w:rsid w:val="00B000CA"/>
    <w:rsid w:val="00B16A61"/>
    <w:rsid w:val="00D20F06"/>
    <w:rsid w:val="00D37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69BF5"/>
  <w15:chartTrackingRefBased/>
  <w15:docId w15:val="{65C00EC8-DFA7-4EE1-B90C-4782C66F6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E32"/>
  </w:style>
  <w:style w:type="paragraph" w:styleId="Heading2">
    <w:name w:val="heading 2"/>
    <w:basedOn w:val="Normal"/>
    <w:next w:val="Normal"/>
    <w:link w:val="Heading2Char"/>
    <w:unhideWhenUsed/>
    <w:qFormat/>
    <w:rsid w:val="0014223D"/>
    <w:pPr>
      <w:keepNext/>
      <w:spacing w:after="0" w:line="240" w:lineRule="auto"/>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4223D"/>
    <w:rPr>
      <w:rFonts w:ascii="Times New Roman" w:eastAsia="Times New Roman" w:hAnsi="Times New Roman" w:cs="Times New Roman"/>
      <w:b/>
      <w:bCs/>
      <w:sz w:val="24"/>
      <w:szCs w:val="24"/>
    </w:rPr>
  </w:style>
  <w:style w:type="character" w:styleId="CommentReference">
    <w:name w:val="annotation reference"/>
    <w:basedOn w:val="DefaultParagraphFont"/>
    <w:uiPriority w:val="99"/>
    <w:semiHidden/>
    <w:unhideWhenUsed/>
    <w:rsid w:val="0014223D"/>
    <w:rPr>
      <w:sz w:val="16"/>
      <w:szCs w:val="16"/>
    </w:rPr>
  </w:style>
  <w:style w:type="paragraph" w:styleId="CommentText">
    <w:name w:val="annotation text"/>
    <w:basedOn w:val="Normal"/>
    <w:link w:val="CommentTextChar"/>
    <w:uiPriority w:val="99"/>
    <w:unhideWhenUsed/>
    <w:rsid w:val="0014223D"/>
    <w:pPr>
      <w:spacing w:line="240" w:lineRule="auto"/>
    </w:pPr>
    <w:rPr>
      <w:sz w:val="20"/>
      <w:szCs w:val="20"/>
    </w:rPr>
  </w:style>
  <w:style w:type="character" w:customStyle="1" w:styleId="CommentTextChar">
    <w:name w:val="Comment Text Char"/>
    <w:basedOn w:val="DefaultParagraphFont"/>
    <w:link w:val="CommentText"/>
    <w:uiPriority w:val="99"/>
    <w:rsid w:val="0014223D"/>
    <w:rPr>
      <w:sz w:val="20"/>
      <w:szCs w:val="20"/>
    </w:rPr>
  </w:style>
  <w:style w:type="character" w:customStyle="1" w:styleId="lrzxr">
    <w:name w:val="lrzxr"/>
    <w:basedOn w:val="DefaultParagraphFont"/>
    <w:rsid w:val="00142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412</Words>
  <Characters>2352</Characters>
  <Application>Microsoft Office Word</Application>
  <DocSecurity>0</DocSecurity>
  <Lines>19</Lines>
  <Paragraphs>5</Paragraphs>
  <ScaleCrop>false</ScaleCrop>
  <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Muehleisen</dc:creator>
  <cp:keywords/>
  <dc:description/>
  <cp:lastModifiedBy>Andrew Muehleisen</cp:lastModifiedBy>
  <cp:revision>4</cp:revision>
  <dcterms:created xsi:type="dcterms:W3CDTF">2020-06-04T13:56:00Z</dcterms:created>
  <dcterms:modified xsi:type="dcterms:W3CDTF">2023-03-03T18:22:00Z</dcterms:modified>
</cp:coreProperties>
</file>