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6D12C8" w14:textId="1B035016" w:rsidR="00625993" w:rsidRPr="00654648" w:rsidRDefault="00625993" w:rsidP="00625993">
      <w:pPr>
        <w:widowControl/>
        <w:spacing w:beforeLines="50" w:before="156" w:afterLines="50" w:after="156"/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137166635"/>
      <w:r w:rsidRPr="0065464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E81C09" wp14:editId="648869F9">
            <wp:extent cx="5274310" cy="5579745"/>
            <wp:effectExtent l="0" t="0" r="2540" b="1905"/>
            <wp:docPr id="207365938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7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64B7E" w14:textId="77777777" w:rsidR="00625993" w:rsidRDefault="00625993" w:rsidP="00625993">
      <w:pPr>
        <w:widowControl/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1: Single particle cryo-EM analysis work flow and evaluation for the PSII-TPP complex from the </w:t>
      </w:r>
      <w:r w:rsidRPr="00654648">
        <w:rPr>
          <w:rFonts w:ascii="Times New Roman" w:hAnsi="Times New Roman" w:cs="Times New Roman"/>
          <w:b/>
          <w:bCs/>
          <w:i/>
          <w:sz w:val="24"/>
          <w:szCs w:val="24"/>
        </w:rPr>
        <w:t>C. reinhardtii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4648">
        <w:rPr>
          <w:rFonts w:ascii="Times New Roman" w:hAnsi="Times New Roman" w:cs="Times New Roman"/>
          <w:b/>
          <w:bCs/>
          <w:i/>
          <w:iCs/>
          <w:sz w:val="24"/>
          <w:szCs w:val="24"/>
        </w:rPr>
        <w:t>pph1;pbcp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 mutant strain. a, </w:t>
      </w:r>
      <w:r w:rsidRPr="005B1908">
        <w:rPr>
          <w:rFonts w:ascii="Times New Roman" w:hAnsi="Times New Roman" w:cs="Times New Roman"/>
          <w:sz w:val="24"/>
          <w:szCs w:val="24"/>
        </w:rPr>
        <w:t xml:space="preserve">The </w:t>
      </w:r>
      <w:r w:rsidRPr="00F45A35">
        <w:rPr>
          <w:rFonts w:ascii="Times New Roman" w:hAnsi="Times New Roman" w:cs="Times New Roman"/>
          <w:bCs/>
          <w:sz w:val="24"/>
          <w:szCs w:val="24"/>
        </w:rPr>
        <w:t>overall scheme for the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4648">
        <w:rPr>
          <w:rFonts w:ascii="Times New Roman" w:hAnsi="Times New Roman" w:cs="Times New Roman"/>
          <w:sz w:val="24"/>
          <w:szCs w:val="24"/>
        </w:rPr>
        <w:t xml:space="preserve">single particle cryo-EM data processing procedure. Representative PSII-M particles are highlighted by white circles in the micrograph. All selected classes potentially containing PSII-M particles are framed by rectangles, while the representative PSII-M 2D averaged classes are highlighted by green squares.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b, </w:t>
      </w:r>
      <w:r w:rsidRPr="00654648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654648">
        <w:rPr>
          <w:rFonts w:ascii="Times New Roman" w:hAnsi="Times New Roman" w:cs="Times New Roman"/>
          <w:sz w:val="24"/>
          <w:szCs w:val="24"/>
        </w:rPr>
        <w:t xml:space="preserve">gold standard Fourier shell correlation (GSFSC) curves of local refined density maps with a resolution-cutoff threshold at 0.143.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c, </w:t>
      </w:r>
      <w:r w:rsidRPr="00654648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654648">
        <w:rPr>
          <w:rFonts w:ascii="Times New Roman" w:hAnsi="Times New Roman" w:cs="Times New Roman"/>
          <w:sz w:val="24"/>
          <w:szCs w:val="24"/>
        </w:rPr>
        <w:t xml:space="preserve">Fourier shell correlation (FSC) curves </w:t>
      </w:r>
      <w:r w:rsidRPr="00654648">
        <w:rPr>
          <w:rFonts w:ascii="Times New Roman" w:hAnsi="Times New Roman" w:cs="Times New Roman"/>
          <w:sz w:val="24"/>
          <w:szCs w:val="24"/>
        </w:rPr>
        <w:lastRenderedPageBreak/>
        <w:t xml:space="preserve">between the structural model and the composite cryo-EM density map of the PSII-TPP complex.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d, </w:t>
      </w:r>
      <w:r w:rsidRPr="00654648">
        <w:rPr>
          <w:rFonts w:ascii="Times New Roman" w:hAnsi="Times New Roman" w:cs="Times New Roman"/>
          <w:sz w:val="24"/>
          <w:szCs w:val="24"/>
        </w:rPr>
        <w:t xml:space="preserve">Representative orientational distribution plot of 58,645 3D-refined particles of the PSII-TPP complex with the best TEF14 and PRF1 density at an overall resolution of 3.2 Å. The map with the best densities of the PSII core, TEF14/PRF1 and PRF2 region yielded an </w:t>
      </w:r>
      <w:r w:rsidRPr="00654648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654648">
        <w:rPr>
          <w:rFonts w:ascii="Times New Roman" w:hAnsi="Times New Roman" w:cs="Times New Roman"/>
          <w:sz w:val="24"/>
          <w:szCs w:val="24"/>
          <w:vertAlign w:val="subscript"/>
        </w:rPr>
        <w:t>od</w:t>
      </w:r>
      <w:r w:rsidRPr="00654648">
        <w:rPr>
          <w:rFonts w:ascii="Times New Roman" w:hAnsi="Times New Roman" w:cs="Times New Roman"/>
          <w:sz w:val="24"/>
          <w:szCs w:val="24"/>
        </w:rPr>
        <w:t xml:space="preserve"> value of 0.8, 0.8 and 0.79, respectively. The high </w:t>
      </w:r>
      <w:r w:rsidRPr="00654648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654648">
        <w:rPr>
          <w:rFonts w:ascii="Times New Roman" w:hAnsi="Times New Roman" w:cs="Times New Roman"/>
          <w:sz w:val="24"/>
          <w:szCs w:val="24"/>
          <w:vertAlign w:val="subscript"/>
        </w:rPr>
        <w:t>od</w:t>
      </w:r>
      <w:r w:rsidRPr="00654648">
        <w:rPr>
          <w:rFonts w:ascii="Times New Roman" w:hAnsi="Times New Roman" w:cs="Times New Roman"/>
          <w:sz w:val="24"/>
          <w:szCs w:val="24"/>
        </w:rPr>
        <w:t xml:space="preserve"> values indicate that the orientational distributions of the three datasets are all in a reasonable range.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 w:rsidRPr="00654648">
        <w:rPr>
          <w:rFonts w:ascii="Times New Roman" w:hAnsi="Times New Roman" w:cs="Times New Roman"/>
          <w:sz w:val="24"/>
          <w:szCs w:val="24"/>
        </w:rPr>
        <w:t xml:space="preserve">and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>f,</w:t>
      </w:r>
      <w:r w:rsidRPr="00654648">
        <w:rPr>
          <w:rFonts w:ascii="Times New Roman" w:hAnsi="Times New Roman" w:cs="Times New Roman"/>
          <w:sz w:val="24"/>
          <w:szCs w:val="24"/>
        </w:rPr>
        <w:t xml:space="preserve"> Local resolution estimations of the TEF14, PRF1, PRF2 and PSII core part of the final composite map. The carboxy-terminal region of PRF1 is circled by the black line in (e). </w:t>
      </w:r>
    </w:p>
    <w:p w14:paraId="603AC32A" w14:textId="77777777" w:rsidR="00625993" w:rsidRDefault="00625993" w:rsidP="00625993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95E0A68" w14:textId="77777777" w:rsidR="00625993" w:rsidRDefault="00625993" w:rsidP="00625993">
      <w:pPr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0565417" wp14:editId="6AE4E001">
            <wp:extent cx="5274310" cy="3740150"/>
            <wp:effectExtent l="0" t="0" r="2540" b="0"/>
            <wp:docPr id="203336914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>Extended Data Fig. 2: The structural and biochemical evidences suggesting the D1 subunit in the PSII-TPP complex is at a damaged state. a,</w:t>
      </w:r>
      <w:r w:rsidRPr="00654648">
        <w:rPr>
          <w:rFonts w:ascii="Times New Roman" w:hAnsi="Times New Roman" w:cs="Times New Roman"/>
          <w:sz w:val="24"/>
          <w:szCs w:val="24"/>
        </w:rPr>
        <w:t xml:space="preserve"> The cryo-EM density of the local region around the empty Mn-cluster binding site in the PSII-TPP complex. The atomic model of the Mn-cluster (gray and red crosses) is docked into its binding site by fitting the model of a PSII-LHCII supercomplex (PDB ID: 6KAC) into the PSII-TPP density map.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>b,</w:t>
      </w:r>
      <w:r w:rsidRPr="00654648">
        <w:rPr>
          <w:rFonts w:ascii="Times New Roman" w:hAnsi="Times New Roman" w:cs="Times New Roman"/>
          <w:sz w:val="24"/>
          <w:szCs w:val="24"/>
        </w:rPr>
        <w:t xml:space="preserve"> The cryo-EM densities at the local regions around Arg255 and Tyr246 residues of the D1 subunit in the PSII-TPP complex. The α-carboxyl group of Arg225 and the α-amino group of Tyr246 were indicated respectively as red and blue arrows. Evidently, the cryo-EM density for the loop connecting the two residues is either very weak or absent.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 c and d, </w:t>
      </w:r>
      <w:r w:rsidRPr="00654648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654648">
        <w:rPr>
          <w:rFonts w:ascii="Times New Roman" w:hAnsi="Times New Roman" w:cs="Times New Roman"/>
          <w:sz w:val="24"/>
          <w:szCs w:val="24"/>
        </w:rPr>
        <w:t xml:space="preserve">western blot analysis of the PSII-M or PSII-TPP samples prepared from the WT and </w:t>
      </w:r>
      <w:r w:rsidRPr="00654648">
        <w:rPr>
          <w:rFonts w:ascii="Times New Roman" w:hAnsi="Times New Roman" w:cs="Times New Roman"/>
          <w:i/>
          <w:iCs/>
          <w:sz w:val="24"/>
          <w:szCs w:val="24"/>
        </w:rPr>
        <w:t>pph1;pbcp</w:t>
      </w:r>
      <w:r w:rsidRPr="00654648">
        <w:rPr>
          <w:rFonts w:ascii="Times New Roman" w:hAnsi="Times New Roman" w:cs="Times New Roman"/>
          <w:sz w:val="24"/>
          <w:szCs w:val="24"/>
        </w:rPr>
        <w:t xml:space="preserve"> strains acclimated under low light (LL) and high light (HL) conditions. The antibodies against the carboxy-terminal (c) and amino-terminal fragment (d) of D1 were used to detect potential degradation products of the D1 proteins. The bands corresponding to the D1 amino/carboxy-</w:t>
      </w:r>
      <w:r w:rsidRPr="00654648">
        <w:rPr>
          <w:rFonts w:ascii="Times New Roman" w:hAnsi="Times New Roman" w:cs="Times New Roman"/>
          <w:sz w:val="24"/>
          <w:szCs w:val="24"/>
        </w:rPr>
        <w:lastRenderedPageBreak/>
        <w:t xml:space="preserve">terminal fragments were indicated by red arrows. Note that the apparent molecular weight detected for the amino-terminal fragment of D1 in d appears lower than expected (~25 kDa as estimated in f). The highly hydrophobic nature of the amino-terminal fragment of the D1 apoprotein might make the protein resistant to the denaturing effect of SDS so that it could migrate on the gel in a partially unfolded state and faster than expected during SDS-PAGE. It is also the case for the full length D1 apoprotein which also migrates faster than expected on SDS-PAGE gel. </w:t>
      </w:r>
      <w:r w:rsidRPr="00654648">
        <w:rPr>
          <w:rFonts w:ascii="Times New Roman" w:hAnsi="Times New Roman" w:cs="Times New Roman"/>
          <w:b/>
          <w:sz w:val="24"/>
          <w:szCs w:val="24"/>
        </w:rPr>
        <w:t>e</w:t>
      </w:r>
      <w:r w:rsidRPr="00654648">
        <w:rPr>
          <w:rFonts w:ascii="Times New Roman" w:hAnsi="Times New Roman" w:cs="Times New Roman"/>
          <w:sz w:val="24"/>
          <w:szCs w:val="24"/>
        </w:rPr>
        <w:t>, The western blot of the SDS-PAGE gel probed with the antibody against CP47 as the loading control for the different PSII-M or PSII-TPP complex samples. LL and HL refer to the conditions with light intensities of 20 and 330 μmol·</w:t>
      </w:r>
      <w:r>
        <w:rPr>
          <w:rFonts w:ascii="Times New Roman" w:hAnsi="Times New Roman" w:cs="Times New Roman"/>
          <w:sz w:val="24"/>
          <w:szCs w:val="24"/>
        </w:rPr>
        <w:t xml:space="preserve">photons </w:t>
      </w:r>
      <w:r w:rsidRPr="00654648">
        <w:rPr>
          <w:rFonts w:ascii="Times New Roman" w:hAnsi="Times New Roman" w:cs="Times New Roman"/>
          <w:sz w:val="24"/>
          <w:szCs w:val="24"/>
        </w:rPr>
        <w:t>m</w:t>
      </w:r>
      <w:r w:rsidRPr="0065464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54648">
        <w:rPr>
          <w:rFonts w:ascii="Times New Roman" w:hAnsi="Times New Roman" w:cs="Times New Roman"/>
          <w:sz w:val="24"/>
          <w:szCs w:val="24"/>
        </w:rPr>
        <w:t>·s</w:t>
      </w:r>
      <w:r w:rsidRPr="00654648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654648">
        <w:rPr>
          <w:rFonts w:ascii="Times New Roman" w:hAnsi="Times New Roman" w:cs="Times New Roman"/>
          <w:sz w:val="24"/>
          <w:szCs w:val="24"/>
        </w:rPr>
        <w:t xml:space="preserve">, respectively.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>f,</w:t>
      </w:r>
      <w:r w:rsidRPr="00654648">
        <w:rPr>
          <w:rFonts w:ascii="Times New Roman" w:hAnsi="Times New Roman" w:cs="Times New Roman"/>
          <w:sz w:val="24"/>
          <w:szCs w:val="24"/>
        </w:rPr>
        <w:t xml:space="preserve"> A topological diagram of the D1 apoprotein. The putative proteolytic degradation site at the DE loop is marked by a red arrow. After proteolytic cleavage at the site, the large fragment in yellow corresponds to a 24.7-kDa amino-terminal fragment and the smaller one in cyan is a 11.1-kDa carboxy-terminal fragment. The local region of the DE loop with unobserved cryo-EM density is shown as gray. </w:t>
      </w:r>
    </w:p>
    <w:p w14:paraId="37C2240E" w14:textId="77777777" w:rsidR="00625993" w:rsidRDefault="00625993" w:rsidP="00625993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DEDF29F" w14:textId="77777777" w:rsidR="00625993" w:rsidRPr="00654648" w:rsidRDefault="00625993" w:rsidP="00625993">
      <w:pPr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37045966"/>
      <w:r>
        <w:rPr>
          <w:noProof/>
        </w:rPr>
        <w:lastRenderedPageBreak/>
        <w:drawing>
          <wp:inline distT="0" distB="0" distL="0" distR="0" wp14:anchorId="6972648C" wp14:editId="64883522">
            <wp:extent cx="5274310" cy="3264535"/>
            <wp:effectExtent l="0" t="0" r="2540" b="0"/>
            <wp:docPr id="75177967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186D2" w14:textId="77777777" w:rsidR="00625993" w:rsidRPr="00654648" w:rsidRDefault="00625993" w:rsidP="00625993">
      <w:pPr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654648">
        <w:rPr>
          <w:rFonts w:ascii="Times New Roman" w:hAnsi="Times New Roman" w:cs="Times New Roman"/>
          <w:b/>
          <w:bCs/>
          <w:sz w:val="24"/>
          <w:szCs w:val="24"/>
        </w:rPr>
        <w:t>Extended Data Fig. 3: Interactions between TEF14 and CP47. a,</w:t>
      </w:r>
      <w:r w:rsidRPr="00654648">
        <w:rPr>
          <w:rFonts w:ascii="Times New Roman" w:hAnsi="Times New Roman" w:cs="Times New Roman"/>
          <w:sz w:val="24"/>
          <w:szCs w:val="24"/>
        </w:rPr>
        <w:t xml:space="preserve"> The binding site of TEF14 at the lumenal surface of CP47. E55, N67 and E86 from the amino-terminal region of TEF14 are shown as spheres.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b, d </w:t>
      </w:r>
      <w:r w:rsidRPr="00654648">
        <w:rPr>
          <w:rFonts w:ascii="Times New Roman" w:hAnsi="Times New Roman" w:cs="Times New Roman"/>
          <w:sz w:val="24"/>
          <w:szCs w:val="24"/>
        </w:rPr>
        <w:t xml:space="preserve">and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>e,</w:t>
      </w:r>
      <w:r w:rsidRPr="00654648">
        <w:rPr>
          <w:rFonts w:ascii="Times New Roman" w:hAnsi="Times New Roman" w:cs="Times New Roman"/>
          <w:sz w:val="24"/>
          <w:szCs w:val="24"/>
        </w:rPr>
        <w:t xml:space="preserve"> The detailed interactions between three local regions at the amino-terminal helix of TEF14 and their nearby amino acid residues from CP47.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c </w:t>
      </w:r>
      <w:r w:rsidRPr="00654648">
        <w:rPr>
          <w:rFonts w:ascii="Times New Roman" w:hAnsi="Times New Roman" w:cs="Times New Roman"/>
          <w:sz w:val="24"/>
          <w:szCs w:val="24"/>
        </w:rPr>
        <w:t xml:space="preserve">and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f, </w:t>
      </w:r>
      <w:r w:rsidRPr="00654648">
        <w:rPr>
          <w:rFonts w:ascii="Times New Roman" w:hAnsi="Times New Roman" w:cs="Times New Roman"/>
          <w:bCs/>
          <w:sz w:val="24"/>
          <w:szCs w:val="24"/>
        </w:rPr>
        <w:t xml:space="preserve">Sequence alignment of </w:t>
      </w:r>
      <w:r w:rsidRPr="00654648">
        <w:rPr>
          <w:rFonts w:ascii="Times New Roman" w:hAnsi="Times New Roman" w:cs="Times New Roman"/>
          <w:bCs/>
          <w:i/>
          <w:sz w:val="24"/>
          <w:szCs w:val="24"/>
        </w:rPr>
        <w:t>Cr</w:t>
      </w:r>
      <w:r w:rsidRPr="00654648">
        <w:rPr>
          <w:rFonts w:ascii="Times New Roman" w:hAnsi="Times New Roman" w:cs="Times New Roman"/>
          <w:bCs/>
          <w:sz w:val="24"/>
          <w:szCs w:val="24"/>
        </w:rPr>
        <w:t xml:space="preserve">TEF14 with </w:t>
      </w:r>
      <w:r w:rsidRPr="00654648">
        <w:rPr>
          <w:rFonts w:ascii="Times New Roman" w:hAnsi="Times New Roman" w:cs="Times New Roman"/>
          <w:sz w:val="24"/>
          <w:szCs w:val="24"/>
        </w:rPr>
        <w:t xml:space="preserve">various MPH2 homologs from higher plants showing the conserved CP47-binding residues (framed by green and blue rectangles corresponding to those shown in d and g respectively). </w:t>
      </w:r>
      <w:r w:rsidRPr="00654648">
        <w:rPr>
          <w:rFonts w:ascii="Times New Roman" w:hAnsi="Times New Roman" w:cs="Times New Roman"/>
          <w:i/>
          <w:iCs/>
          <w:sz w:val="24"/>
          <w:szCs w:val="24"/>
        </w:rPr>
        <w:t>A. t.</w:t>
      </w:r>
      <w:r w:rsidRPr="00654648">
        <w:rPr>
          <w:rFonts w:ascii="Times New Roman" w:hAnsi="Times New Roman" w:cs="Times New Roman"/>
          <w:sz w:val="24"/>
          <w:szCs w:val="24"/>
        </w:rPr>
        <w:t xml:space="preserve">, </w:t>
      </w:r>
      <w:r w:rsidRPr="00654648">
        <w:rPr>
          <w:rFonts w:ascii="Times New Roman" w:hAnsi="Times New Roman" w:cs="Times New Roman"/>
          <w:i/>
          <w:iCs/>
          <w:sz w:val="24"/>
          <w:szCs w:val="24"/>
        </w:rPr>
        <w:t>S. o.</w:t>
      </w:r>
      <w:r w:rsidRPr="00654648">
        <w:rPr>
          <w:rFonts w:ascii="Times New Roman" w:hAnsi="Times New Roman" w:cs="Times New Roman"/>
          <w:sz w:val="24"/>
          <w:szCs w:val="24"/>
        </w:rPr>
        <w:t xml:space="preserve">, </w:t>
      </w:r>
      <w:r w:rsidRPr="00654648">
        <w:rPr>
          <w:rFonts w:ascii="Times New Roman" w:hAnsi="Times New Roman" w:cs="Times New Roman"/>
          <w:i/>
          <w:sz w:val="24"/>
          <w:szCs w:val="24"/>
        </w:rPr>
        <w:t>O. s.</w:t>
      </w:r>
      <w:r w:rsidRPr="00654648">
        <w:rPr>
          <w:rFonts w:ascii="Times New Roman" w:hAnsi="Times New Roman" w:cs="Times New Roman"/>
          <w:sz w:val="24"/>
          <w:szCs w:val="24"/>
        </w:rPr>
        <w:t xml:space="preserve">, </w:t>
      </w:r>
      <w:r w:rsidRPr="00654648">
        <w:rPr>
          <w:rFonts w:ascii="Times New Roman" w:hAnsi="Times New Roman" w:cs="Times New Roman"/>
          <w:i/>
          <w:iCs/>
          <w:sz w:val="24"/>
          <w:szCs w:val="24"/>
        </w:rPr>
        <w:t>Z. m.</w:t>
      </w:r>
      <w:r w:rsidRPr="00654648">
        <w:rPr>
          <w:rFonts w:ascii="Times New Roman" w:hAnsi="Times New Roman" w:cs="Times New Roman"/>
          <w:sz w:val="24"/>
          <w:szCs w:val="24"/>
        </w:rPr>
        <w:t xml:space="preserve"> and </w:t>
      </w:r>
      <w:r w:rsidRPr="00654648">
        <w:rPr>
          <w:rFonts w:ascii="Times New Roman" w:hAnsi="Times New Roman" w:cs="Times New Roman"/>
          <w:i/>
          <w:iCs/>
          <w:sz w:val="24"/>
          <w:szCs w:val="24"/>
        </w:rPr>
        <w:t>G. m.</w:t>
      </w:r>
      <w:r w:rsidRPr="00654648">
        <w:rPr>
          <w:rFonts w:ascii="Times New Roman" w:hAnsi="Times New Roman" w:cs="Times New Roman"/>
          <w:sz w:val="24"/>
          <w:szCs w:val="24"/>
        </w:rPr>
        <w:t xml:space="preserve"> stand for </w:t>
      </w:r>
      <w:r w:rsidRPr="00654648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654648">
        <w:rPr>
          <w:rFonts w:ascii="Times New Roman" w:hAnsi="Times New Roman" w:cs="Times New Roman"/>
          <w:sz w:val="24"/>
          <w:szCs w:val="24"/>
        </w:rPr>
        <w:t xml:space="preserve">, </w:t>
      </w:r>
      <w:r w:rsidRPr="00654648">
        <w:rPr>
          <w:rFonts w:ascii="Times New Roman" w:hAnsi="Times New Roman" w:cs="Times New Roman"/>
          <w:i/>
          <w:iCs/>
          <w:sz w:val="24"/>
          <w:szCs w:val="24"/>
        </w:rPr>
        <w:t>Spinacia oleracea</w:t>
      </w:r>
      <w:r w:rsidRPr="00654648">
        <w:rPr>
          <w:rFonts w:ascii="Times New Roman" w:hAnsi="Times New Roman" w:cs="Times New Roman"/>
          <w:sz w:val="24"/>
          <w:szCs w:val="24"/>
        </w:rPr>
        <w:t xml:space="preserve">, </w:t>
      </w:r>
      <w:r w:rsidRPr="00654648">
        <w:rPr>
          <w:rFonts w:ascii="Times New Roman" w:hAnsi="Times New Roman" w:cs="Times New Roman"/>
          <w:i/>
          <w:iCs/>
          <w:sz w:val="24"/>
          <w:szCs w:val="24"/>
        </w:rPr>
        <w:t>Oryza sativa</w:t>
      </w:r>
      <w:r w:rsidRPr="00654648">
        <w:rPr>
          <w:rFonts w:ascii="Times New Roman" w:hAnsi="Times New Roman" w:cs="Times New Roman"/>
          <w:sz w:val="24"/>
          <w:szCs w:val="24"/>
        </w:rPr>
        <w:t xml:space="preserve">, </w:t>
      </w:r>
      <w:r w:rsidRPr="00654648">
        <w:rPr>
          <w:rFonts w:ascii="Times New Roman" w:hAnsi="Times New Roman" w:cs="Times New Roman"/>
          <w:i/>
          <w:iCs/>
          <w:sz w:val="24"/>
          <w:szCs w:val="24"/>
        </w:rPr>
        <w:t>Zea mays</w:t>
      </w:r>
      <w:r w:rsidRPr="00654648">
        <w:rPr>
          <w:rFonts w:ascii="Times New Roman" w:hAnsi="Times New Roman" w:cs="Times New Roman"/>
          <w:sz w:val="24"/>
          <w:szCs w:val="24"/>
        </w:rPr>
        <w:t xml:space="preserve"> and </w:t>
      </w:r>
      <w:r w:rsidRPr="00654648">
        <w:rPr>
          <w:rFonts w:ascii="Times New Roman" w:hAnsi="Times New Roman" w:cs="Times New Roman"/>
          <w:i/>
          <w:iCs/>
          <w:sz w:val="24"/>
          <w:szCs w:val="24"/>
        </w:rPr>
        <w:t>Glycine max</w:t>
      </w:r>
      <w:r w:rsidRPr="00654648">
        <w:rPr>
          <w:rFonts w:ascii="Times New Roman" w:hAnsi="Times New Roman" w:cs="Times New Roman"/>
          <w:sz w:val="24"/>
          <w:szCs w:val="24"/>
        </w:rPr>
        <w:t>, respectively.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46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1DDD96" w14:textId="77777777" w:rsidR="00625993" w:rsidRDefault="00625993" w:rsidP="00625993">
      <w:pPr>
        <w:widowControl/>
        <w:snapToGrid w:val="0"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4CA9F49" w14:textId="77777777" w:rsidR="00625993" w:rsidRPr="00654648" w:rsidRDefault="00625993" w:rsidP="00625993">
      <w:pPr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137081437"/>
      <w:bookmarkStart w:id="3" w:name="_Hlk137080160"/>
      <w:bookmarkEnd w:id="1"/>
      <w:r>
        <w:rPr>
          <w:noProof/>
        </w:rPr>
        <w:lastRenderedPageBreak/>
        <w:drawing>
          <wp:inline distT="0" distB="0" distL="0" distR="0" wp14:anchorId="586B573B" wp14:editId="28FE5245">
            <wp:extent cx="5274310" cy="4845685"/>
            <wp:effectExtent l="0" t="0" r="2540" b="0"/>
            <wp:docPr id="115546549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4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D5430" w14:textId="77777777" w:rsidR="00625993" w:rsidRPr="00EF55A3" w:rsidRDefault="00625993" w:rsidP="00625993">
      <w:pPr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4: Interactions between PRF1 and PSII-M/TEF14. a </w:t>
      </w:r>
      <w:r w:rsidRPr="00654648">
        <w:rPr>
          <w:rFonts w:ascii="Times New Roman" w:hAnsi="Times New Roman" w:cs="Times New Roman"/>
          <w:sz w:val="24"/>
          <w:szCs w:val="24"/>
        </w:rPr>
        <w:t>and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 b, </w:t>
      </w:r>
      <w:r w:rsidRPr="00654648">
        <w:rPr>
          <w:rFonts w:ascii="Times New Roman" w:hAnsi="Times New Roman" w:cs="Times New Roman"/>
          <w:sz w:val="24"/>
          <w:szCs w:val="24"/>
        </w:rPr>
        <w:t xml:space="preserve">The amino-terminal hairpin structure of PRF1 forms extensive interactions with amino acid residues from D1, D2, CP47 and PsbL.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>c,</w:t>
      </w:r>
      <w:r w:rsidRPr="00654648">
        <w:rPr>
          <w:rFonts w:ascii="Times New Roman" w:hAnsi="Times New Roman" w:cs="Times New Roman"/>
          <w:sz w:val="24"/>
          <w:szCs w:val="24"/>
        </w:rPr>
        <w:t xml:space="preserve"> The loop connecting the hairpin motif and the transmembrane helix of PRF1 at the amino-terminal region is embedded in a stromal surface groove of CP47.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 xml:space="preserve">d, </w:t>
      </w:r>
      <w:r w:rsidRPr="00654648">
        <w:rPr>
          <w:rFonts w:ascii="Times New Roman" w:hAnsi="Times New Roman" w:cs="Times New Roman"/>
          <w:sz w:val="24"/>
          <w:szCs w:val="24"/>
        </w:rPr>
        <w:t xml:space="preserve">Two consecutive tyrosine residues from PRF1 are sandwiched between D2 and PsbH.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>e,</w:t>
      </w:r>
      <w:r w:rsidRPr="00654648">
        <w:rPr>
          <w:rFonts w:ascii="Times New Roman" w:hAnsi="Times New Roman" w:cs="Times New Roman"/>
          <w:sz w:val="24"/>
          <w:szCs w:val="24"/>
        </w:rPr>
        <w:t xml:space="preserve"> The interactions between the carboxy-terminal helix of PRF1 and the five-helical-bundle domain of TEF14. The cartoon model is superposed on the Cryo-EM density map (transparent). </w:t>
      </w:r>
      <w:r w:rsidRPr="00654648">
        <w:rPr>
          <w:rFonts w:ascii="Times New Roman" w:hAnsi="Times New Roman" w:cs="Times New Roman"/>
          <w:b/>
          <w:bCs/>
          <w:sz w:val="24"/>
          <w:szCs w:val="24"/>
        </w:rPr>
        <w:t>f,</w:t>
      </w:r>
      <w:r w:rsidRPr="00654648">
        <w:rPr>
          <w:rFonts w:ascii="Times New Roman" w:hAnsi="Times New Roman" w:cs="Times New Roman"/>
          <w:sz w:val="24"/>
          <w:szCs w:val="24"/>
        </w:rPr>
        <w:t xml:space="preserve"> The isothermal titration calorimetry (ITC) analysis on the kinetics of interactions between TEF14 and the carboxy-terminal region of PRF1.</w:t>
      </w:r>
      <w:r w:rsidRPr="00EF55A3">
        <w:rPr>
          <w:rFonts w:ascii="Times New Roman" w:hAnsi="Times New Roman" w:cs="Times New Roman"/>
          <w:sz w:val="24"/>
          <w:szCs w:val="24"/>
        </w:rPr>
        <w:t xml:space="preserve"> The result is fit with the single-site-binding isotherm model with ΔH = -13.1 ± 0.2 kcal/mol and K</w:t>
      </w:r>
      <w:r w:rsidRPr="00EF55A3">
        <w:rPr>
          <w:rFonts w:ascii="Times New Roman" w:hAnsi="Times New Roman" w:cs="Times New Roman"/>
          <w:sz w:val="24"/>
          <w:szCs w:val="24"/>
          <w:vertAlign w:val="subscript"/>
        </w:rPr>
        <w:t xml:space="preserve">D </w:t>
      </w:r>
      <w:r w:rsidRPr="00EF55A3">
        <w:rPr>
          <w:rFonts w:ascii="Times New Roman" w:hAnsi="Times New Roman" w:cs="Times New Roman"/>
          <w:sz w:val="24"/>
          <w:szCs w:val="24"/>
        </w:rPr>
        <w:t>= 215.0 ± 34.2 μM.</w:t>
      </w:r>
    </w:p>
    <w:bookmarkEnd w:id="2"/>
    <w:p w14:paraId="6DA396C4" w14:textId="77777777" w:rsidR="00625993" w:rsidRPr="00EF55A3" w:rsidRDefault="00625993" w:rsidP="00625993">
      <w:pPr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p w14:paraId="37DBDB9C" w14:textId="77777777" w:rsidR="00625993" w:rsidRPr="00EF55A3" w:rsidRDefault="00625993" w:rsidP="00625993">
      <w:pPr>
        <w:widowControl/>
        <w:snapToGrid w:val="0"/>
        <w:spacing w:beforeLines="50" w:before="156" w:afterLines="50" w:after="156"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F55A3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884B3A3" w14:textId="77777777" w:rsidR="00625993" w:rsidRPr="00EF55A3" w:rsidRDefault="00625993" w:rsidP="00625993">
      <w:pPr>
        <w:widowControl/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Hlk137080269"/>
      <w:r w:rsidRPr="00EF55A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FA6E0C1" wp14:editId="00093518">
            <wp:extent cx="5274310" cy="5266690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6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C1E06" w14:textId="77777777" w:rsidR="00625993" w:rsidRPr="00EF55A3" w:rsidRDefault="00625993" w:rsidP="00625993">
      <w:pPr>
        <w:widowControl/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EF55A3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5: The binding site of PRF1 in the PSII-TPP complex overlaps largely with that of CP29 in the PSII-SC complex. a, </w:t>
      </w:r>
      <w:r w:rsidRPr="00EF55A3">
        <w:rPr>
          <w:rFonts w:ascii="Times New Roman" w:hAnsi="Times New Roman" w:cs="Times New Roman"/>
          <w:sz w:val="24"/>
          <w:szCs w:val="24"/>
        </w:rPr>
        <w:t xml:space="preserve">Superposition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EF55A3">
        <w:rPr>
          <w:rFonts w:ascii="Times New Roman" w:hAnsi="Times New Roman" w:cs="Times New Roman"/>
          <w:sz w:val="24"/>
          <w:szCs w:val="24"/>
        </w:rPr>
        <w:t>the PSII-TPP complex (blue, red and magenta) with the low light adapted PSII-SC complex (yellow). The chlorophyll molecules from CP29 which overlap with PRF1 are shown as spheres. The eye symbol represents the viewing angle of (b).</w:t>
      </w:r>
      <w:r w:rsidRPr="00EF55A3">
        <w:rPr>
          <w:rFonts w:ascii="Times New Roman" w:hAnsi="Times New Roman" w:cs="Times New Roman"/>
          <w:b/>
          <w:bCs/>
          <w:sz w:val="24"/>
          <w:szCs w:val="24"/>
        </w:rPr>
        <w:t xml:space="preserve"> b, </w:t>
      </w:r>
      <w:r w:rsidRPr="004C138A">
        <w:rPr>
          <w:rFonts w:ascii="Times New Roman" w:hAnsi="Times New Roman" w:cs="Times New Roman"/>
          <w:sz w:val="24"/>
          <w:szCs w:val="24"/>
        </w:rPr>
        <w:t>A</w:t>
      </w:r>
      <w:r w:rsidRPr="00EF55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F55A3">
        <w:rPr>
          <w:rFonts w:ascii="Times New Roman" w:hAnsi="Times New Roman" w:cs="Times New Roman"/>
          <w:sz w:val="24"/>
          <w:szCs w:val="24"/>
        </w:rPr>
        <w:t>zoom-in view of the local membrane-embedded region showing the overlapping parts of PRF1 and CP29.</w:t>
      </w:r>
      <w:r w:rsidRPr="00EF55A3">
        <w:rPr>
          <w:rFonts w:ascii="Times New Roman" w:hAnsi="Times New Roman" w:cs="Times New Roman"/>
          <w:b/>
          <w:bCs/>
          <w:sz w:val="24"/>
          <w:szCs w:val="24"/>
        </w:rPr>
        <w:t xml:space="preserve"> c, </w:t>
      </w:r>
      <w:r w:rsidRPr="00EF55A3">
        <w:rPr>
          <w:rFonts w:ascii="Times New Roman" w:hAnsi="Times New Roman" w:cs="Times New Roman"/>
          <w:sz w:val="24"/>
          <w:szCs w:val="24"/>
        </w:rPr>
        <w:t xml:space="preserve">SDS-PAGE analysis confirms that the enriched SDG band marked by the light </w:t>
      </w:r>
      <w:r>
        <w:rPr>
          <w:rFonts w:ascii="Times New Roman" w:hAnsi="Times New Roman" w:cs="Times New Roman"/>
          <w:sz w:val="24"/>
          <w:szCs w:val="24"/>
        </w:rPr>
        <w:t>purple</w:t>
      </w:r>
      <w:r w:rsidRPr="00EF55A3">
        <w:rPr>
          <w:rFonts w:ascii="Times New Roman" w:hAnsi="Times New Roman" w:cs="Times New Roman"/>
          <w:sz w:val="24"/>
          <w:szCs w:val="24"/>
        </w:rPr>
        <w:t xml:space="preserve"> arrow in Fig. 4c prepared from the </w:t>
      </w:r>
      <w:r w:rsidRPr="00EF55A3">
        <w:rPr>
          <w:rFonts w:ascii="Times New Roman" w:hAnsi="Times New Roman" w:cs="Times New Roman"/>
          <w:i/>
          <w:iCs/>
          <w:sz w:val="24"/>
          <w:szCs w:val="24"/>
        </w:rPr>
        <w:t>prf1</w:t>
      </w:r>
      <w:r w:rsidRPr="00EF55A3">
        <w:rPr>
          <w:rFonts w:ascii="Times New Roman" w:hAnsi="Times New Roman" w:cs="Times New Roman"/>
          <w:sz w:val="24"/>
          <w:szCs w:val="24"/>
        </w:rPr>
        <w:t xml:space="preserve"> mutant cells is composed of PSII-SC complex, whose </w:t>
      </w:r>
      <w:r w:rsidRPr="00EF55A3">
        <w:rPr>
          <w:rFonts w:ascii="Times New Roman" w:hAnsi="Times New Roman" w:cs="Times New Roman"/>
          <w:sz w:val="24"/>
          <w:szCs w:val="24"/>
        </w:rPr>
        <w:lastRenderedPageBreak/>
        <w:t xml:space="preserve">components are highly similar to those from the corresponding fraction prepared from the WT cells. </w:t>
      </w:r>
    </w:p>
    <w:bookmarkEnd w:id="4"/>
    <w:p w14:paraId="2E48B3A8" w14:textId="77777777" w:rsidR="00625993" w:rsidRPr="00EF55A3" w:rsidRDefault="00625993" w:rsidP="00625993">
      <w:pPr>
        <w:widowControl/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2107F4" w14:textId="77777777" w:rsidR="00625993" w:rsidRPr="00EF55A3" w:rsidRDefault="00625993" w:rsidP="00625993">
      <w:pPr>
        <w:widowControl/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3ADFE7" w14:textId="77777777" w:rsidR="00625993" w:rsidRPr="00EF55A3" w:rsidRDefault="00625993" w:rsidP="00625993">
      <w:pPr>
        <w:widowControl/>
        <w:snapToGrid w:val="0"/>
        <w:spacing w:beforeLines="50" w:before="156" w:afterLines="50" w:after="156"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F55A3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bookmarkEnd w:id="3"/>
    <w:p w14:paraId="69AC6699" w14:textId="77777777" w:rsidR="00625993" w:rsidRPr="00EF55A3" w:rsidRDefault="00625993" w:rsidP="00625993">
      <w:pPr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F55A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46792F" wp14:editId="36A40B5E">
            <wp:extent cx="5274310" cy="5130165"/>
            <wp:effectExtent l="0" t="0" r="2540" b="0"/>
            <wp:docPr id="1222598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3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E8F8F1" w14:textId="77777777" w:rsidR="00625993" w:rsidRPr="00EF55A3" w:rsidRDefault="00625993" w:rsidP="00625993">
      <w:pPr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 w:rsidRPr="00EF55A3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6: Interactions between PRF2 and PSII-M. a </w:t>
      </w:r>
      <w:r w:rsidRPr="00EF55A3">
        <w:rPr>
          <w:rFonts w:ascii="Times New Roman" w:hAnsi="Times New Roman" w:cs="Times New Roman"/>
          <w:sz w:val="24"/>
          <w:szCs w:val="24"/>
        </w:rPr>
        <w:t>and</w:t>
      </w:r>
      <w:r w:rsidRPr="00EF55A3">
        <w:rPr>
          <w:rFonts w:ascii="Times New Roman" w:hAnsi="Times New Roman" w:cs="Times New Roman"/>
          <w:b/>
          <w:bCs/>
          <w:sz w:val="24"/>
          <w:szCs w:val="24"/>
        </w:rPr>
        <w:t xml:space="preserve"> b, </w:t>
      </w:r>
      <w:r w:rsidRPr="00EF55A3">
        <w:rPr>
          <w:rFonts w:ascii="Times New Roman" w:hAnsi="Times New Roman" w:cs="Times New Roman"/>
          <w:sz w:val="24"/>
          <w:szCs w:val="24"/>
        </w:rPr>
        <w:t xml:space="preserve">The transmembrane helix of PRF2 forms multiple van der Waals interactions with PsbE/F. </w:t>
      </w:r>
      <w:r w:rsidRPr="00EF55A3">
        <w:rPr>
          <w:rFonts w:ascii="Times New Roman" w:hAnsi="Times New Roman" w:cs="Times New Roman"/>
          <w:b/>
          <w:bCs/>
          <w:sz w:val="24"/>
          <w:szCs w:val="24"/>
        </w:rPr>
        <w:t>c,</w:t>
      </w:r>
      <w:r w:rsidRPr="00EF55A3">
        <w:rPr>
          <w:rFonts w:ascii="Times New Roman" w:hAnsi="Times New Roman" w:cs="Times New Roman"/>
          <w:sz w:val="24"/>
          <w:szCs w:val="24"/>
        </w:rPr>
        <w:t xml:space="preserve"> The carboxy-terminal region of PRF2 extends to the stromal side and is clamped between PsbE-PsbF and D1-D2.</w:t>
      </w:r>
      <w:r w:rsidRPr="00EF55A3">
        <w:rPr>
          <w:rFonts w:ascii="Times New Roman" w:hAnsi="Times New Roman" w:cs="Times New Roman"/>
          <w:b/>
          <w:bCs/>
          <w:sz w:val="24"/>
          <w:szCs w:val="24"/>
        </w:rPr>
        <w:t xml:space="preserve"> d, </w:t>
      </w:r>
      <w:r w:rsidRPr="00EF55A3">
        <w:rPr>
          <w:rFonts w:ascii="Times New Roman" w:hAnsi="Times New Roman" w:cs="Times New Roman"/>
          <w:sz w:val="24"/>
          <w:szCs w:val="24"/>
        </w:rPr>
        <w:t xml:space="preserve">The amino-terminal region of PRF2 interacts with PsbE/F at the lumenal side. </w:t>
      </w:r>
      <w:r w:rsidRPr="00EF55A3">
        <w:rPr>
          <w:rFonts w:ascii="Times New Roman" w:hAnsi="Times New Roman" w:cs="Times New Roman"/>
          <w:b/>
          <w:bCs/>
          <w:sz w:val="24"/>
          <w:szCs w:val="24"/>
        </w:rPr>
        <w:t>e,</w:t>
      </w:r>
      <w:r w:rsidRPr="00EF55A3">
        <w:rPr>
          <w:rFonts w:ascii="Times New Roman" w:hAnsi="Times New Roman" w:cs="Times New Roman"/>
          <w:sz w:val="24"/>
          <w:szCs w:val="24"/>
        </w:rPr>
        <w:t xml:space="preserve"> The local cryo-EM density around the Q</w:t>
      </w:r>
      <w:r w:rsidRPr="00EF55A3">
        <w:rPr>
          <w:rFonts w:ascii="Times New Roman" w:hAnsi="Times New Roman" w:cs="Times New Roman"/>
          <w:sz w:val="24"/>
          <w:szCs w:val="24"/>
          <w:vertAlign w:val="subscript"/>
        </w:rPr>
        <w:t>B</w:t>
      </w:r>
      <w:r w:rsidRPr="00EF55A3">
        <w:rPr>
          <w:rFonts w:ascii="Times New Roman" w:hAnsi="Times New Roman" w:cs="Times New Roman"/>
          <w:sz w:val="24"/>
          <w:szCs w:val="24"/>
        </w:rPr>
        <w:t xml:space="preserve"> site with a putative lipid (PG) molecule. The density is overlaid with the structural models of PG (left), PQ (middle) or α-DDM (right). It is evident that the PG model fits well with the density, whereas those of PQ and α-DDM do not match with the density. </w:t>
      </w:r>
    </w:p>
    <w:p w14:paraId="25A2E49C" w14:textId="77777777" w:rsidR="00625993" w:rsidRPr="00EF55A3" w:rsidRDefault="00625993" w:rsidP="00625993">
      <w:pPr>
        <w:widowControl/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F55A3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528EAD8" w14:textId="77777777" w:rsidR="00625993" w:rsidRPr="00EF55A3" w:rsidRDefault="00625993" w:rsidP="00625993">
      <w:pPr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E54F009" wp14:editId="2B896FC6">
            <wp:extent cx="5274310" cy="2914650"/>
            <wp:effectExtent l="0" t="0" r="2540" b="0"/>
            <wp:docPr id="190279270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C646D2" w14:textId="77777777" w:rsidR="00625993" w:rsidRPr="00EF55A3" w:rsidRDefault="00625993" w:rsidP="00625993">
      <w:pPr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F55A3">
        <w:rPr>
          <w:rFonts w:ascii="Times New Roman" w:hAnsi="Times New Roman" w:cs="Times New Roman"/>
          <w:b/>
          <w:bCs/>
          <w:sz w:val="24"/>
          <w:szCs w:val="24"/>
        </w:rPr>
        <w:t>Extended Data Fig. 7: Sequence alignment 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structural comparison among </w:t>
      </w:r>
      <w:r w:rsidRPr="00EF55A3">
        <w:rPr>
          <w:rFonts w:ascii="Times New Roman" w:hAnsi="Times New Roman" w:cs="Times New Roman"/>
          <w:b/>
          <w:bCs/>
          <w:i/>
          <w:iCs/>
          <w:sz w:val="24"/>
          <w:szCs w:val="24"/>
        </w:rPr>
        <w:t>Cr</w:t>
      </w:r>
      <w:r w:rsidRPr="00EF55A3">
        <w:rPr>
          <w:rFonts w:ascii="Times New Roman" w:hAnsi="Times New Roman" w:cs="Times New Roman"/>
          <w:b/>
          <w:bCs/>
          <w:sz w:val="24"/>
          <w:szCs w:val="24"/>
        </w:rPr>
        <w:t>PRF1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2C51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Te</w:t>
      </w:r>
      <w:r>
        <w:rPr>
          <w:rFonts w:ascii="Times New Roman" w:hAnsi="Times New Roman" w:cs="Times New Roman"/>
          <w:b/>
          <w:bCs/>
          <w:sz w:val="24"/>
          <w:szCs w:val="24"/>
        </w:rPr>
        <w:t>Psb34</w:t>
      </w:r>
      <w:r w:rsidRPr="00EF55A3">
        <w:rPr>
          <w:rFonts w:ascii="Times New Roman" w:hAnsi="Times New Roman" w:cs="Times New Roman"/>
          <w:b/>
          <w:bCs/>
          <w:sz w:val="24"/>
          <w:szCs w:val="24"/>
        </w:rPr>
        <w:t xml:space="preserve"> and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C51DB">
        <w:rPr>
          <w:rFonts w:ascii="Times New Roman" w:hAnsi="Times New Roman" w:cs="Times New Roman"/>
          <w:b/>
          <w:bCs/>
          <w:i/>
          <w:iCs/>
          <w:sz w:val="24"/>
          <w:szCs w:val="24"/>
        </w:rPr>
        <w:t>At</w:t>
      </w:r>
      <w:r>
        <w:rPr>
          <w:rFonts w:ascii="Times New Roman" w:hAnsi="Times New Roman" w:cs="Times New Roman"/>
          <w:b/>
          <w:bCs/>
          <w:sz w:val="24"/>
          <w:szCs w:val="24"/>
        </w:rPr>
        <w:t>MPH1</w:t>
      </w:r>
      <w:r w:rsidRPr="00EF55A3">
        <w:rPr>
          <w:rFonts w:ascii="Times New Roman" w:hAnsi="Times New Roman" w:cs="Times New Roman"/>
          <w:b/>
          <w:bCs/>
          <w:sz w:val="24"/>
          <w:szCs w:val="24"/>
        </w:rPr>
        <w:t xml:space="preserve">. a, </w:t>
      </w:r>
      <w:r w:rsidRPr="00EF55A3">
        <w:rPr>
          <w:rFonts w:ascii="Times New Roman" w:hAnsi="Times New Roman" w:cs="Times New Roman"/>
          <w:sz w:val="24"/>
          <w:szCs w:val="24"/>
        </w:rPr>
        <w:t xml:space="preserve">sequence alignment between </w:t>
      </w:r>
      <w:r w:rsidRPr="00EF55A3">
        <w:rPr>
          <w:rFonts w:ascii="Times New Roman" w:hAnsi="Times New Roman" w:cs="Times New Roman"/>
          <w:i/>
          <w:iCs/>
          <w:sz w:val="24"/>
          <w:szCs w:val="24"/>
        </w:rPr>
        <w:t>Cr</w:t>
      </w:r>
      <w:r w:rsidRPr="00EF55A3">
        <w:rPr>
          <w:rFonts w:ascii="Times New Roman" w:hAnsi="Times New Roman" w:cs="Times New Roman"/>
          <w:sz w:val="24"/>
          <w:szCs w:val="24"/>
        </w:rPr>
        <w:t xml:space="preserve">PRF1 and </w:t>
      </w:r>
      <w:r>
        <w:rPr>
          <w:rFonts w:ascii="Times New Roman" w:hAnsi="Times New Roman" w:cs="Times New Roman"/>
          <w:i/>
          <w:iCs/>
          <w:sz w:val="24"/>
          <w:szCs w:val="24"/>
        </w:rPr>
        <w:t>Te</w:t>
      </w:r>
      <w:r w:rsidRPr="00EF55A3">
        <w:rPr>
          <w:rFonts w:ascii="Times New Roman" w:hAnsi="Times New Roman" w:cs="Times New Roman"/>
          <w:sz w:val="24"/>
          <w:szCs w:val="24"/>
        </w:rPr>
        <w:t xml:space="preserve">Psb34, and between </w:t>
      </w:r>
      <w:r w:rsidRPr="00EF55A3">
        <w:rPr>
          <w:rFonts w:ascii="Times New Roman" w:hAnsi="Times New Roman" w:cs="Times New Roman"/>
          <w:i/>
          <w:sz w:val="24"/>
          <w:szCs w:val="24"/>
        </w:rPr>
        <w:t>Cr</w:t>
      </w:r>
      <w:r w:rsidRPr="00EF55A3">
        <w:rPr>
          <w:rFonts w:ascii="Times New Roman" w:hAnsi="Times New Roman" w:cs="Times New Roman"/>
          <w:sz w:val="24"/>
          <w:szCs w:val="24"/>
        </w:rPr>
        <w:t xml:space="preserve">PRF1 and </w:t>
      </w:r>
      <w:r w:rsidRPr="00EF55A3">
        <w:rPr>
          <w:rFonts w:ascii="Times New Roman" w:hAnsi="Times New Roman" w:cs="Times New Roman"/>
          <w:i/>
          <w:sz w:val="24"/>
          <w:szCs w:val="24"/>
        </w:rPr>
        <w:t>At</w:t>
      </w:r>
      <w:r w:rsidRPr="00EF55A3">
        <w:rPr>
          <w:rFonts w:ascii="Times New Roman" w:hAnsi="Times New Roman" w:cs="Times New Roman"/>
          <w:sz w:val="24"/>
          <w:szCs w:val="24"/>
        </w:rPr>
        <w:t xml:space="preserve">MPH1. A scheme drawing of the secondary structure of </w:t>
      </w:r>
      <w:r w:rsidRPr="00EF55A3">
        <w:rPr>
          <w:rFonts w:ascii="Times New Roman" w:hAnsi="Times New Roman" w:cs="Times New Roman"/>
          <w:i/>
          <w:iCs/>
          <w:sz w:val="24"/>
          <w:szCs w:val="24"/>
        </w:rPr>
        <w:t>Cr</w:t>
      </w:r>
      <w:r w:rsidRPr="00EF55A3">
        <w:rPr>
          <w:rFonts w:ascii="Times New Roman" w:hAnsi="Times New Roman" w:cs="Times New Roman"/>
          <w:sz w:val="24"/>
          <w:szCs w:val="24"/>
        </w:rPr>
        <w:t xml:space="preserve">PRF1 is labeled above the sequence. The amino-terminal regions and the transmembrane helix regions are framed by magenta and blue rectangles, respectively. The identities of the sequence pairs were listed below the alignment results.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F55A3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F55A3">
        <w:rPr>
          <w:rFonts w:ascii="Times New Roman" w:hAnsi="Times New Roman" w:cs="Times New Roman"/>
          <w:sz w:val="24"/>
          <w:szCs w:val="24"/>
        </w:rPr>
        <w:t>The</w:t>
      </w:r>
      <w:r w:rsidRPr="00EF55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F55A3">
        <w:rPr>
          <w:rFonts w:ascii="Times New Roman" w:hAnsi="Times New Roman" w:cs="Times New Roman"/>
          <w:sz w:val="24"/>
          <w:szCs w:val="24"/>
        </w:rPr>
        <w:t xml:space="preserve">structural models of </w:t>
      </w:r>
      <w:r>
        <w:rPr>
          <w:rFonts w:ascii="Times New Roman" w:hAnsi="Times New Roman" w:cs="Times New Roman"/>
          <w:i/>
          <w:iCs/>
          <w:sz w:val="24"/>
          <w:szCs w:val="24"/>
        </w:rPr>
        <w:t>Te</w:t>
      </w:r>
      <w:r w:rsidRPr="00EF55A3">
        <w:rPr>
          <w:rFonts w:ascii="Times New Roman" w:hAnsi="Times New Roman" w:cs="Times New Roman"/>
          <w:sz w:val="24"/>
          <w:szCs w:val="24"/>
        </w:rPr>
        <w:t>Psb34</w:t>
      </w:r>
      <w:r>
        <w:rPr>
          <w:rFonts w:ascii="Times New Roman" w:hAnsi="Times New Roman" w:cs="Times New Roman"/>
          <w:sz w:val="24"/>
          <w:szCs w:val="24"/>
        </w:rPr>
        <w:t xml:space="preserve"> (PDB: 7NHP)</w:t>
      </w:r>
      <w:r w:rsidRPr="00EF55A3">
        <w:rPr>
          <w:rFonts w:ascii="Times New Roman" w:hAnsi="Times New Roman" w:cs="Times New Roman"/>
          <w:sz w:val="24"/>
          <w:szCs w:val="24"/>
        </w:rPr>
        <w:t xml:space="preserve"> and </w:t>
      </w:r>
      <w:r w:rsidRPr="00EF55A3">
        <w:rPr>
          <w:rFonts w:ascii="Times New Roman" w:hAnsi="Times New Roman" w:cs="Times New Roman"/>
          <w:i/>
          <w:iCs/>
          <w:sz w:val="24"/>
          <w:szCs w:val="24"/>
        </w:rPr>
        <w:t>At</w:t>
      </w:r>
      <w:r w:rsidRPr="00EF55A3">
        <w:rPr>
          <w:rFonts w:ascii="Times New Roman" w:hAnsi="Times New Roman" w:cs="Times New Roman"/>
          <w:sz w:val="24"/>
          <w:szCs w:val="24"/>
        </w:rPr>
        <w:t>MPH1 (predicted by AlphaFold2</w: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PEVuZE5vdGU+PENpdGUgRXhjbHVkZVllYXI9IjEiPjxBdXRob3I+SnVtcGVyPC9BdXRob3I+PFll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PEVuZE5vdGU+PENpdGUgRXhjbHVkZVllYXI9IjEiPjxBdXRob3I+SnVtcGVyPC9BdXRob3I+PFll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</w:fldData>
        </w:fldChar>
      </w:r>
      <w:r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A84AC3">
        <w:rPr>
          <w:rFonts w:ascii="Times New Roman" w:hAnsi="Times New Roman" w:cs="Times New Roman"/>
          <w:noProof/>
          <w:sz w:val="24"/>
          <w:szCs w:val="24"/>
          <w:vertAlign w:val="superscript"/>
        </w:rPr>
        <w:t>83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 w:rsidRPr="00EF55A3">
        <w:rPr>
          <w:rFonts w:ascii="Times New Roman" w:hAnsi="Times New Roman" w:cs="Times New Roman"/>
          <w:sz w:val="24"/>
          <w:szCs w:val="24"/>
        </w:rPr>
        <w:t xml:space="preserve">) in comparison with the cryo-EM structure of </w:t>
      </w:r>
      <w:r w:rsidRPr="00EF55A3">
        <w:rPr>
          <w:rFonts w:ascii="Times New Roman" w:hAnsi="Times New Roman" w:cs="Times New Roman"/>
          <w:i/>
          <w:iCs/>
          <w:sz w:val="24"/>
          <w:szCs w:val="24"/>
        </w:rPr>
        <w:t>Cr</w:t>
      </w:r>
      <w:r w:rsidRPr="00EF55A3">
        <w:rPr>
          <w:rFonts w:ascii="Times New Roman" w:hAnsi="Times New Roman" w:cs="Times New Roman"/>
          <w:sz w:val="24"/>
          <w:szCs w:val="24"/>
        </w:rPr>
        <w:t xml:space="preserve">PRF1 (reported in this work). The carboxy-terminal regions and the disordered amino-terminal region of </w:t>
      </w:r>
      <w:r w:rsidRPr="00EF55A3">
        <w:rPr>
          <w:rFonts w:ascii="Times New Roman" w:hAnsi="Times New Roman" w:cs="Times New Roman"/>
          <w:i/>
          <w:iCs/>
          <w:sz w:val="24"/>
          <w:szCs w:val="24"/>
        </w:rPr>
        <w:t>At</w:t>
      </w:r>
      <w:r w:rsidRPr="00EF55A3">
        <w:rPr>
          <w:rFonts w:ascii="Times New Roman" w:hAnsi="Times New Roman" w:cs="Times New Roman"/>
          <w:sz w:val="24"/>
          <w:szCs w:val="24"/>
        </w:rPr>
        <w:t>MPH1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EA449D">
        <w:rPr>
          <w:rFonts w:ascii="Times New Roman" w:hAnsi="Times New Roman" w:cs="Times New Roman"/>
          <w:i/>
          <w:iCs/>
          <w:sz w:val="24"/>
          <w:szCs w:val="24"/>
        </w:rPr>
        <w:t>Cr</w:t>
      </w:r>
      <w:r>
        <w:rPr>
          <w:rFonts w:ascii="Times New Roman" w:hAnsi="Times New Roman" w:cs="Times New Roman"/>
          <w:sz w:val="24"/>
          <w:szCs w:val="24"/>
        </w:rPr>
        <w:t>PRF1</w:t>
      </w:r>
      <w:r w:rsidRPr="00EF55A3">
        <w:rPr>
          <w:rFonts w:ascii="Times New Roman" w:hAnsi="Times New Roman" w:cs="Times New Roman"/>
          <w:sz w:val="24"/>
          <w:szCs w:val="24"/>
        </w:rPr>
        <w:t xml:space="preserve"> are omitted for clarity. </w:t>
      </w:r>
    </w:p>
    <w:p w14:paraId="7A97C4EC" w14:textId="77777777" w:rsidR="00625993" w:rsidRPr="00EF55A3" w:rsidRDefault="00625993" w:rsidP="00625993">
      <w:pPr>
        <w:snapToGrid w:val="0"/>
        <w:spacing w:beforeLines="50" w:before="156" w:afterLines="50" w:after="156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B6A7B63" w14:textId="77777777" w:rsidR="00625993" w:rsidRPr="00EF55A3" w:rsidRDefault="00625993" w:rsidP="00625993">
      <w:pPr>
        <w:widowControl/>
        <w:snapToGrid w:val="0"/>
        <w:spacing w:beforeLines="50" w:before="156" w:afterLines="50" w:after="156"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F55A3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F0C3CF0" w14:textId="77777777" w:rsidR="00625993" w:rsidRPr="00EF55A3" w:rsidRDefault="00625993" w:rsidP="00625993">
      <w:pPr>
        <w:widowControl/>
        <w:snapToGrid w:val="0"/>
        <w:spacing w:beforeLines="50" w:before="156" w:afterLines="50" w:after="156"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F55A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91C4FD" wp14:editId="3D3EF161">
            <wp:extent cx="5274310" cy="3186430"/>
            <wp:effectExtent l="0" t="0" r="2540" b="0"/>
            <wp:docPr id="1290666504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8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A90F8" w14:textId="77777777" w:rsidR="00625993" w:rsidRPr="00EF55A3" w:rsidRDefault="00625993" w:rsidP="00625993">
      <w:pPr>
        <w:widowControl/>
        <w:snapToGrid w:val="0"/>
        <w:spacing w:beforeLines="50" w:before="156" w:afterLines="50" w:after="156"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F55A3">
        <w:rPr>
          <w:rFonts w:ascii="Times New Roman" w:hAnsi="Times New Roman" w:cs="Times New Roman"/>
          <w:b/>
          <w:bCs/>
          <w:sz w:val="24"/>
          <w:szCs w:val="24"/>
        </w:rPr>
        <w:t xml:space="preserve">Extended Data Fig. 8: PRF2 partially overlaps with the binding sites of PsbJ and Psb28. a, </w:t>
      </w:r>
      <w:r w:rsidRPr="00EF55A3">
        <w:rPr>
          <w:rFonts w:ascii="Times New Roman" w:hAnsi="Times New Roman" w:cs="Times New Roman"/>
          <w:sz w:val="24"/>
          <w:szCs w:val="24"/>
        </w:rPr>
        <w:t xml:space="preserve">The structural model of PSII-TPP is superposed with that of the low-light adapted PSII-SC complex (PDB ID: 6KAC). </w:t>
      </w:r>
      <w:r w:rsidRPr="00EF55A3">
        <w:rPr>
          <w:rFonts w:ascii="Times New Roman" w:hAnsi="Times New Roman" w:cs="Times New Roman"/>
          <w:b/>
          <w:sz w:val="24"/>
          <w:szCs w:val="24"/>
        </w:rPr>
        <w:t>b</w:t>
      </w:r>
      <w:r w:rsidRPr="00EF55A3">
        <w:rPr>
          <w:rFonts w:ascii="Times New Roman" w:hAnsi="Times New Roman" w:cs="Times New Roman"/>
          <w:sz w:val="24"/>
          <w:szCs w:val="24"/>
        </w:rPr>
        <w:t xml:space="preserve">, Superposition of PSII-TPP with the PSII assembly intermediate complex (PSII-I, PDB ID: 7NHP). PsbJ and PRF2 are shown as spheres, Psb28 in PSII-I is shown as cartoon and stick models. </w:t>
      </w:r>
      <w:bookmarkEnd w:id="0"/>
    </w:p>
    <w:p w14:paraId="226EEF60" w14:textId="77777777" w:rsidR="00755780" w:rsidRDefault="00755780"/>
    <w:sectPr w:rsidR="00755780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00346749"/>
      <w:docPartObj>
        <w:docPartGallery w:val="Page Numbers (Bottom of Page)"/>
        <w:docPartUnique/>
      </w:docPartObj>
    </w:sdtPr>
    <w:sdtEndPr/>
    <w:sdtContent>
      <w:p w14:paraId="32BEFD6A" w14:textId="77777777" w:rsidR="00777476" w:rsidRDefault="0062599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40CA9EA" w14:textId="77777777" w:rsidR="00777476" w:rsidRDefault="0062599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993"/>
    <w:rsid w:val="00625993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357F3"/>
  <w15:chartTrackingRefBased/>
  <w15:docId w15:val="{D454B294-2340-40CF-9978-9AF6CF4A5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99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25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25993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1191</Words>
  <Characters>6792</Characters>
  <Application>Microsoft Office Word</Application>
  <DocSecurity>0</DocSecurity>
  <Lines>56</Lines>
  <Paragraphs>15</Paragraphs>
  <ScaleCrop>false</ScaleCrop>
  <Company>Springer Nature</Company>
  <LinksUpToDate>false</LinksUpToDate>
  <CharactersWithSpaces>7968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2023-09-19T05:36:00Z</dcterms:created>
  <dcterms:modified xsi:type="dcterms:W3CDTF">2023-09-19T05:36:00Z</dcterms:modified>
</cp:coreProperties>
</file>