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A5832" w14:textId="77777777" w:rsidR="001A19D1" w:rsidRPr="001A19D1" w:rsidRDefault="001A19D1" w:rsidP="001A19D1">
      <w:pPr>
        <w:tabs>
          <w:tab w:val="left" w:pos="1241"/>
        </w:tabs>
        <w:rPr>
          <w:rFonts w:ascii="Times New Roman" w:eastAsia="標楷體" w:hAnsi="Times New Roman" w:cs="Times New Roman"/>
          <w:b/>
          <w:sz w:val="32"/>
          <w:szCs w:val="24"/>
        </w:rPr>
      </w:pPr>
      <w:bookmarkStart w:id="0" w:name="_Hlk120302968"/>
      <w:r w:rsidRPr="001A19D1">
        <w:rPr>
          <w:rFonts w:ascii="Times New Roman" w:eastAsia="標楷體" w:hAnsi="Times New Roman" w:cs="Times New Roman"/>
          <w:b/>
          <w:sz w:val="32"/>
          <w:szCs w:val="24"/>
        </w:rPr>
        <w:t>Airborne influenza virus in daycare centers</w:t>
      </w:r>
    </w:p>
    <w:p w14:paraId="57C4666A" w14:textId="0B103DFA" w:rsidR="009E6790" w:rsidRPr="00DC03D9" w:rsidRDefault="009E6790" w:rsidP="009E6790">
      <w:pPr>
        <w:widowControl/>
        <w:spacing w:line="480" w:lineRule="auto"/>
        <w:rPr>
          <w:rFonts w:ascii="Times New Roman" w:hAnsi="Times New Roman" w:cs="Times New Roman"/>
          <w:vertAlign w:val="superscript"/>
        </w:rPr>
      </w:pPr>
      <w:r w:rsidRPr="00DC03D9">
        <w:rPr>
          <w:rFonts w:ascii="Times New Roman" w:hAnsi="Times New Roman" w:cs="Times New Roman"/>
        </w:rPr>
        <w:t>Jia Lin Zhang</w:t>
      </w:r>
      <w:r w:rsidRPr="00DC03D9">
        <w:rPr>
          <w:rFonts w:ascii="Times New Roman" w:hAnsi="Times New Roman" w:cs="Times New Roman"/>
          <w:vertAlign w:val="superscript"/>
        </w:rPr>
        <w:t>1</w:t>
      </w:r>
      <w:r w:rsidRPr="00DC03D9">
        <w:rPr>
          <w:rFonts w:ascii="Times New Roman" w:hAnsi="Times New Roman" w:cs="Times New Roman"/>
        </w:rPr>
        <w:t xml:space="preserve">, </w:t>
      </w:r>
      <w:r w:rsidRPr="00F0147F">
        <w:rPr>
          <w:rFonts w:ascii="Times New Roman" w:hAnsi="Times New Roman" w:cs="Times New Roman"/>
        </w:rPr>
        <w:t>Yu-Chun Wang</w:t>
      </w:r>
      <w:r>
        <w:rPr>
          <w:rFonts w:ascii="Times New Roman" w:hAnsi="Times New Roman" w:cs="Times New Roman"/>
          <w:vertAlign w:val="superscript"/>
        </w:rPr>
        <w:t>2</w:t>
      </w:r>
      <w:r>
        <w:rPr>
          <w:rFonts w:ascii="Times New Roman" w:hAnsi="Times New Roman" w:cs="Times New Roman" w:hint="eastAsia"/>
          <w:vertAlign w:val="superscript"/>
        </w:rPr>
        <w:t>＃</w:t>
      </w:r>
      <w:r w:rsidRPr="00F0147F">
        <w:rPr>
          <w:rFonts w:ascii="Times New Roman" w:hAnsi="Times New Roman" w:cs="Times New Roman"/>
        </w:rPr>
        <w:t xml:space="preserve">, </w:t>
      </w:r>
      <w:r w:rsidRPr="00DC03D9">
        <w:rPr>
          <w:rFonts w:ascii="Times New Roman" w:hAnsi="Times New Roman" w:cs="Times New Roman"/>
        </w:rPr>
        <w:t>Yi Lien Lee</w:t>
      </w:r>
      <w:r w:rsidRPr="00DC03D9">
        <w:rPr>
          <w:rFonts w:ascii="Times New Roman" w:hAnsi="Times New Roman" w:cs="Times New Roman"/>
          <w:vertAlign w:val="superscript"/>
        </w:rPr>
        <w:t>1</w:t>
      </w:r>
      <w:r>
        <w:rPr>
          <w:rFonts w:ascii="Times New Roman" w:hAnsi="Times New Roman" w:cs="Times New Roman"/>
          <w:vertAlign w:val="superscript"/>
        </w:rPr>
        <w:t>,3</w:t>
      </w:r>
      <w:r w:rsidRPr="00DC03D9">
        <w:rPr>
          <w:rFonts w:ascii="Times New Roman" w:hAnsi="Times New Roman" w:cs="Times New Roman" w:hint="eastAsia"/>
        </w:rPr>
        <w:t>,</w:t>
      </w:r>
      <w:r w:rsidRPr="00DC03D9">
        <w:rPr>
          <w:rFonts w:ascii="Times New Roman" w:hAnsi="Times New Roman" w:cs="Times New Roman"/>
        </w:rPr>
        <w:t xml:space="preserve"> </w:t>
      </w:r>
      <w:r w:rsidRPr="00F0147F">
        <w:rPr>
          <w:rFonts w:ascii="Times New Roman" w:hAnsi="Times New Roman" w:cs="Times New Roman"/>
        </w:rPr>
        <w:t>Chun-Yuh Yang</w:t>
      </w:r>
      <w:r>
        <w:rPr>
          <w:rFonts w:ascii="Times New Roman" w:hAnsi="Times New Roman" w:cs="Times New Roman"/>
          <w:vertAlign w:val="superscript"/>
        </w:rPr>
        <w:t>1</w:t>
      </w:r>
      <w:r>
        <w:rPr>
          <w:rFonts w:ascii="Times New Roman" w:hAnsi="Times New Roman" w:cs="Times New Roman" w:hint="eastAsia"/>
        </w:rPr>
        <w:t>,</w:t>
      </w:r>
      <w:r>
        <w:rPr>
          <w:rFonts w:ascii="Times New Roman" w:hAnsi="Times New Roman" w:cs="Times New Roman"/>
        </w:rPr>
        <w:t xml:space="preserve"> </w:t>
      </w:r>
      <w:r w:rsidRPr="00DC03D9">
        <w:rPr>
          <w:rFonts w:ascii="Times New Roman" w:hAnsi="Times New Roman" w:cs="Times New Roman"/>
        </w:rPr>
        <w:t>Pei-Shih Chen</w:t>
      </w:r>
      <w:r w:rsidRPr="00DC03D9">
        <w:rPr>
          <w:rFonts w:ascii="Times New Roman" w:hAnsi="Times New Roman" w:cs="Times New Roman"/>
          <w:vertAlign w:val="superscript"/>
        </w:rPr>
        <w:t>1,</w:t>
      </w:r>
      <w:r>
        <w:rPr>
          <w:rFonts w:ascii="Times New Roman" w:hAnsi="Times New Roman" w:cs="Times New Roman"/>
          <w:vertAlign w:val="superscript"/>
        </w:rPr>
        <w:t>5</w:t>
      </w:r>
      <w:r w:rsidRPr="00DC03D9">
        <w:rPr>
          <w:rFonts w:ascii="Times New Roman" w:hAnsi="Times New Roman" w:cs="Times New Roman"/>
          <w:vertAlign w:val="superscript"/>
        </w:rPr>
        <w:t>,</w:t>
      </w:r>
      <w:r>
        <w:rPr>
          <w:rFonts w:ascii="Times New Roman" w:hAnsi="Times New Roman" w:cs="Times New Roman"/>
          <w:vertAlign w:val="superscript"/>
        </w:rPr>
        <w:t>6</w:t>
      </w:r>
      <w:r w:rsidRPr="00DC03D9">
        <w:rPr>
          <w:rFonts w:ascii="Times New Roman" w:hAnsi="Times New Roman" w:cs="Times New Roman"/>
          <w:vertAlign w:val="superscript"/>
        </w:rPr>
        <w:t>,</w:t>
      </w:r>
      <w:r>
        <w:rPr>
          <w:rFonts w:ascii="Times New Roman" w:hAnsi="Times New Roman" w:cs="Times New Roman"/>
          <w:vertAlign w:val="superscript"/>
        </w:rPr>
        <w:t>7,8</w:t>
      </w:r>
      <w:r w:rsidRPr="00DC03D9">
        <w:rPr>
          <w:rFonts w:ascii="Times New Roman" w:hAnsi="Times New Roman" w:cs="Times New Roman"/>
          <w:vertAlign w:val="superscript"/>
        </w:rPr>
        <w:t>*</w:t>
      </w:r>
    </w:p>
    <w:p w14:paraId="439900CB" w14:textId="77777777" w:rsidR="001A19D1" w:rsidRPr="009E6790" w:rsidRDefault="001A19D1" w:rsidP="001A19D1">
      <w:pPr>
        <w:tabs>
          <w:tab w:val="left" w:pos="1241"/>
        </w:tabs>
        <w:rPr>
          <w:rFonts w:ascii="Times New Roman" w:eastAsia="標楷體" w:hAnsi="Times New Roman" w:cs="Times New Roman"/>
          <w:sz w:val="28"/>
          <w:szCs w:val="24"/>
        </w:rPr>
      </w:pPr>
    </w:p>
    <w:p w14:paraId="458A12E3" w14:textId="77777777" w:rsidR="009E6790" w:rsidRPr="009E6790" w:rsidRDefault="009E6790" w:rsidP="009E6790">
      <w:pPr>
        <w:widowControl/>
        <w:rPr>
          <w:rFonts w:ascii="Times New Roman" w:eastAsia="標楷體" w:hAnsi="Times New Roman" w:cs="Times New Roman"/>
          <w:sz w:val="28"/>
          <w:szCs w:val="24"/>
          <w:vertAlign w:val="superscript"/>
        </w:rPr>
      </w:pPr>
      <w:r w:rsidRPr="009E6790">
        <w:rPr>
          <w:rFonts w:ascii="Times New Roman" w:eastAsia="標楷體" w:hAnsi="Times New Roman" w:cs="Times New Roman"/>
          <w:sz w:val="28"/>
          <w:szCs w:val="24"/>
          <w:vertAlign w:val="superscript"/>
        </w:rPr>
        <w:t>1Department of Public Health, College of Health Science, Kaohsiung Medical University, Kaohsiung City 807, Taiwan, Republic of China</w:t>
      </w:r>
    </w:p>
    <w:p w14:paraId="5D03714B" w14:textId="77777777" w:rsidR="009E6790" w:rsidRPr="009E6790" w:rsidRDefault="009E6790" w:rsidP="009E6790">
      <w:pPr>
        <w:widowControl/>
        <w:rPr>
          <w:rFonts w:ascii="Times New Roman" w:eastAsia="標楷體" w:hAnsi="Times New Roman" w:cs="Times New Roman"/>
          <w:sz w:val="28"/>
          <w:szCs w:val="24"/>
          <w:vertAlign w:val="superscript"/>
        </w:rPr>
      </w:pPr>
      <w:r w:rsidRPr="009E6790">
        <w:rPr>
          <w:rFonts w:ascii="Times New Roman" w:eastAsia="標楷體" w:hAnsi="Times New Roman" w:cs="Times New Roman"/>
          <w:sz w:val="28"/>
          <w:szCs w:val="24"/>
          <w:vertAlign w:val="superscript"/>
        </w:rPr>
        <w:t>2Department of Environmental Engineering, College of Engineering, Chung Yuan Christian University, 200 Chung-Pei Road, Zhongli 320, Taiwan.</w:t>
      </w:r>
    </w:p>
    <w:p w14:paraId="681E3A7D" w14:textId="77777777" w:rsidR="009E6790" w:rsidRPr="009E6790" w:rsidRDefault="009E6790" w:rsidP="009E6790">
      <w:pPr>
        <w:widowControl/>
        <w:rPr>
          <w:rFonts w:ascii="Times New Roman" w:eastAsia="標楷體" w:hAnsi="Times New Roman" w:cs="Times New Roman"/>
          <w:sz w:val="28"/>
          <w:szCs w:val="24"/>
          <w:vertAlign w:val="superscript"/>
        </w:rPr>
      </w:pPr>
      <w:r w:rsidRPr="009E6790">
        <w:rPr>
          <w:rFonts w:ascii="Times New Roman" w:eastAsia="標楷體" w:hAnsi="Times New Roman" w:cs="Times New Roman"/>
          <w:sz w:val="28"/>
          <w:szCs w:val="24"/>
          <w:vertAlign w:val="superscript"/>
        </w:rPr>
        <w:t>3Soil and Groundwater Remediation Division, CPC Corporation, Taiwan, Republic of China</w:t>
      </w:r>
    </w:p>
    <w:p w14:paraId="6AB6AAFE" w14:textId="77777777" w:rsidR="009E6790" w:rsidRPr="009E6790" w:rsidRDefault="009E6790" w:rsidP="009E6790">
      <w:pPr>
        <w:widowControl/>
        <w:rPr>
          <w:rFonts w:ascii="Times New Roman" w:eastAsia="標楷體" w:hAnsi="Times New Roman" w:cs="Times New Roman"/>
          <w:sz w:val="28"/>
          <w:szCs w:val="24"/>
          <w:vertAlign w:val="superscript"/>
        </w:rPr>
      </w:pPr>
      <w:r w:rsidRPr="009E6790">
        <w:rPr>
          <w:rFonts w:ascii="Times New Roman" w:eastAsia="標楷體" w:hAnsi="Times New Roman" w:cs="Times New Roman"/>
          <w:sz w:val="28"/>
          <w:szCs w:val="24"/>
          <w:vertAlign w:val="superscript"/>
        </w:rPr>
        <w:t xml:space="preserve">5Institute of Environmental Engineering, College of Engineering, National Sun </w:t>
      </w:r>
      <w:proofErr w:type="spellStart"/>
      <w:r w:rsidRPr="009E6790">
        <w:rPr>
          <w:rFonts w:ascii="Times New Roman" w:eastAsia="標楷體" w:hAnsi="Times New Roman" w:cs="Times New Roman"/>
          <w:sz w:val="28"/>
          <w:szCs w:val="24"/>
          <w:vertAlign w:val="superscript"/>
        </w:rPr>
        <w:t>Yat</w:t>
      </w:r>
      <w:proofErr w:type="spellEnd"/>
      <w:r w:rsidRPr="009E6790">
        <w:rPr>
          <w:rFonts w:ascii="Times New Roman" w:eastAsia="標楷體" w:hAnsi="Times New Roman" w:cs="Times New Roman"/>
          <w:sz w:val="28"/>
          <w:szCs w:val="24"/>
          <w:vertAlign w:val="superscript"/>
        </w:rPr>
        <w:t>-Sen University, Kaohsiung City 807, Taiwan, Republic of China</w:t>
      </w:r>
    </w:p>
    <w:p w14:paraId="7CCACD74" w14:textId="77777777" w:rsidR="009E6790" w:rsidRPr="009E6790" w:rsidRDefault="009E6790" w:rsidP="009E6790">
      <w:pPr>
        <w:widowControl/>
        <w:rPr>
          <w:rFonts w:ascii="Times New Roman" w:eastAsia="標楷體" w:hAnsi="Times New Roman" w:cs="Times New Roman"/>
          <w:sz w:val="28"/>
          <w:szCs w:val="24"/>
          <w:vertAlign w:val="superscript"/>
        </w:rPr>
      </w:pPr>
      <w:r w:rsidRPr="009E6790">
        <w:rPr>
          <w:rFonts w:ascii="Times New Roman" w:eastAsia="標楷體" w:hAnsi="Times New Roman" w:cs="Times New Roman"/>
          <w:sz w:val="28"/>
          <w:szCs w:val="24"/>
          <w:vertAlign w:val="superscript"/>
        </w:rPr>
        <w:t xml:space="preserve">6Department of Medical Research, Kaohsiung Medical University Hospital, Kaohsiung City 807, Taiwan, Republic of China </w:t>
      </w:r>
    </w:p>
    <w:p w14:paraId="0B38CCA9" w14:textId="77777777" w:rsidR="009E6790" w:rsidRPr="009E6790" w:rsidRDefault="009E6790" w:rsidP="009E6790">
      <w:pPr>
        <w:widowControl/>
        <w:rPr>
          <w:rFonts w:ascii="Times New Roman" w:eastAsia="標楷體" w:hAnsi="Times New Roman" w:cs="Times New Roman"/>
          <w:sz w:val="28"/>
          <w:szCs w:val="24"/>
          <w:vertAlign w:val="superscript"/>
        </w:rPr>
      </w:pPr>
      <w:r w:rsidRPr="009E6790">
        <w:rPr>
          <w:rFonts w:ascii="Times New Roman" w:eastAsia="標楷體" w:hAnsi="Times New Roman" w:cs="Times New Roman"/>
          <w:sz w:val="28"/>
          <w:szCs w:val="24"/>
          <w:vertAlign w:val="superscript"/>
        </w:rPr>
        <w:t>7Research Center for Precision Environmental Medicine, Kaohsiung Medical University, Kaohsiung City 807, Taiwan, Republic of China</w:t>
      </w:r>
    </w:p>
    <w:p w14:paraId="1D102A11" w14:textId="77777777" w:rsidR="009E6790" w:rsidRPr="009E6790" w:rsidRDefault="009E6790" w:rsidP="009E6790">
      <w:pPr>
        <w:widowControl/>
        <w:rPr>
          <w:rFonts w:ascii="Times New Roman" w:eastAsia="標楷體" w:hAnsi="Times New Roman" w:cs="Times New Roman"/>
          <w:sz w:val="28"/>
          <w:szCs w:val="24"/>
          <w:vertAlign w:val="superscript"/>
        </w:rPr>
      </w:pPr>
      <w:r w:rsidRPr="009E6790">
        <w:rPr>
          <w:rFonts w:ascii="Times New Roman" w:eastAsia="標楷體" w:hAnsi="Times New Roman" w:cs="Times New Roman"/>
          <w:sz w:val="28"/>
          <w:szCs w:val="24"/>
          <w:vertAlign w:val="superscript"/>
        </w:rPr>
        <w:t>8Institute of Wildlife Conservation, College of Veterinary Medicine, National Pingtung University of Science and Technology, Pingtung City 912, Taiwan, Republic of China</w:t>
      </w:r>
    </w:p>
    <w:p w14:paraId="102A8A46" w14:textId="77777777" w:rsidR="009E6790" w:rsidRPr="009E6790" w:rsidRDefault="009E6790" w:rsidP="009E6790">
      <w:pPr>
        <w:widowControl/>
        <w:rPr>
          <w:rFonts w:ascii="Times New Roman" w:eastAsia="標楷體" w:hAnsi="Times New Roman" w:cs="Times New Roman"/>
          <w:sz w:val="28"/>
          <w:szCs w:val="24"/>
          <w:vertAlign w:val="superscript"/>
        </w:rPr>
      </w:pPr>
      <w:r w:rsidRPr="009E6790">
        <w:rPr>
          <w:rFonts w:ascii="Times New Roman" w:eastAsia="標楷體" w:hAnsi="Times New Roman" w:cs="Times New Roman" w:hint="eastAsia"/>
          <w:sz w:val="28"/>
          <w:szCs w:val="24"/>
          <w:vertAlign w:val="superscript"/>
        </w:rPr>
        <w:t>＃</w:t>
      </w:r>
      <w:r w:rsidRPr="009E6790">
        <w:rPr>
          <w:rFonts w:ascii="Times New Roman" w:eastAsia="標楷體" w:hAnsi="Times New Roman" w:cs="Times New Roman" w:hint="eastAsia"/>
          <w:sz w:val="28"/>
          <w:szCs w:val="24"/>
          <w:vertAlign w:val="superscript"/>
        </w:rPr>
        <w:t>Co-first author: Yu-Chun Wang</w:t>
      </w:r>
    </w:p>
    <w:p w14:paraId="46F48F28" w14:textId="2E373546" w:rsidR="00751969" w:rsidRDefault="009E6790" w:rsidP="009E6790">
      <w:pPr>
        <w:widowControl/>
        <w:rPr>
          <w:rFonts w:ascii="Times New Roman" w:eastAsia="標楷體" w:hAnsi="Times New Roman" w:cs="Times New Roman"/>
          <w:sz w:val="28"/>
          <w:szCs w:val="24"/>
        </w:rPr>
      </w:pPr>
      <w:r w:rsidRPr="009E6790">
        <w:rPr>
          <w:rFonts w:ascii="Times New Roman" w:eastAsia="標楷體" w:hAnsi="Times New Roman" w:cs="Times New Roman"/>
          <w:sz w:val="28"/>
          <w:szCs w:val="24"/>
          <w:vertAlign w:val="superscript"/>
        </w:rPr>
        <w:t>*Corresponding author: Pei-Shih Chen (pschen@gap.kmu.edu.tw)</w:t>
      </w:r>
      <w:r w:rsidR="00751969">
        <w:rPr>
          <w:rFonts w:ascii="Times New Roman" w:eastAsia="標楷體" w:hAnsi="Times New Roman" w:cs="Times New Roman"/>
          <w:sz w:val="28"/>
          <w:szCs w:val="24"/>
        </w:rPr>
        <w:br w:type="page"/>
      </w:r>
    </w:p>
    <w:bookmarkEnd w:id="0" w:displacedByCustomXml="next"/>
    <w:sdt>
      <w:sdtPr>
        <w:rPr>
          <w:rFonts w:asciiTheme="minorHAnsi" w:eastAsiaTheme="minorEastAsia" w:hAnsiTheme="minorHAnsi" w:cstheme="minorBidi"/>
          <w:color w:val="auto"/>
          <w:kern w:val="2"/>
          <w:sz w:val="24"/>
          <w:szCs w:val="22"/>
          <w:lang w:val="zh-TW"/>
        </w:rPr>
        <w:id w:val="461079756"/>
        <w:docPartObj>
          <w:docPartGallery w:val="Table of Contents"/>
          <w:docPartUnique/>
        </w:docPartObj>
      </w:sdtPr>
      <w:sdtEndPr>
        <w:rPr>
          <w:b/>
          <w:bCs/>
        </w:rPr>
      </w:sdtEndPr>
      <w:sdtContent>
        <w:p w14:paraId="2F24C980" w14:textId="77777777" w:rsidR="00751969" w:rsidRPr="00751969" w:rsidRDefault="00751969">
          <w:pPr>
            <w:pStyle w:val="a7"/>
            <w:rPr>
              <w:rFonts w:ascii="Times New Roman" w:eastAsia="標楷體" w:hAnsi="Times New Roman" w:cs="Times New Roman"/>
              <w:color w:val="auto"/>
            </w:rPr>
          </w:pPr>
          <w:r w:rsidRPr="00751969">
            <w:rPr>
              <w:rFonts w:ascii="Times New Roman" w:eastAsia="標楷體" w:hAnsi="Times New Roman" w:cs="Times New Roman"/>
              <w:color w:val="auto"/>
              <w:lang w:val="zh-TW"/>
            </w:rPr>
            <w:t xml:space="preserve">Table of contents </w:t>
          </w:r>
        </w:p>
        <w:p w14:paraId="3152F06B" w14:textId="77777777" w:rsidR="00751969" w:rsidRPr="00751969" w:rsidRDefault="00751969">
          <w:pPr>
            <w:pStyle w:val="11"/>
            <w:tabs>
              <w:tab w:val="right" w:leader="dot" w:pos="8296"/>
            </w:tabs>
            <w:rPr>
              <w:rFonts w:ascii="Times New Roman" w:eastAsia="標楷體" w:hAnsi="Times New Roman" w:cs="Times New Roman"/>
              <w:noProof/>
              <w:szCs w:val="24"/>
            </w:rPr>
          </w:pPr>
          <w:r w:rsidRPr="00751969">
            <w:rPr>
              <w:rFonts w:ascii="Times New Roman" w:eastAsia="標楷體" w:hAnsi="Times New Roman" w:cs="Times New Roman"/>
              <w:szCs w:val="24"/>
            </w:rPr>
            <w:fldChar w:fldCharType="begin"/>
          </w:r>
          <w:r w:rsidRPr="00751969">
            <w:rPr>
              <w:rFonts w:ascii="Times New Roman" w:eastAsia="標楷體" w:hAnsi="Times New Roman" w:cs="Times New Roman"/>
              <w:szCs w:val="24"/>
            </w:rPr>
            <w:instrText xml:space="preserve"> TOC \o "1-3" \h \z \u </w:instrText>
          </w:r>
          <w:r w:rsidRPr="00751969">
            <w:rPr>
              <w:rFonts w:ascii="Times New Roman" w:eastAsia="標楷體" w:hAnsi="Times New Roman" w:cs="Times New Roman"/>
              <w:szCs w:val="24"/>
            </w:rPr>
            <w:fldChar w:fldCharType="separate"/>
          </w:r>
          <w:hyperlink w:anchor="_Toc121209211" w:history="1">
            <w:r w:rsidRPr="00751969">
              <w:rPr>
                <w:rStyle w:val="a8"/>
                <w:rFonts w:ascii="Times New Roman" w:eastAsia="標楷體" w:hAnsi="Times New Roman" w:cs="Times New Roman"/>
                <w:noProof/>
                <w:color w:val="auto"/>
                <w:szCs w:val="24"/>
              </w:rPr>
              <w:t>Material and method</w:t>
            </w:r>
            <w:r w:rsidRPr="00751969">
              <w:rPr>
                <w:rFonts w:ascii="Times New Roman" w:eastAsia="標楷體" w:hAnsi="Times New Roman" w:cs="Times New Roman"/>
                <w:noProof/>
                <w:webHidden/>
                <w:szCs w:val="24"/>
              </w:rPr>
              <w:tab/>
            </w:r>
            <w:r w:rsidRPr="00751969">
              <w:rPr>
                <w:rFonts w:ascii="Times New Roman" w:eastAsia="標楷體" w:hAnsi="Times New Roman" w:cs="Times New Roman"/>
                <w:noProof/>
                <w:webHidden/>
                <w:szCs w:val="24"/>
              </w:rPr>
              <w:fldChar w:fldCharType="begin"/>
            </w:r>
            <w:r w:rsidRPr="00751969">
              <w:rPr>
                <w:rFonts w:ascii="Times New Roman" w:eastAsia="標楷體" w:hAnsi="Times New Roman" w:cs="Times New Roman"/>
                <w:noProof/>
                <w:webHidden/>
                <w:szCs w:val="24"/>
              </w:rPr>
              <w:instrText xml:space="preserve"> PAGEREF _Toc121209211 \h </w:instrText>
            </w:r>
            <w:r w:rsidRPr="00751969">
              <w:rPr>
                <w:rFonts w:ascii="Times New Roman" w:eastAsia="標楷體" w:hAnsi="Times New Roman" w:cs="Times New Roman"/>
                <w:noProof/>
                <w:webHidden/>
                <w:szCs w:val="24"/>
              </w:rPr>
            </w:r>
            <w:r w:rsidRPr="00751969">
              <w:rPr>
                <w:rFonts w:ascii="Times New Roman" w:eastAsia="標楷體" w:hAnsi="Times New Roman" w:cs="Times New Roman"/>
                <w:noProof/>
                <w:webHidden/>
                <w:szCs w:val="24"/>
              </w:rPr>
              <w:fldChar w:fldCharType="separate"/>
            </w:r>
            <w:r w:rsidRPr="00751969">
              <w:rPr>
                <w:rFonts w:ascii="Times New Roman" w:eastAsia="標楷體" w:hAnsi="Times New Roman" w:cs="Times New Roman"/>
                <w:noProof/>
                <w:webHidden/>
                <w:szCs w:val="24"/>
              </w:rPr>
              <w:t>3</w:t>
            </w:r>
            <w:r w:rsidRPr="00751969">
              <w:rPr>
                <w:rFonts w:ascii="Times New Roman" w:eastAsia="標楷體" w:hAnsi="Times New Roman" w:cs="Times New Roman"/>
                <w:noProof/>
                <w:webHidden/>
                <w:szCs w:val="24"/>
              </w:rPr>
              <w:fldChar w:fldCharType="end"/>
            </w:r>
          </w:hyperlink>
        </w:p>
        <w:p w14:paraId="55DE0632" w14:textId="77777777" w:rsidR="00751969" w:rsidRPr="00751969" w:rsidRDefault="00000000">
          <w:pPr>
            <w:pStyle w:val="11"/>
            <w:tabs>
              <w:tab w:val="right" w:leader="dot" w:pos="8296"/>
            </w:tabs>
            <w:rPr>
              <w:rFonts w:ascii="Times New Roman" w:eastAsia="標楷體" w:hAnsi="Times New Roman" w:cs="Times New Roman"/>
              <w:noProof/>
              <w:szCs w:val="24"/>
            </w:rPr>
          </w:pPr>
          <w:hyperlink w:anchor="_Toc121209212" w:history="1">
            <w:r w:rsidR="00751969" w:rsidRPr="00751969">
              <w:rPr>
                <w:rStyle w:val="a8"/>
                <w:rFonts w:ascii="Times New Roman" w:eastAsia="標楷體" w:hAnsi="Times New Roman" w:cs="Times New Roman"/>
                <w:noProof/>
                <w:color w:val="auto"/>
                <w:szCs w:val="24"/>
              </w:rPr>
              <w:t>Table S1. Primer and probe used for the amplification and detection of influenza A virus and influenza B virus</w:t>
            </w:r>
            <w:r w:rsidR="00751969" w:rsidRPr="00751969">
              <w:rPr>
                <w:rFonts w:ascii="Times New Roman" w:eastAsia="標楷體" w:hAnsi="Times New Roman" w:cs="Times New Roman"/>
                <w:noProof/>
                <w:webHidden/>
                <w:szCs w:val="24"/>
              </w:rPr>
              <w:tab/>
            </w:r>
            <w:r w:rsidR="00751969" w:rsidRPr="00751969">
              <w:rPr>
                <w:rFonts w:ascii="Times New Roman" w:eastAsia="標楷體" w:hAnsi="Times New Roman" w:cs="Times New Roman"/>
                <w:noProof/>
                <w:webHidden/>
                <w:szCs w:val="24"/>
              </w:rPr>
              <w:fldChar w:fldCharType="begin"/>
            </w:r>
            <w:r w:rsidR="00751969" w:rsidRPr="00751969">
              <w:rPr>
                <w:rFonts w:ascii="Times New Roman" w:eastAsia="標楷體" w:hAnsi="Times New Roman" w:cs="Times New Roman"/>
                <w:noProof/>
                <w:webHidden/>
                <w:szCs w:val="24"/>
              </w:rPr>
              <w:instrText xml:space="preserve"> PAGEREF _Toc121209212 \h </w:instrText>
            </w:r>
            <w:r w:rsidR="00751969" w:rsidRPr="00751969">
              <w:rPr>
                <w:rFonts w:ascii="Times New Roman" w:eastAsia="標楷體" w:hAnsi="Times New Roman" w:cs="Times New Roman"/>
                <w:noProof/>
                <w:webHidden/>
                <w:szCs w:val="24"/>
              </w:rPr>
            </w:r>
            <w:r w:rsidR="00751969" w:rsidRPr="00751969">
              <w:rPr>
                <w:rFonts w:ascii="Times New Roman" w:eastAsia="標楷體" w:hAnsi="Times New Roman" w:cs="Times New Roman"/>
                <w:noProof/>
                <w:webHidden/>
                <w:szCs w:val="24"/>
              </w:rPr>
              <w:fldChar w:fldCharType="separate"/>
            </w:r>
            <w:r w:rsidR="00751969" w:rsidRPr="00751969">
              <w:rPr>
                <w:rFonts w:ascii="Times New Roman" w:eastAsia="標楷體" w:hAnsi="Times New Roman" w:cs="Times New Roman"/>
                <w:noProof/>
                <w:webHidden/>
                <w:szCs w:val="24"/>
              </w:rPr>
              <w:t>5</w:t>
            </w:r>
            <w:r w:rsidR="00751969" w:rsidRPr="00751969">
              <w:rPr>
                <w:rFonts w:ascii="Times New Roman" w:eastAsia="標楷體" w:hAnsi="Times New Roman" w:cs="Times New Roman"/>
                <w:noProof/>
                <w:webHidden/>
                <w:szCs w:val="24"/>
              </w:rPr>
              <w:fldChar w:fldCharType="end"/>
            </w:r>
          </w:hyperlink>
        </w:p>
        <w:p w14:paraId="41A09763" w14:textId="77777777" w:rsidR="00751969" w:rsidRPr="00751969" w:rsidRDefault="00000000">
          <w:pPr>
            <w:pStyle w:val="11"/>
            <w:tabs>
              <w:tab w:val="right" w:leader="dot" w:pos="8296"/>
            </w:tabs>
            <w:rPr>
              <w:rFonts w:ascii="Times New Roman" w:eastAsia="標楷體" w:hAnsi="Times New Roman" w:cs="Times New Roman"/>
              <w:noProof/>
              <w:szCs w:val="24"/>
            </w:rPr>
          </w:pPr>
          <w:hyperlink w:anchor="_Toc121209213" w:history="1">
            <w:r w:rsidR="00751969" w:rsidRPr="00751969">
              <w:rPr>
                <w:rStyle w:val="a8"/>
                <w:rFonts w:ascii="Times New Roman" w:eastAsia="標楷體" w:hAnsi="Times New Roman" w:cs="Times New Roman"/>
                <w:noProof/>
                <w:color w:val="auto"/>
                <w:szCs w:val="24"/>
              </w:rPr>
              <w:t>Reference</w:t>
            </w:r>
            <w:r w:rsidR="00751969" w:rsidRPr="00751969">
              <w:rPr>
                <w:rFonts w:ascii="Times New Roman" w:eastAsia="標楷體" w:hAnsi="Times New Roman" w:cs="Times New Roman"/>
                <w:noProof/>
                <w:webHidden/>
                <w:szCs w:val="24"/>
              </w:rPr>
              <w:tab/>
            </w:r>
            <w:r w:rsidR="00751969" w:rsidRPr="00751969">
              <w:rPr>
                <w:rFonts w:ascii="Times New Roman" w:eastAsia="標楷體" w:hAnsi="Times New Roman" w:cs="Times New Roman"/>
                <w:noProof/>
                <w:webHidden/>
                <w:szCs w:val="24"/>
              </w:rPr>
              <w:fldChar w:fldCharType="begin"/>
            </w:r>
            <w:r w:rsidR="00751969" w:rsidRPr="00751969">
              <w:rPr>
                <w:rFonts w:ascii="Times New Roman" w:eastAsia="標楷體" w:hAnsi="Times New Roman" w:cs="Times New Roman"/>
                <w:noProof/>
                <w:webHidden/>
                <w:szCs w:val="24"/>
              </w:rPr>
              <w:instrText xml:space="preserve"> PAGEREF _Toc121209213 \h </w:instrText>
            </w:r>
            <w:r w:rsidR="00751969" w:rsidRPr="00751969">
              <w:rPr>
                <w:rFonts w:ascii="Times New Roman" w:eastAsia="標楷體" w:hAnsi="Times New Roman" w:cs="Times New Roman"/>
                <w:noProof/>
                <w:webHidden/>
                <w:szCs w:val="24"/>
              </w:rPr>
            </w:r>
            <w:r w:rsidR="00751969" w:rsidRPr="00751969">
              <w:rPr>
                <w:rFonts w:ascii="Times New Roman" w:eastAsia="標楷體" w:hAnsi="Times New Roman" w:cs="Times New Roman"/>
                <w:noProof/>
                <w:webHidden/>
                <w:szCs w:val="24"/>
              </w:rPr>
              <w:fldChar w:fldCharType="separate"/>
            </w:r>
            <w:r w:rsidR="00751969" w:rsidRPr="00751969">
              <w:rPr>
                <w:rFonts w:ascii="Times New Roman" w:eastAsia="標楷體" w:hAnsi="Times New Roman" w:cs="Times New Roman"/>
                <w:noProof/>
                <w:webHidden/>
                <w:szCs w:val="24"/>
              </w:rPr>
              <w:t>6</w:t>
            </w:r>
            <w:r w:rsidR="00751969" w:rsidRPr="00751969">
              <w:rPr>
                <w:rFonts w:ascii="Times New Roman" w:eastAsia="標楷體" w:hAnsi="Times New Roman" w:cs="Times New Roman"/>
                <w:noProof/>
                <w:webHidden/>
                <w:szCs w:val="24"/>
              </w:rPr>
              <w:fldChar w:fldCharType="end"/>
            </w:r>
          </w:hyperlink>
        </w:p>
        <w:p w14:paraId="48DC8808" w14:textId="77777777" w:rsidR="00751969" w:rsidRDefault="00751969">
          <w:r w:rsidRPr="00751969">
            <w:rPr>
              <w:rFonts w:ascii="Times New Roman" w:eastAsia="標楷體" w:hAnsi="Times New Roman" w:cs="Times New Roman"/>
              <w:b/>
              <w:bCs/>
              <w:szCs w:val="24"/>
              <w:lang w:val="zh-TW"/>
            </w:rPr>
            <w:fldChar w:fldCharType="end"/>
          </w:r>
        </w:p>
      </w:sdtContent>
    </w:sdt>
    <w:p w14:paraId="4F5B774B" w14:textId="77777777" w:rsidR="00751969" w:rsidRDefault="00751969">
      <w:pPr>
        <w:widowControl/>
        <w:rPr>
          <w:rFonts w:ascii="Times New Roman" w:eastAsia="標楷體" w:hAnsi="Times New Roman" w:cs="Times New Roman"/>
          <w:sz w:val="28"/>
          <w:szCs w:val="24"/>
        </w:rPr>
      </w:pPr>
      <w:r>
        <w:rPr>
          <w:rFonts w:ascii="Times New Roman" w:eastAsia="標楷體" w:hAnsi="Times New Roman" w:cs="Times New Roman"/>
          <w:sz w:val="28"/>
          <w:szCs w:val="24"/>
        </w:rPr>
        <w:br w:type="page"/>
      </w:r>
    </w:p>
    <w:p w14:paraId="02FC50AA" w14:textId="77777777" w:rsidR="00E94774" w:rsidRPr="008F22F7" w:rsidRDefault="00E94774" w:rsidP="00751969">
      <w:pPr>
        <w:outlineLvl w:val="0"/>
        <w:rPr>
          <w:rFonts w:ascii="Times New Roman" w:hAnsi="Times New Roman" w:cs="Times New Roman"/>
          <w:u w:val="single"/>
        </w:rPr>
      </w:pPr>
      <w:bookmarkStart w:id="1" w:name="_Toc121209211"/>
      <w:r w:rsidRPr="008F22F7">
        <w:rPr>
          <w:rFonts w:ascii="Times New Roman" w:hAnsi="Times New Roman" w:cs="Times New Roman"/>
          <w:u w:val="single"/>
        </w:rPr>
        <w:lastRenderedPageBreak/>
        <w:t>Material and method</w:t>
      </w:r>
      <w:bookmarkEnd w:id="1"/>
    </w:p>
    <w:p w14:paraId="24AF4A20" w14:textId="77777777" w:rsidR="00300CA4" w:rsidRPr="008F22F7" w:rsidRDefault="004732AC" w:rsidP="00300CA4">
      <w:pPr>
        <w:rPr>
          <w:rFonts w:ascii="Times New Roman" w:hAnsi="Times New Roman" w:cs="Times New Roman"/>
          <w:i/>
        </w:rPr>
      </w:pPr>
      <w:r w:rsidRPr="008F22F7">
        <w:rPr>
          <w:rFonts w:ascii="Times New Roman" w:hAnsi="Times New Roman" w:cs="Times New Roman"/>
          <w:i/>
        </w:rPr>
        <w:t xml:space="preserve">Air sample collection and </w:t>
      </w:r>
      <w:r w:rsidR="00300CA4" w:rsidRPr="008F22F7">
        <w:rPr>
          <w:rFonts w:ascii="Times New Roman" w:hAnsi="Times New Roman" w:cs="Times New Roman"/>
          <w:i/>
        </w:rPr>
        <w:t>RNA isolation</w:t>
      </w:r>
    </w:p>
    <w:p w14:paraId="73BB6239" w14:textId="77777777" w:rsidR="00300CA4" w:rsidRPr="008F22F7" w:rsidRDefault="004732AC">
      <w:pPr>
        <w:rPr>
          <w:rFonts w:ascii="Times New Roman" w:hAnsi="Times New Roman" w:cs="Times New Roman"/>
        </w:rPr>
      </w:pPr>
      <w:r w:rsidRPr="008F22F7">
        <w:rPr>
          <w:rFonts w:ascii="Times New Roman" w:hAnsi="Times New Roman" w:cs="Times New Roman"/>
        </w:rPr>
        <w:t xml:space="preserve">Before sampling, filters and support pads were autoclaved, and plastic cassettes were sterilized with ethylene oxide. RNA isolation was executed using commercially available </w:t>
      </w:r>
      <w:proofErr w:type="spellStart"/>
      <w:r w:rsidRPr="008F22F7">
        <w:rPr>
          <w:rFonts w:ascii="Times New Roman" w:hAnsi="Times New Roman" w:cs="Times New Roman"/>
        </w:rPr>
        <w:t>QIAamp</w:t>
      </w:r>
      <w:proofErr w:type="spellEnd"/>
      <w:r w:rsidRPr="008F22F7">
        <w:rPr>
          <w:rFonts w:ascii="Times New Roman" w:hAnsi="Times New Roman" w:cs="Times New Roman"/>
        </w:rPr>
        <w:t xml:space="preserve"> Viral RNA Mini Kits (Qiagen GmbH, Hilden, Germany). </w:t>
      </w:r>
      <w:r w:rsidR="00300CA4" w:rsidRPr="008F22F7">
        <w:rPr>
          <w:rFonts w:ascii="Times New Roman" w:hAnsi="Times New Roman" w:cs="Times New Roman"/>
        </w:rPr>
        <w:t xml:space="preserve">The isolation procedure was performed in accordance with the manufacturer’s recommendation, except that in our study, the sampled Teflon filter was folded into quadrants with the virus inside and then placed upside down into the buffer AVL–carrier RNA in a 1.5-mL microcentrifuge tube </w:t>
      </w:r>
      <w:r w:rsidR="00300CA4" w:rsidRPr="008F22F7">
        <w:rPr>
          <w:rFonts w:ascii="Times New Roman" w:hAnsi="Times New Roman" w:cs="Times New Roman"/>
        </w:rPr>
        <w:fldChar w:fldCharType="begin"/>
      </w:r>
      <w:r w:rsidR="00FB130A" w:rsidRPr="008F22F7">
        <w:rPr>
          <w:rFonts w:ascii="Times New Roman" w:hAnsi="Times New Roman" w:cs="Times New Roman"/>
        </w:rPr>
        <w:instrText xml:space="preserve"> ADDIN EN.CITE &lt;EndNote&gt;&lt;Cite&gt;&lt;Author&gt;Chen&lt;/Author&gt;&lt;Year&gt;2010&lt;/Year&gt;&lt;RecNum&gt;1&lt;/RecNum&gt;&lt;DisplayText&gt;(Chen et al. 2010)&lt;/DisplayText&gt;&lt;record&gt;&lt;rec-number&gt;1&lt;/rec-number&gt;&lt;foreign-keys&gt;&lt;key app="EN" db-id="fe0drpffoexf9le5tawxtp9o92asree55sf9" timestamp="1643166581"&gt;1&lt;/key&gt;&lt;/foreign-keys&gt;&lt;ref-type name="Journal Article"&gt;17&lt;/ref-type&gt;&lt;contributors&gt;&lt;authors&gt;&lt;author&gt;Chen, P. S.&lt;/author&gt;&lt;author&gt;Tsai, F. T.&lt;/author&gt;&lt;author&gt;Lin, C. K.&lt;/author&gt;&lt;author&gt;Yang, C. Y.&lt;/author&gt;&lt;author&gt;Chan, C. C.&lt;/author&gt;&lt;author&gt;Young, C. Y.&lt;/author&gt;&lt;author&gt;Lee, C. H.&lt;/author&gt;&lt;/authors&gt;&lt;/contributors&gt;&lt;auth-address&gt;Department of Public Health, College of Health Science, Kaohsiung Medical University, Kaohsiung City, Taiwan. pschen@kmu.edu.tw&lt;/auth-address&gt;&lt;titles&gt;&lt;title&gt;Ambient influenza and avian influenza virus during dust storm days and background days&lt;/title&gt;&lt;secondary-title&gt;Environ Health Perspect&lt;/secondary-title&gt;&lt;/titles&gt;&lt;periodical&gt;&lt;full-title&gt;Environ Health Perspect&lt;/full-title&gt;&lt;/periodical&gt;&lt;pages&gt;1211-6&lt;/pages&gt;&lt;volume&gt;118&lt;/volume&gt;&lt;number&gt;9&lt;/number&gt;&lt;edition&gt;20100430&lt;/edition&gt;&lt;keywords&gt;&lt;keyword&gt;Air Microbiology&lt;/keyword&gt;&lt;keyword&gt;Air Movements&lt;/keyword&gt;&lt;keyword&gt;Air Pollutants&lt;/keyword&gt;&lt;keyword&gt;Influenza A virus/genetics/*isolation &amp;amp; purification&lt;/keyword&gt;&lt;keyword&gt;Orthomyxoviridae/genetics/*isolation &amp;amp; purification&lt;/keyword&gt;&lt;keyword&gt;Polymerase Chain Reaction&lt;/keyword&gt;&lt;/keywords&gt;&lt;dates&gt;&lt;year&gt;2010&lt;/year&gt;&lt;pub-dates&gt;&lt;date&gt;Sep&lt;/date&gt;&lt;/pub-dates&gt;&lt;/dates&gt;&lt;isbn&gt;0091-6765 (Print)&amp;#xD;0091-6765&lt;/isbn&gt;&lt;accession-num&gt;20435545&lt;/accession-num&gt;&lt;urls&gt;&lt;related-urls&gt;&lt;url&gt;https://www.ncbi.nlm.nih.gov/pmc/articles/PMC2944079/pdf/ehp-118-1211.pdf&lt;/url&gt;&lt;/related-urls&gt;&lt;/urls&gt;&lt;custom2&gt;PMC2944079&lt;/custom2&gt;&lt;electronic-resource-num&gt;10.1289/ehp.0901782&lt;/electronic-resource-num&gt;&lt;remote-database-provider&gt;NLM&lt;/remote-database-provider&gt;&lt;language&gt;eng&lt;/language&gt;&lt;/record&gt;&lt;/Cite&gt;&lt;/EndNote&gt;</w:instrText>
      </w:r>
      <w:r w:rsidR="00300CA4" w:rsidRPr="008F22F7">
        <w:rPr>
          <w:rFonts w:ascii="Times New Roman" w:hAnsi="Times New Roman" w:cs="Times New Roman"/>
        </w:rPr>
        <w:fldChar w:fldCharType="separate"/>
      </w:r>
      <w:r w:rsidR="00FB130A" w:rsidRPr="008F22F7">
        <w:rPr>
          <w:rFonts w:ascii="Times New Roman" w:hAnsi="Times New Roman" w:cs="Times New Roman"/>
          <w:noProof/>
        </w:rPr>
        <w:t>(Chen et al. 2010)</w:t>
      </w:r>
      <w:r w:rsidR="00300CA4" w:rsidRPr="008F22F7">
        <w:rPr>
          <w:rFonts w:ascii="Times New Roman" w:hAnsi="Times New Roman" w:cs="Times New Roman"/>
        </w:rPr>
        <w:fldChar w:fldCharType="end"/>
      </w:r>
      <w:r w:rsidR="00300CA4" w:rsidRPr="008F22F7">
        <w:rPr>
          <w:rFonts w:ascii="Times New Roman" w:hAnsi="Times New Roman" w:cs="Times New Roman"/>
        </w:rPr>
        <w:t>.</w:t>
      </w:r>
    </w:p>
    <w:p w14:paraId="76B4292D" w14:textId="77777777" w:rsidR="00300CA4" w:rsidRPr="008F22F7" w:rsidRDefault="00300CA4">
      <w:pPr>
        <w:rPr>
          <w:rFonts w:ascii="Times New Roman" w:hAnsi="Times New Roman" w:cs="Times New Roman"/>
          <w:u w:val="single"/>
        </w:rPr>
      </w:pPr>
    </w:p>
    <w:p w14:paraId="789CA8F1" w14:textId="77777777" w:rsidR="00AD7D20" w:rsidRPr="008F22F7" w:rsidRDefault="00734832">
      <w:pPr>
        <w:rPr>
          <w:rFonts w:ascii="Times New Roman" w:hAnsi="Times New Roman" w:cs="Times New Roman"/>
          <w:i/>
        </w:rPr>
      </w:pPr>
      <w:r w:rsidRPr="008F22F7">
        <w:rPr>
          <w:rFonts w:ascii="Times New Roman" w:hAnsi="Times New Roman" w:cs="Times New Roman"/>
          <w:i/>
        </w:rPr>
        <w:t>Reverse transcription qPCR</w:t>
      </w:r>
    </w:p>
    <w:p w14:paraId="2D0A20A9" w14:textId="77777777" w:rsidR="00734832" w:rsidRPr="008F22F7" w:rsidRDefault="004979F0" w:rsidP="009E07EB">
      <w:pPr>
        <w:ind w:firstLine="480"/>
        <w:rPr>
          <w:rFonts w:ascii="Times New Roman" w:eastAsia="新細明體" w:hAnsi="Times New Roman" w:cs="Times New Roman"/>
        </w:rPr>
      </w:pPr>
      <w:r w:rsidRPr="008F22F7">
        <w:rPr>
          <w:rFonts w:ascii="Times New Roman" w:hAnsi="Times New Roman" w:cs="Times New Roman"/>
        </w:rPr>
        <w:t xml:space="preserve">The primer and probe used for the amplification and detection of influenza A virus and influenza B virus are presented in Table S1. The specificity was 100% for both influenza A virus and influenza B virus </w:t>
      </w:r>
      <w:r w:rsidRPr="008F22F7">
        <w:rPr>
          <w:rFonts w:ascii="Times New Roman" w:hAnsi="Times New Roman" w:cs="Times New Roman"/>
        </w:rPr>
        <w:fldChar w:fldCharType="begin"/>
      </w:r>
      <w:r w:rsidRPr="008F22F7">
        <w:rPr>
          <w:rFonts w:ascii="Times New Roman" w:hAnsi="Times New Roman" w:cs="Times New Roman"/>
        </w:rPr>
        <w:instrText xml:space="preserve"> ADDIN EN.CITE &lt;EndNote&gt;&lt;Cite&gt;&lt;Author&gt;van Elden&lt;/Author&gt;&lt;Year&gt;2001&lt;/Year&gt;&lt;RecNum&gt;82&lt;/RecNum&gt;&lt;DisplayText&gt;(van Elden et al., 2001)&lt;/DisplayText&gt;&lt;record&gt;&lt;rec-number&gt;82&lt;/rec-number&gt;&lt;foreign-keys&gt;&lt;key app="EN" db-id="fe0drpffoexf9le5tawxtp9o92asree55sf9" timestamp="1667275077"&gt;82&lt;/key&gt;&lt;/foreign-keys&gt;&lt;ref-type name="Journal Article"&gt;17&lt;/ref-type&gt;&lt;contributors&gt;&lt;authors&gt;&lt;author&gt;van Elden, L. J.&lt;/author&gt;&lt;author&gt;Nijhuis, M.&lt;/author&gt;&lt;author&gt;Schipper, P.&lt;/author&gt;&lt;author&gt;Schuurman, R.&lt;/author&gt;&lt;author&gt;van Loon, A. M.&lt;/author&gt;&lt;/authors&gt;&lt;/contributors&gt;&lt;auth-address&gt;Department of Virology, University Medical Center Utrecht, Utrecht, The Netherlands. l.vanelden@digd.azu.nl&lt;/auth-address&gt;&lt;titles&gt;&lt;title&gt;Simultaneous detection of influenza viruses A and B using real-time quantitative PCR&lt;/title&gt;&lt;secondary-title&gt;J Clin Microbiol&lt;/secondary-title&gt;&lt;/titles&gt;&lt;periodical&gt;&lt;full-title&gt;J Clin Microbiol&lt;/full-title&gt;&lt;/periodical&gt;&lt;pages&gt;196-200&lt;/pages&gt;&lt;volume&gt;39&lt;/volume&gt;&lt;number&gt;1&lt;/number&gt;&lt;edition&gt;2001/01/04&lt;/edition&gt;&lt;keywords&gt;&lt;keyword&gt;Follow-Up Studies&lt;/keyword&gt;&lt;keyword&gt;Humans&lt;/keyword&gt;&lt;keyword&gt;Influenza A virus/genetics/*isolation &amp;amp; purification&lt;/keyword&gt;&lt;keyword&gt;Influenza B virus/genetics/*isolation &amp;amp; purification&lt;/keyword&gt;&lt;keyword&gt;Influenza, Human/*diagnosis/*virology&lt;/keyword&gt;&lt;keyword&gt;Polymerase Chain Reaction/*methods&lt;/keyword&gt;&lt;keyword&gt;RNA, Viral/analysis&lt;/keyword&gt;&lt;keyword&gt;Reverse Transcriptase Polymerase Chain Reaction&lt;/keyword&gt;&lt;keyword&gt;Sensitivity and Specificity&lt;/keyword&gt;&lt;keyword&gt;Taq Polymerase/metabolism&lt;/keyword&gt;&lt;keyword&gt;Virus Cultivation/methods&lt;/keyword&gt;&lt;/keywords&gt;&lt;dates&gt;&lt;year&gt;2001&lt;/year&gt;&lt;pub-dates&gt;&lt;date&gt;Jan&lt;/date&gt;&lt;/pub-dates&gt;&lt;/dates&gt;&lt;isbn&gt;0095-1137 (Print)&amp;#xD;0095-1137&lt;/isbn&gt;&lt;accession-num&gt;11136770&lt;/accession-num&gt;&lt;urls&gt;&lt;/urls&gt;&lt;custom2&gt;PMC87701&lt;/custom2&gt;&lt;electronic-resource-num&gt;10.1128/jcm.39.1.196-200.2001&lt;/electronic-resource-num&gt;&lt;remote-database-provider&gt;NLM&lt;/remote-database-provider&gt;&lt;language&gt;eng&lt;/language&gt;&lt;/record&gt;&lt;/Cite&gt;&lt;/EndNote&gt;</w:instrText>
      </w:r>
      <w:r w:rsidRPr="008F22F7">
        <w:rPr>
          <w:rFonts w:ascii="Times New Roman" w:hAnsi="Times New Roman" w:cs="Times New Roman"/>
        </w:rPr>
        <w:fldChar w:fldCharType="separate"/>
      </w:r>
      <w:r w:rsidRPr="008F22F7">
        <w:rPr>
          <w:rFonts w:ascii="Times New Roman" w:hAnsi="Times New Roman" w:cs="Times New Roman"/>
          <w:noProof/>
        </w:rPr>
        <w:t>(van Elden et al., 2001)</w:t>
      </w:r>
      <w:r w:rsidRPr="008F22F7">
        <w:rPr>
          <w:rFonts w:ascii="Times New Roman" w:hAnsi="Times New Roman" w:cs="Times New Roman"/>
        </w:rPr>
        <w:fldChar w:fldCharType="end"/>
      </w:r>
      <w:r w:rsidRPr="008F22F7">
        <w:rPr>
          <w:rFonts w:ascii="Times New Roman" w:hAnsi="Times New Roman" w:cs="Times New Roman"/>
        </w:rPr>
        <w:t xml:space="preserve">. </w:t>
      </w:r>
      <w:r w:rsidR="00734832" w:rsidRPr="008F22F7">
        <w:rPr>
          <w:rFonts w:ascii="Times New Roman" w:hAnsi="Times New Roman" w:cs="Times New Roman"/>
        </w:rPr>
        <w:t xml:space="preserve">The amplification and detection processes were performed through an ABI PRISM 7500 Sequence Detection System with the </w:t>
      </w:r>
      <w:proofErr w:type="spellStart"/>
      <w:r w:rsidR="00734832" w:rsidRPr="008F22F7">
        <w:rPr>
          <w:rFonts w:ascii="Times New Roman" w:hAnsi="Times New Roman" w:cs="Times New Roman"/>
        </w:rPr>
        <w:t>Taqman</w:t>
      </w:r>
      <w:proofErr w:type="spellEnd"/>
      <w:r w:rsidR="00734832" w:rsidRPr="008F22F7">
        <w:rPr>
          <w:rFonts w:ascii="Times New Roman" w:hAnsi="Times New Roman" w:cs="Times New Roman"/>
        </w:rPr>
        <w:t xml:space="preserve"> One-Step Reverse Transcriptase PCR Master Mix Reagents Kit (Applied Biosystems, Massachusetts, USA) by using 5 </w:t>
      </w:r>
      <w:proofErr w:type="spellStart"/>
      <w:r w:rsidR="00734832" w:rsidRPr="008F22F7">
        <w:rPr>
          <w:rFonts w:ascii="Times New Roman" w:hAnsi="Times New Roman" w:cs="Times New Roman"/>
        </w:rPr>
        <w:t>μL</w:t>
      </w:r>
      <w:proofErr w:type="spellEnd"/>
      <w:r w:rsidR="00734832" w:rsidRPr="008F22F7">
        <w:rPr>
          <w:rFonts w:ascii="Times New Roman" w:hAnsi="Times New Roman" w:cs="Times New Roman"/>
        </w:rPr>
        <w:t xml:space="preserve"> of viral RNA solution in an end volume of 25 </w:t>
      </w:r>
      <w:proofErr w:type="spellStart"/>
      <w:r w:rsidR="00734832" w:rsidRPr="008F22F7">
        <w:rPr>
          <w:rFonts w:ascii="Times New Roman" w:hAnsi="Times New Roman" w:cs="Times New Roman"/>
        </w:rPr>
        <w:t>μL</w:t>
      </w:r>
      <w:proofErr w:type="spellEnd"/>
      <w:r w:rsidR="00734832" w:rsidRPr="008F22F7">
        <w:rPr>
          <w:rFonts w:ascii="Times New Roman" w:hAnsi="Times New Roman" w:cs="Times New Roman"/>
        </w:rPr>
        <w:t xml:space="preserve">. All samples underwent qPCR assays in triplicate. The PCR mixture for influenza A virus and influenza B virus comprised 5 </w:t>
      </w:r>
      <w:proofErr w:type="spellStart"/>
      <w:r w:rsidR="00734832" w:rsidRPr="008F22F7">
        <w:rPr>
          <w:rFonts w:ascii="Times New Roman" w:hAnsi="Times New Roman" w:cs="Times New Roman"/>
        </w:rPr>
        <w:t>μL</w:t>
      </w:r>
      <w:proofErr w:type="spellEnd"/>
      <w:r w:rsidR="00734832" w:rsidRPr="008F22F7">
        <w:rPr>
          <w:rFonts w:ascii="Times New Roman" w:hAnsi="Times New Roman" w:cs="Times New Roman"/>
        </w:rPr>
        <w:t xml:space="preserve"> of RNA sample, 1 </w:t>
      </w:r>
      <w:proofErr w:type="spellStart"/>
      <w:r w:rsidR="00734832" w:rsidRPr="008F22F7">
        <w:rPr>
          <w:rFonts w:ascii="Times New Roman" w:hAnsi="Times New Roman" w:cs="Times New Roman"/>
        </w:rPr>
        <w:t>μL</w:t>
      </w:r>
      <w:proofErr w:type="spellEnd"/>
      <w:r w:rsidR="00734832" w:rsidRPr="008F22F7">
        <w:rPr>
          <w:rFonts w:ascii="Times New Roman" w:hAnsi="Times New Roman" w:cs="Times New Roman"/>
        </w:rPr>
        <w:t xml:space="preserve"> of primer (influenza A or B virus), 12.5 </w:t>
      </w:r>
      <w:proofErr w:type="spellStart"/>
      <w:r w:rsidR="00734832" w:rsidRPr="008F22F7">
        <w:rPr>
          <w:rFonts w:ascii="Times New Roman" w:hAnsi="Times New Roman" w:cs="Times New Roman"/>
        </w:rPr>
        <w:t>μL</w:t>
      </w:r>
      <w:proofErr w:type="spellEnd"/>
      <w:r w:rsidR="00734832" w:rsidRPr="008F22F7">
        <w:rPr>
          <w:rFonts w:ascii="Times New Roman" w:hAnsi="Times New Roman" w:cs="Times New Roman"/>
        </w:rPr>
        <w:t xml:space="preserve"> of 2× Master Mix without UNG, 0.625 </w:t>
      </w:r>
      <w:proofErr w:type="spellStart"/>
      <w:r w:rsidR="00734832" w:rsidRPr="008F22F7">
        <w:rPr>
          <w:rFonts w:ascii="Times New Roman" w:hAnsi="Times New Roman" w:cs="Times New Roman"/>
        </w:rPr>
        <w:t>μL</w:t>
      </w:r>
      <w:proofErr w:type="spellEnd"/>
      <w:r w:rsidR="00734832" w:rsidRPr="008F22F7">
        <w:rPr>
          <w:rFonts w:ascii="Times New Roman" w:hAnsi="Times New Roman" w:cs="Times New Roman"/>
        </w:rPr>
        <w:t xml:space="preserve"> of 40× </w:t>
      </w:r>
      <w:proofErr w:type="spellStart"/>
      <w:r w:rsidR="00734832" w:rsidRPr="008F22F7">
        <w:rPr>
          <w:rFonts w:ascii="Times New Roman" w:hAnsi="Times New Roman" w:cs="Times New Roman"/>
        </w:rPr>
        <w:t>MultiScribe</w:t>
      </w:r>
      <w:proofErr w:type="spellEnd"/>
      <w:r w:rsidR="00734832" w:rsidRPr="008F22F7">
        <w:rPr>
          <w:rFonts w:ascii="Times New Roman" w:hAnsi="Times New Roman" w:cs="Times New Roman"/>
        </w:rPr>
        <w:t xml:space="preserve"> and RNase Inhibitor Mix, 1 </w:t>
      </w:r>
      <w:proofErr w:type="spellStart"/>
      <w:r w:rsidR="00734832" w:rsidRPr="008F22F7">
        <w:rPr>
          <w:rFonts w:ascii="Times New Roman" w:hAnsi="Times New Roman" w:cs="Times New Roman"/>
        </w:rPr>
        <w:t>μL</w:t>
      </w:r>
      <w:proofErr w:type="spellEnd"/>
      <w:r w:rsidR="00734832" w:rsidRPr="008F22F7">
        <w:rPr>
          <w:rFonts w:ascii="Times New Roman" w:hAnsi="Times New Roman" w:cs="Times New Roman"/>
        </w:rPr>
        <w:t xml:space="preserve"> of TaqMan probe, and 4.875 </w:t>
      </w:r>
      <w:proofErr w:type="spellStart"/>
      <w:r w:rsidR="00734832" w:rsidRPr="008F22F7">
        <w:rPr>
          <w:rFonts w:ascii="Times New Roman" w:hAnsi="Times New Roman" w:cs="Times New Roman"/>
        </w:rPr>
        <w:t>μL</w:t>
      </w:r>
      <w:proofErr w:type="spellEnd"/>
      <w:r w:rsidR="00734832" w:rsidRPr="008F22F7">
        <w:rPr>
          <w:rFonts w:ascii="Times New Roman" w:hAnsi="Times New Roman" w:cs="Times New Roman"/>
        </w:rPr>
        <w:t xml:space="preserve"> of diethylpyrocarbonate water. The amplification and detection processes executed using the ABI PRISM 7500 Sequence Detection System (Applied Biosystems, Massachusetts, USA) were performed under the following conditions: </w:t>
      </w:r>
      <w:r w:rsidR="00734832" w:rsidRPr="008F22F7">
        <w:rPr>
          <w:rFonts w:ascii="Times New Roman" w:eastAsia="新細明體" w:hAnsi="Times New Roman" w:cs="Times New Roman"/>
        </w:rPr>
        <w:t>amplification</w:t>
      </w:r>
      <w:r w:rsidR="00734832" w:rsidRPr="008F22F7">
        <w:rPr>
          <w:rFonts w:ascii="Times New Roman" w:hAnsi="Times New Roman" w:cs="Times New Roman"/>
        </w:rPr>
        <w:t xml:space="preserve"> at 48</w:t>
      </w:r>
      <w:r w:rsidR="00734832" w:rsidRPr="008F22F7">
        <w:rPr>
          <w:rFonts w:ascii="Times New Roman" w:eastAsia="新細明體" w:hAnsi="Times New Roman" w:cs="Times New Roman"/>
        </w:rPr>
        <w:t xml:space="preserve"> °C for </w:t>
      </w:r>
      <w:r w:rsidR="00734832" w:rsidRPr="008F22F7">
        <w:rPr>
          <w:rFonts w:ascii="Times New Roman" w:hAnsi="Times New Roman" w:cs="Times New Roman"/>
        </w:rPr>
        <w:t xml:space="preserve">10 min </w:t>
      </w:r>
      <w:r w:rsidR="00734832" w:rsidRPr="008F22F7">
        <w:rPr>
          <w:rFonts w:ascii="Times New Roman" w:eastAsia="新細明體" w:hAnsi="Times New Roman" w:cs="Times New Roman"/>
        </w:rPr>
        <w:t>and at 95 °C for 10 min, followed by denaturation at 95 °C for 15 min, and then 40 cycles of annealing and extension at 60 °C for 1 min.</w:t>
      </w:r>
    </w:p>
    <w:p w14:paraId="7893B7A7" w14:textId="77777777" w:rsidR="009E07EB" w:rsidRPr="008F22F7" w:rsidRDefault="009E07EB" w:rsidP="009E07EB">
      <w:pPr>
        <w:ind w:firstLine="480"/>
        <w:rPr>
          <w:rFonts w:ascii="Times New Roman" w:hAnsi="Times New Roman" w:cs="Times New Roman"/>
        </w:rPr>
      </w:pPr>
      <w:r w:rsidRPr="008F22F7">
        <w:rPr>
          <w:rFonts w:ascii="Times New Roman" w:hAnsi="Times New Roman" w:cs="Times New Roman"/>
        </w:rPr>
        <w:t>The sensitivity of the qPCR assays was examined in triplicate using 10-fold dilutions of plasmid cDNA, and the standard solution was diluted from 10</w:t>
      </w:r>
      <w:r w:rsidRPr="008F22F7">
        <w:rPr>
          <w:rFonts w:ascii="Times New Roman" w:hAnsi="Times New Roman" w:cs="Times New Roman"/>
          <w:vertAlign w:val="superscript"/>
        </w:rPr>
        <w:t>5</w:t>
      </w:r>
      <w:r w:rsidRPr="008F22F7">
        <w:rPr>
          <w:rFonts w:ascii="Times New Roman" w:hAnsi="Times New Roman" w:cs="Times New Roman"/>
        </w:rPr>
        <w:t xml:space="preserve"> to 10</w:t>
      </w:r>
      <w:r w:rsidRPr="008F22F7">
        <w:rPr>
          <w:rFonts w:ascii="Times New Roman" w:hAnsi="Times New Roman" w:cs="Times New Roman"/>
          <w:vertAlign w:val="superscript"/>
        </w:rPr>
        <w:t>0</w:t>
      </w:r>
      <w:r w:rsidRPr="008F22F7">
        <w:rPr>
          <w:rFonts w:ascii="Times New Roman" w:hAnsi="Times New Roman" w:cs="Times New Roman"/>
        </w:rPr>
        <w:t>. The threshold was set at 10 times the standard deviation of the mean baseline emission calculated for PCR cycles 3–10. The quantity of the product in a given field sample was determined using standard curve of quantification cycle (</w:t>
      </w:r>
      <w:proofErr w:type="spellStart"/>
      <w:r w:rsidRPr="008F22F7">
        <w:rPr>
          <w:rFonts w:ascii="Times New Roman" w:hAnsi="Times New Roman" w:cs="Times New Roman"/>
        </w:rPr>
        <w:t>C</w:t>
      </w:r>
      <w:r w:rsidRPr="008F22F7">
        <w:rPr>
          <w:rFonts w:ascii="Times New Roman" w:hAnsi="Times New Roman" w:cs="Times New Roman"/>
          <w:vertAlign w:val="subscript"/>
        </w:rPr>
        <w:t>q</w:t>
      </w:r>
      <w:proofErr w:type="spellEnd"/>
      <w:r w:rsidRPr="008F22F7">
        <w:rPr>
          <w:rFonts w:ascii="Times New Roman" w:hAnsi="Times New Roman" w:cs="Times New Roman"/>
        </w:rPr>
        <w:t xml:space="preserve">) values in the same run. The calibration curve was linear over five orders of magnitude, with the </w:t>
      </w:r>
      <w:r w:rsidRPr="008F22F7">
        <w:rPr>
          <w:rFonts w:ascii="Times New Roman" w:eastAsia="標楷體" w:hAnsi="Times New Roman" w:cs="Times New Roman"/>
        </w:rPr>
        <w:t>R</w:t>
      </w:r>
      <w:r w:rsidRPr="008F22F7">
        <w:rPr>
          <w:rFonts w:ascii="Times New Roman" w:eastAsia="標楷體" w:hAnsi="Times New Roman" w:cs="Times New Roman"/>
          <w:vertAlign w:val="superscript"/>
        </w:rPr>
        <w:t>2</w:t>
      </w:r>
      <w:r w:rsidRPr="008F22F7">
        <w:rPr>
          <w:rFonts w:ascii="Times New Roman" w:hAnsi="Times New Roman" w:cs="Times New Roman"/>
        </w:rPr>
        <w:t xml:space="preserve"> value being &gt;0.990, slope ranging between −3.3 and −3.4, and efficiency ranging between 96% and 100%. Trip blank and field blank controls were also evaluated for quality control in parallel, with no influenza virus RNA signal being used. Trip blank and field blank samples were evaluated for every 10 air samples, and side-by-side duplicate field samples yielded comparable results, with the relative difference being </w:t>
      </w:r>
      <w:r w:rsidRPr="008F22F7">
        <w:rPr>
          <w:rFonts w:ascii="Times New Roman" w:hAnsi="Times New Roman" w:cs="Times New Roman"/>
        </w:rPr>
        <w:lastRenderedPageBreak/>
        <w:t>9%.</w:t>
      </w:r>
    </w:p>
    <w:p w14:paraId="55F96DB7" w14:textId="77777777" w:rsidR="004732AC" w:rsidRPr="008F22F7" w:rsidRDefault="004732AC" w:rsidP="009E07EB">
      <w:pPr>
        <w:ind w:firstLine="480"/>
        <w:rPr>
          <w:rFonts w:ascii="Times New Roman" w:hAnsi="Times New Roman" w:cs="Times New Roman"/>
        </w:rPr>
      </w:pPr>
      <w:r w:rsidRPr="008F22F7">
        <w:rPr>
          <w:rFonts w:ascii="Times New Roman" w:hAnsi="Times New Roman" w:cs="Times New Roman"/>
        </w:rPr>
        <w:t>The concentrations of airborne influenza viruses were calculated using the following equation: [detected concentration (copies/</w:t>
      </w:r>
      <w:proofErr w:type="spellStart"/>
      <w:r w:rsidRPr="008F22F7">
        <w:rPr>
          <w:rFonts w:ascii="Times New Roman" w:hAnsi="Times New Roman" w:cs="Times New Roman"/>
        </w:rPr>
        <w:t>μL</w:t>
      </w:r>
      <w:proofErr w:type="spellEnd"/>
      <w:r w:rsidRPr="008F22F7">
        <w:rPr>
          <w:rFonts w:ascii="Times New Roman" w:hAnsi="Times New Roman" w:cs="Times New Roman"/>
        </w:rPr>
        <w:t>) × extracted volume (</w:t>
      </w:r>
      <w:proofErr w:type="spellStart"/>
      <w:r w:rsidRPr="008F22F7">
        <w:rPr>
          <w:rFonts w:ascii="Times New Roman" w:hAnsi="Times New Roman" w:cs="Times New Roman"/>
        </w:rPr>
        <w:t>μL</w:t>
      </w:r>
      <w:proofErr w:type="spellEnd"/>
      <w:r w:rsidRPr="008F22F7">
        <w:rPr>
          <w:rFonts w:ascii="Times New Roman" w:hAnsi="Times New Roman" w:cs="Times New Roman"/>
        </w:rPr>
        <w:t>) × 1000 m</w:t>
      </w:r>
      <w:r w:rsidRPr="008F22F7">
        <w:rPr>
          <w:rFonts w:ascii="Times New Roman" w:hAnsi="Times New Roman" w:cs="Times New Roman"/>
          <w:vertAlign w:val="superscript"/>
        </w:rPr>
        <w:t>3</w:t>
      </w:r>
      <w:r w:rsidRPr="008F22F7">
        <w:rPr>
          <w:rFonts w:ascii="Times New Roman" w:hAnsi="Times New Roman" w:cs="Times New Roman"/>
        </w:rPr>
        <w:t>/L]</w:t>
      </w:r>
      <w:proofErr w:type="gramStart"/>
      <w:r w:rsidRPr="008F22F7">
        <w:rPr>
          <w:rFonts w:ascii="Times New Roman" w:hAnsi="Times New Roman" w:cs="Times New Roman"/>
        </w:rPr>
        <w:t>/[</w:t>
      </w:r>
      <w:proofErr w:type="gramEnd"/>
      <w:r w:rsidRPr="008F22F7">
        <w:rPr>
          <w:rFonts w:ascii="Times New Roman" w:hAnsi="Times New Roman" w:cs="Times New Roman"/>
        </w:rPr>
        <w:t>sampling rate (L/min) × sampling duration (min)].</w:t>
      </w:r>
    </w:p>
    <w:p w14:paraId="5CF2DC9F" w14:textId="77777777" w:rsidR="00E94774" w:rsidRPr="008F22F7" w:rsidRDefault="00E94774" w:rsidP="004732AC">
      <w:pPr>
        <w:rPr>
          <w:rFonts w:ascii="Times New Roman" w:hAnsi="Times New Roman" w:cs="Times New Roman"/>
          <w:i/>
        </w:rPr>
      </w:pPr>
    </w:p>
    <w:p w14:paraId="6C06A31D" w14:textId="77777777" w:rsidR="009E07EB" w:rsidRPr="008F22F7" w:rsidRDefault="004732AC" w:rsidP="004732AC">
      <w:pPr>
        <w:rPr>
          <w:rFonts w:ascii="Times New Roman" w:hAnsi="Times New Roman" w:cs="Times New Roman"/>
          <w:i/>
        </w:rPr>
      </w:pPr>
      <w:r w:rsidRPr="008F22F7">
        <w:rPr>
          <w:rFonts w:ascii="Times New Roman" w:hAnsi="Times New Roman" w:cs="Times New Roman"/>
          <w:i/>
        </w:rPr>
        <w:t>Airborne bacteria and fungi</w:t>
      </w:r>
    </w:p>
    <w:p w14:paraId="55AC8A31" w14:textId="77777777" w:rsidR="00FB130A" w:rsidRPr="008F22F7" w:rsidRDefault="00FB130A" w:rsidP="004732AC">
      <w:pPr>
        <w:rPr>
          <w:rFonts w:ascii="Times New Roman" w:hAnsi="Times New Roman" w:cs="Times New Roman"/>
        </w:rPr>
      </w:pPr>
      <w:r w:rsidRPr="008F22F7">
        <w:rPr>
          <w:rFonts w:ascii="Times New Roman" w:hAnsi="Times New Roman" w:cs="Times New Roman"/>
        </w:rPr>
        <w:t xml:space="preserve">After transportation to the laboratory, the TSA plates were placed in an inverted position and incubated at 37 °C for 24 h, and the MEA plates were incubated at 25 °C; the colonies were counted after 48 h </w:t>
      </w:r>
      <w:r w:rsidRPr="008F22F7">
        <w:rPr>
          <w:rFonts w:ascii="Times New Roman" w:hAnsi="Times New Roman" w:cs="Times New Roman"/>
        </w:rPr>
        <w:fldChar w:fldCharType="begin"/>
      </w:r>
      <w:r w:rsidRPr="008F22F7">
        <w:rPr>
          <w:rFonts w:ascii="Times New Roman" w:hAnsi="Times New Roman" w:cs="Times New Roman"/>
        </w:rPr>
        <w:instrText xml:space="preserve"> ADDIN EN.CITE &lt;EndNote&gt;&lt;Cite&gt;&lt;Author&gt;Chi&lt;/Author&gt;&lt;Year&gt;2007&lt;/Year&gt;&lt;RecNum&gt;47&lt;/RecNum&gt;&lt;DisplayText&gt;(Chi and Li 2007)&lt;/DisplayText&gt;&lt;record&gt;&lt;rec-number&gt;47&lt;/rec-number&gt;&lt;foreign-keys&gt;&lt;key app="EN" db-id="fe0drpffoexf9le5tawxtp9o92asree55sf9" timestamp="1644838424"&gt;47&lt;/key&gt;&lt;/foreign-keys&gt;&lt;ref-type name="Journal Article"&gt;17&lt;/ref-type&gt;&lt;contributors&gt;&lt;authors&gt;&lt;author&gt;Chi, Miao-Ching&lt;/author&gt;&lt;author&gt;Li, Chih-Shan&lt;/author&gt;&lt;/authors&gt;&lt;/contributors&gt;&lt;titles&gt;&lt;title&gt;Fluorochrome in monitoring atmospheric bioaerosols and correlations with meteorological factors and air pollutants&lt;/title&gt;&lt;secondary-title&gt;Aerosol Science and Technology&lt;/secondary-title&gt;&lt;/titles&gt;&lt;periodical&gt;&lt;full-title&gt;Aerosol Science and Technology&lt;/full-title&gt;&lt;/periodical&gt;&lt;pages&gt;672-678&lt;/pages&gt;&lt;volume&gt;41&lt;/volume&gt;&lt;number&gt;7&lt;/number&gt;&lt;dates&gt;&lt;year&gt;2007&lt;/year&gt;&lt;/dates&gt;&lt;isbn&gt;0278-6826&lt;/isbn&gt;&lt;urls&gt;&lt;/urls&gt;&lt;/record&gt;&lt;/Cite&gt;&lt;/EndNote&gt;</w:instrText>
      </w:r>
      <w:r w:rsidRPr="008F22F7">
        <w:rPr>
          <w:rFonts w:ascii="Times New Roman" w:hAnsi="Times New Roman" w:cs="Times New Roman"/>
        </w:rPr>
        <w:fldChar w:fldCharType="separate"/>
      </w:r>
      <w:r w:rsidRPr="008F22F7">
        <w:rPr>
          <w:rFonts w:ascii="Times New Roman" w:hAnsi="Times New Roman" w:cs="Times New Roman"/>
          <w:noProof/>
        </w:rPr>
        <w:t>(Chi and Li 2007)</w:t>
      </w:r>
      <w:r w:rsidRPr="008F22F7">
        <w:rPr>
          <w:rFonts w:ascii="Times New Roman" w:hAnsi="Times New Roman" w:cs="Times New Roman"/>
        </w:rPr>
        <w:fldChar w:fldCharType="end"/>
      </w:r>
      <w:r w:rsidRPr="008F22F7">
        <w:rPr>
          <w:rFonts w:ascii="Times New Roman" w:hAnsi="Times New Roman" w:cs="Times New Roman"/>
        </w:rPr>
        <w:t xml:space="preserve">. The actual colony count per each culture plate was corrected using the positive hole correction table from Operator’s manual MAS-100 </w:t>
      </w:r>
      <w:r w:rsidRPr="008F22F7">
        <w:rPr>
          <w:rFonts w:ascii="Times New Roman" w:hAnsi="Times New Roman" w:cs="Times New Roman"/>
        </w:rPr>
        <w:fldChar w:fldCharType="begin"/>
      </w:r>
      <w:r w:rsidRPr="008F22F7">
        <w:rPr>
          <w:rFonts w:ascii="Times New Roman" w:hAnsi="Times New Roman" w:cs="Times New Roman"/>
        </w:rPr>
        <w:instrText xml:space="preserve"> ADDIN EN.CITE &lt;EndNote&gt;&lt;Cite&gt;&lt;Author&gt;Stec&lt;/Author&gt;&lt;Year&gt;2019&lt;/Year&gt;&lt;RecNum&gt;81&lt;/RecNum&gt;&lt;DisplayText&gt;(Stec and Lenart-Boroń 2019)&lt;/DisplayText&gt;&lt;record&gt;&lt;rec-number&gt;81&lt;/rec-number&gt;&lt;foreign-keys&gt;&lt;key app="EN" db-id="fe0drpffoexf9le5tawxtp9o92asree55sf9" timestamp="1667272677"&gt;81&lt;/key&gt;&lt;/foreign-keys&gt;&lt;ref-type name="Journal Article"&gt;17&lt;/ref-type&gt;&lt;contributors&gt;&lt;authors&gt;&lt;author&gt;Stec, J.&lt;/author&gt;&lt;author&gt;Lenart-Boroń, A.&lt;/author&gt;&lt;/authors&gt;&lt;/contributors&gt;&lt;auth-address&gt;Faculty of Biotechnology and Horticulture, University of Agriculture in Krakow, Krakow, Poland.&amp;#xD;Department of Microbiology, Faculty of Agriculture and Economics, University of Agriculture in Krakow, Krakow, Poland.&lt;/auth-address&gt;&lt;titles&gt;&lt;title&gt;Assessment of microbiological aerosol concentration in selected healthcare facilities in southern Poland&lt;/title&gt;&lt;secondary-title&gt;Cent Eur J Public Health&lt;/secondary-title&gt;&lt;/titles&gt;&lt;periodical&gt;&lt;full-title&gt;Cent Eur J Public Health&lt;/full-title&gt;&lt;/periodical&gt;&lt;pages&gt;239-244&lt;/pages&gt;&lt;volume&gt;27&lt;/volume&gt;&lt;number&gt;3&lt;/number&gt;&lt;edition&gt;2019/10/04&lt;/edition&gt;&lt;keywords&gt;&lt;keyword&gt;Aerosols&lt;/keyword&gt;&lt;keyword&gt;*Air Microbiology&lt;/keyword&gt;&lt;keyword&gt;Air Pollutants, Occupational/analysis&lt;/keyword&gt;&lt;keyword&gt;Fungi&lt;/keyword&gt;&lt;keyword&gt;Humans&lt;/keyword&gt;&lt;keyword&gt;*Occupational Exposure/analysis&lt;/keyword&gt;&lt;keyword&gt;Poland&lt;/keyword&gt;&lt;keyword&gt;Staphylococcus spp.&lt;/keyword&gt;&lt;keyword&gt;airborne microorganisms&lt;/keyword&gt;&lt;keyword&gt;bioaerosol&lt;/keyword&gt;&lt;keyword&gt;healthcare facilities&lt;/keyword&gt;&lt;keyword&gt;microbial aerosol&lt;/keyword&gt;&lt;/keywords&gt;&lt;dates&gt;&lt;year&gt;2019&lt;/year&gt;&lt;pub-dates&gt;&lt;date&gt;Sep&lt;/date&gt;&lt;/pub-dates&gt;&lt;/dates&gt;&lt;isbn&gt;1210-7778 (Print)&amp;#xD;1210-7778&lt;/isbn&gt;&lt;accession-num&gt;31580561&lt;/accession-num&gt;&lt;urls&gt;&lt;/urls&gt;&lt;electronic-resource-num&gt;10.21101/cejph.a5681&lt;/electronic-resource-num&gt;&lt;remote-database-provider&gt;NLM&lt;/remote-database-provider&gt;&lt;language&gt;eng&lt;/language&gt;&lt;/record&gt;&lt;/Cite&gt;&lt;/EndNote&gt;</w:instrText>
      </w:r>
      <w:r w:rsidRPr="008F22F7">
        <w:rPr>
          <w:rFonts w:ascii="Times New Roman" w:hAnsi="Times New Roman" w:cs="Times New Roman"/>
        </w:rPr>
        <w:fldChar w:fldCharType="separate"/>
      </w:r>
      <w:r w:rsidRPr="008F22F7">
        <w:rPr>
          <w:rFonts w:ascii="Times New Roman" w:hAnsi="Times New Roman" w:cs="Times New Roman"/>
          <w:noProof/>
        </w:rPr>
        <w:t>(Stec and Lenart-Boroń 2019)</w:t>
      </w:r>
      <w:r w:rsidRPr="008F22F7">
        <w:rPr>
          <w:rFonts w:ascii="Times New Roman" w:hAnsi="Times New Roman" w:cs="Times New Roman"/>
        </w:rPr>
        <w:fldChar w:fldCharType="end"/>
      </w:r>
      <w:r w:rsidRPr="008F22F7">
        <w:rPr>
          <w:rFonts w:ascii="Times New Roman" w:hAnsi="Times New Roman" w:cs="Times New Roman"/>
        </w:rPr>
        <w:t>.</w:t>
      </w:r>
      <w:r w:rsidR="00E94774" w:rsidRPr="008F22F7">
        <w:rPr>
          <w:rFonts w:ascii="Times New Roman" w:hAnsi="Times New Roman" w:cs="Times New Roman"/>
        </w:rPr>
        <w:t xml:space="preserve"> The concentrations of airborne bacterial and fungal bioaerosols are expressed herein as colony-forming units per cubic meter (CFU/m</w:t>
      </w:r>
      <w:r w:rsidR="00E94774" w:rsidRPr="008F22F7">
        <w:rPr>
          <w:rFonts w:ascii="Times New Roman" w:hAnsi="Times New Roman" w:cs="Times New Roman"/>
          <w:vertAlign w:val="superscript"/>
        </w:rPr>
        <w:t>3</w:t>
      </w:r>
      <w:r w:rsidR="00E94774" w:rsidRPr="008F22F7">
        <w:rPr>
          <w:rFonts w:ascii="Times New Roman" w:hAnsi="Times New Roman" w:cs="Times New Roman"/>
        </w:rPr>
        <w:t>).</w:t>
      </w:r>
    </w:p>
    <w:p w14:paraId="573E60FA" w14:textId="77777777" w:rsidR="004979F0" w:rsidRPr="008F22F7" w:rsidRDefault="004979F0" w:rsidP="004732AC">
      <w:pPr>
        <w:rPr>
          <w:rFonts w:ascii="Times New Roman" w:hAnsi="Times New Roman" w:cs="Times New Roman"/>
        </w:rPr>
        <w:sectPr w:rsidR="004979F0" w:rsidRPr="008F22F7">
          <w:footerReference w:type="default" r:id="rId7"/>
          <w:pgSz w:w="11906" w:h="16838"/>
          <w:pgMar w:top="1440" w:right="1800" w:bottom="1440" w:left="1800" w:header="851" w:footer="992" w:gutter="0"/>
          <w:cols w:space="425"/>
          <w:docGrid w:type="lines" w:linePitch="360"/>
        </w:sectPr>
      </w:pPr>
    </w:p>
    <w:p w14:paraId="0F1B353C" w14:textId="77777777" w:rsidR="004979F0" w:rsidRPr="008F22F7" w:rsidRDefault="004979F0" w:rsidP="00751969">
      <w:pPr>
        <w:outlineLvl w:val="0"/>
        <w:rPr>
          <w:rFonts w:ascii="Times New Roman" w:hAnsi="Times New Roman" w:cs="Times New Roman"/>
        </w:rPr>
      </w:pPr>
      <w:bookmarkStart w:id="2" w:name="_Toc121209212"/>
      <w:r w:rsidRPr="008F22F7">
        <w:rPr>
          <w:rFonts w:ascii="Times New Roman" w:hAnsi="Times New Roman" w:cs="Times New Roman"/>
        </w:rPr>
        <w:lastRenderedPageBreak/>
        <w:t>Table S1. Primer and probe used for the amplification and detection</w:t>
      </w:r>
      <w:r w:rsidRPr="008F22F7" w:rsidDel="002B67BA">
        <w:rPr>
          <w:rFonts w:ascii="Times New Roman" w:hAnsi="Times New Roman" w:cs="Times New Roman"/>
        </w:rPr>
        <w:t xml:space="preserve"> </w:t>
      </w:r>
      <w:r w:rsidRPr="008F22F7">
        <w:rPr>
          <w:rFonts w:ascii="Times New Roman" w:hAnsi="Times New Roman" w:cs="Times New Roman"/>
        </w:rPr>
        <w:t>of influenza A virus and influenza B virus</w:t>
      </w:r>
      <w:bookmarkEnd w:id="2"/>
    </w:p>
    <w:tbl>
      <w:tblPr>
        <w:tblW w:w="5000" w:type="pct"/>
        <w:tblLook w:val="04A0" w:firstRow="1" w:lastRow="0" w:firstColumn="1" w:lastColumn="0" w:noHBand="0" w:noVBand="1"/>
      </w:tblPr>
      <w:tblGrid>
        <w:gridCol w:w="1189"/>
        <w:gridCol w:w="1033"/>
        <w:gridCol w:w="5622"/>
        <w:gridCol w:w="4757"/>
        <w:gridCol w:w="1357"/>
      </w:tblGrid>
      <w:tr w:rsidR="004979F0" w:rsidRPr="008F22F7" w14:paraId="0D800EC2" w14:textId="77777777" w:rsidTr="004979F0">
        <w:trPr>
          <w:trHeight w:val="465"/>
        </w:trPr>
        <w:tc>
          <w:tcPr>
            <w:tcW w:w="426" w:type="pct"/>
            <w:tcBorders>
              <w:top w:val="thickThinSmallGap" w:sz="24" w:space="0" w:color="auto"/>
              <w:bottom w:val="single" w:sz="4" w:space="0" w:color="auto"/>
            </w:tcBorders>
            <w:vAlign w:val="center"/>
          </w:tcPr>
          <w:p w14:paraId="21D5ED2E" w14:textId="77777777" w:rsidR="004979F0" w:rsidRPr="008F22F7" w:rsidRDefault="004979F0" w:rsidP="00CF0F01">
            <w:pPr>
              <w:pBdr>
                <w:top w:val="nil"/>
                <w:left w:val="nil"/>
                <w:bottom w:val="nil"/>
                <w:right w:val="nil"/>
                <w:between w:val="nil"/>
                <w:bar w:val="nil"/>
              </w:pBdr>
              <w:jc w:val="center"/>
              <w:rPr>
                <w:rFonts w:ascii="Times New Roman" w:eastAsia="Arial Unicode MS" w:hAnsi="Times New Roman" w:cs="Times New Roman"/>
                <w:kern w:val="0"/>
                <w:szCs w:val="24"/>
                <w:u w:color="000000"/>
                <w:bdr w:val="nil"/>
              </w:rPr>
            </w:pPr>
            <w:r w:rsidRPr="008F22F7">
              <w:rPr>
                <w:rFonts w:ascii="Times New Roman" w:eastAsia="Arial Unicode MS" w:hAnsi="Times New Roman" w:cs="Times New Roman"/>
                <w:kern w:val="0"/>
                <w:szCs w:val="24"/>
                <w:u w:color="000000"/>
                <w:bdr w:val="nil"/>
              </w:rPr>
              <w:t>Type of virus</w:t>
            </w:r>
          </w:p>
        </w:tc>
        <w:tc>
          <w:tcPr>
            <w:tcW w:w="2384" w:type="pct"/>
            <w:gridSpan w:val="2"/>
            <w:tcBorders>
              <w:top w:val="thickThinSmallGap" w:sz="24" w:space="0" w:color="auto"/>
              <w:bottom w:val="single" w:sz="4" w:space="0" w:color="auto"/>
            </w:tcBorders>
            <w:vAlign w:val="center"/>
          </w:tcPr>
          <w:p w14:paraId="26F8C1E6" w14:textId="77777777" w:rsidR="004979F0" w:rsidRPr="008F22F7" w:rsidRDefault="004979F0" w:rsidP="00CF0F01">
            <w:pPr>
              <w:pBdr>
                <w:top w:val="nil"/>
                <w:left w:val="nil"/>
                <w:bottom w:val="nil"/>
                <w:right w:val="nil"/>
                <w:between w:val="nil"/>
                <w:bar w:val="nil"/>
              </w:pBdr>
              <w:jc w:val="center"/>
              <w:rPr>
                <w:rFonts w:ascii="Times New Roman" w:eastAsia="Arial Unicode MS" w:hAnsi="Times New Roman" w:cs="Times New Roman"/>
                <w:kern w:val="0"/>
                <w:szCs w:val="24"/>
                <w:u w:color="000000"/>
                <w:bdr w:val="nil"/>
              </w:rPr>
            </w:pPr>
            <w:r w:rsidRPr="008F22F7">
              <w:rPr>
                <w:rFonts w:ascii="Times New Roman" w:eastAsia="Arial Unicode MS" w:hAnsi="Times New Roman" w:cs="Times New Roman"/>
                <w:kern w:val="0"/>
                <w:szCs w:val="24"/>
                <w:u w:color="000000"/>
                <w:bdr w:val="nil"/>
              </w:rPr>
              <w:t>primer</w:t>
            </w:r>
          </w:p>
        </w:tc>
        <w:tc>
          <w:tcPr>
            <w:tcW w:w="1704" w:type="pct"/>
            <w:tcBorders>
              <w:top w:val="thickThinSmallGap" w:sz="24" w:space="0" w:color="auto"/>
              <w:bottom w:val="single" w:sz="4" w:space="0" w:color="auto"/>
            </w:tcBorders>
            <w:vAlign w:val="center"/>
          </w:tcPr>
          <w:p w14:paraId="30335345" w14:textId="77777777" w:rsidR="004979F0" w:rsidRPr="008F22F7" w:rsidRDefault="004979F0" w:rsidP="00CF0F01">
            <w:pPr>
              <w:pBdr>
                <w:top w:val="nil"/>
                <w:left w:val="nil"/>
                <w:bottom w:val="nil"/>
                <w:right w:val="nil"/>
                <w:between w:val="nil"/>
                <w:bar w:val="nil"/>
              </w:pBdr>
              <w:jc w:val="center"/>
              <w:rPr>
                <w:rFonts w:ascii="Times New Roman" w:eastAsia="Arial Unicode MS" w:hAnsi="Times New Roman" w:cs="Times New Roman"/>
                <w:kern w:val="0"/>
                <w:szCs w:val="24"/>
                <w:u w:color="000000"/>
                <w:bdr w:val="nil"/>
              </w:rPr>
            </w:pPr>
            <w:r w:rsidRPr="008F22F7">
              <w:rPr>
                <w:rFonts w:ascii="Times New Roman" w:eastAsia="Arial Unicode MS" w:hAnsi="Times New Roman" w:cs="Times New Roman"/>
                <w:kern w:val="0"/>
                <w:szCs w:val="24"/>
                <w:u w:color="000000"/>
                <w:bdr w:val="nil"/>
              </w:rPr>
              <w:t>probe</w:t>
            </w:r>
          </w:p>
        </w:tc>
        <w:tc>
          <w:tcPr>
            <w:tcW w:w="486" w:type="pct"/>
            <w:tcBorders>
              <w:top w:val="thickThinSmallGap" w:sz="24" w:space="0" w:color="auto"/>
              <w:bottom w:val="single" w:sz="4" w:space="0" w:color="auto"/>
            </w:tcBorders>
            <w:vAlign w:val="center"/>
          </w:tcPr>
          <w:p w14:paraId="3C0E592E" w14:textId="77777777" w:rsidR="004979F0" w:rsidRPr="008F22F7" w:rsidRDefault="004979F0" w:rsidP="00CF0F01">
            <w:pPr>
              <w:pBdr>
                <w:top w:val="nil"/>
                <w:left w:val="nil"/>
                <w:bottom w:val="nil"/>
                <w:right w:val="nil"/>
                <w:between w:val="nil"/>
                <w:bar w:val="nil"/>
              </w:pBdr>
              <w:jc w:val="center"/>
              <w:rPr>
                <w:rFonts w:ascii="Times New Roman" w:eastAsia="Arial Unicode MS" w:hAnsi="Times New Roman" w:cs="Times New Roman"/>
                <w:kern w:val="0"/>
                <w:szCs w:val="24"/>
                <w:u w:color="000000"/>
                <w:bdr w:val="nil"/>
              </w:rPr>
            </w:pPr>
            <w:r w:rsidRPr="008F22F7">
              <w:rPr>
                <w:rFonts w:ascii="Times New Roman" w:eastAsia="Arial Unicode MS" w:hAnsi="Times New Roman" w:cs="Times New Roman"/>
                <w:kern w:val="0"/>
                <w:szCs w:val="24"/>
                <w:u w:color="000000"/>
                <w:bdr w:val="nil"/>
              </w:rPr>
              <w:t>Reference</w:t>
            </w:r>
          </w:p>
        </w:tc>
      </w:tr>
      <w:tr w:rsidR="004979F0" w:rsidRPr="008F22F7" w14:paraId="1314CFA3" w14:textId="77777777" w:rsidTr="004979F0">
        <w:trPr>
          <w:trHeight w:val="144"/>
        </w:trPr>
        <w:tc>
          <w:tcPr>
            <w:tcW w:w="426" w:type="pct"/>
            <w:vMerge w:val="restart"/>
            <w:tcBorders>
              <w:top w:val="single" w:sz="4" w:space="0" w:color="auto"/>
            </w:tcBorders>
            <w:vAlign w:val="center"/>
          </w:tcPr>
          <w:p w14:paraId="04C2E22D" w14:textId="77777777" w:rsidR="004979F0" w:rsidRPr="008F22F7" w:rsidRDefault="004979F0" w:rsidP="00CF0F01">
            <w:pPr>
              <w:pBdr>
                <w:top w:val="nil"/>
                <w:left w:val="nil"/>
                <w:bottom w:val="nil"/>
                <w:right w:val="nil"/>
                <w:between w:val="nil"/>
                <w:bar w:val="nil"/>
              </w:pBdr>
              <w:jc w:val="center"/>
              <w:rPr>
                <w:rFonts w:ascii="Times New Roman" w:eastAsia="Arial Unicode MS" w:hAnsi="Times New Roman" w:cs="Times New Roman"/>
                <w:kern w:val="0"/>
                <w:szCs w:val="24"/>
                <w:u w:color="000000"/>
                <w:bdr w:val="nil"/>
              </w:rPr>
            </w:pPr>
            <w:proofErr w:type="spellStart"/>
            <w:r w:rsidRPr="008F22F7">
              <w:rPr>
                <w:rFonts w:ascii="Times New Roman" w:eastAsia="Arial Unicode MS" w:hAnsi="Times New Roman" w:cs="Times New Roman"/>
                <w:kern w:val="0"/>
                <w:szCs w:val="24"/>
                <w:u w:color="000000"/>
                <w:bdr w:val="nil"/>
              </w:rPr>
              <w:t>Influ</w:t>
            </w:r>
            <w:proofErr w:type="spellEnd"/>
            <w:r w:rsidRPr="008F22F7">
              <w:rPr>
                <w:rFonts w:ascii="Times New Roman" w:eastAsia="Arial Unicode MS" w:hAnsi="Times New Roman" w:cs="Times New Roman"/>
                <w:kern w:val="0"/>
                <w:szCs w:val="24"/>
                <w:u w:color="000000"/>
                <w:bdr w:val="nil"/>
              </w:rPr>
              <w:t>-A</w:t>
            </w:r>
          </w:p>
        </w:tc>
        <w:tc>
          <w:tcPr>
            <w:tcW w:w="370" w:type="pct"/>
            <w:tcBorders>
              <w:top w:val="single" w:sz="4" w:space="0" w:color="auto"/>
            </w:tcBorders>
            <w:vAlign w:val="center"/>
          </w:tcPr>
          <w:p w14:paraId="436B8694" w14:textId="77777777" w:rsidR="004979F0" w:rsidRPr="008F22F7" w:rsidRDefault="004979F0" w:rsidP="00CF0F01">
            <w:pPr>
              <w:pBdr>
                <w:top w:val="nil"/>
                <w:left w:val="nil"/>
                <w:bottom w:val="nil"/>
                <w:right w:val="nil"/>
                <w:between w:val="nil"/>
                <w:bar w:val="nil"/>
              </w:pBdr>
              <w:jc w:val="center"/>
              <w:rPr>
                <w:rFonts w:ascii="Times New Roman" w:eastAsia="Arial Unicode MS" w:hAnsi="Times New Roman" w:cs="Times New Roman"/>
                <w:kern w:val="0"/>
                <w:szCs w:val="24"/>
                <w:u w:color="000000"/>
                <w:bdr w:val="nil"/>
              </w:rPr>
            </w:pPr>
            <w:r w:rsidRPr="008F22F7">
              <w:rPr>
                <w:rFonts w:ascii="Times New Roman" w:eastAsia="Arial Unicode MS" w:hAnsi="Times New Roman" w:cs="Times New Roman"/>
                <w:kern w:val="0"/>
                <w:szCs w:val="24"/>
                <w:u w:color="000000"/>
                <w:bdr w:val="nil"/>
              </w:rPr>
              <w:t>Forward</w:t>
            </w:r>
          </w:p>
        </w:tc>
        <w:tc>
          <w:tcPr>
            <w:tcW w:w="2013" w:type="pct"/>
            <w:tcBorders>
              <w:top w:val="single" w:sz="4" w:space="0" w:color="auto"/>
            </w:tcBorders>
            <w:vAlign w:val="center"/>
          </w:tcPr>
          <w:p w14:paraId="0F16B861" w14:textId="77777777" w:rsidR="004979F0" w:rsidRPr="008F22F7" w:rsidRDefault="004979F0" w:rsidP="00CF0F01">
            <w:pPr>
              <w:pBdr>
                <w:top w:val="nil"/>
                <w:left w:val="nil"/>
                <w:bottom w:val="nil"/>
                <w:right w:val="nil"/>
                <w:between w:val="nil"/>
                <w:bar w:val="nil"/>
              </w:pBdr>
              <w:jc w:val="center"/>
              <w:rPr>
                <w:rFonts w:ascii="Times New Roman" w:eastAsia="Arial Unicode MS" w:hAnsi="Times New Roman" w:cs="Times New Roman"/>
                <w:kern w:val="0"/>
                <w:szCs w:val="24"/>
                <w:u w:color="000000"/>
                <w:bdr w:val="nil"/>
              </w:rPr>
            </w:pPr>
            <w:r w:rsidRPr="008F22F7">
              <w:rPr>
                <w:rFonts w:ascii="Times New Roman" w:eastAsia="Arial Unicode MS" w:hAnsi="Times New Roman" w:cs="Times New Roman"/>
                <w:kern w:val="0"/>
                <w:szCs w:val="24"/>
                <w:u w:color="000000"/>
                <w:bdr w:val="nil"/>
              </w:rPr>
              <w:t>5’ GGACTGCAGCGGAGTCGCTT</w:t>
            </w:r>
          </w:p>
          <w:p w14:paraId="75AC2831" w14:textId="77777777" w:rsidR="004979F0" w:rsidRPr="008F22F7" w:rsidRDefault="004979F0" w:rsidP="00CF0F01">
            <w:pPr>
              <w:pBdr>
                <w:top w:val="nil"/>
                <w:left w:val="nil"/>
                <w:bottom w:val="nil"/>
                <w:right w:val="nil"/>
                <w:between w:val="nil"/>
                <w:bar w:val="nil"/>
              </w:pBdr>
              <w:jc w:val="center"/>
              <w:rPr>
                <w:rFonts w:ascii="Times New Roman" w:eastAsia="Arial Unicode MS" w:hAnsi="Times New Roman" w:cs="Times New Roman"/>
                <w:kern w:val="0"/>
                <w:szCs w:val="24"/>
                <w:u w:color="000000"/>
                <w:bdr w:val="nil"/>
              </w:rPr>
            </w:pPr>
            <w:r w:rsidRPr="008F22F7">
              <w:rPr>
                <w:rFonts w:ascii="Times New Roman" w:eastAsia="Arial Unicode MS" w:hAnsi="Times New Roman" w:cs="Times New Roman"/>
                <w:kern w:val="0"/>
                <w:szCs w:val="24"/>
                <w:u w:color="000000"/>
                <w:bdr w:val="nil"/>
              </w:rPr>
              <w:t>5’ CATCCTGTTGGATATGTGGCCCAT</w:t>
            </w:r>
          </w:p>
        </w:tc>
        <w:tc>
          <w:tcPr>
            <w:tcW w:w="1704" w:type="pct"/>
            <w:vMerge w:val="restart"/>
            <w:tcBorders>
              <w:top w:val="single" w:sz="4" w:space="0" w:color="auto"/>
            </w:tcBorders>
            <w:vAlign w:val="center"/>
          </w:tcPr>
          <w:p w14:paraId="688EE087" w14:textId="77777777" w:rsidR="004979F0" w:rsidRPr="008F22F7" w:rsidRDefault="004979F0" w:rsidP="00CF0F01">
            <w:pPr>
              <w:pBdr>
                <w:top w:val="nil"/>
                <w:left w:val="nil"/>
                <w:bottom w:val="nil"/>
                <w:right w:val="nil"/>
                <w:between w:val="nil"/>
                <w:bar w:val="nil"/>
              </w:pBdr>
              <w:jc w:val="center"/>
              <w:rPr>
                <w:rFonts w:ascii="Times New Roman" w:eastAsia="Arial Unicode MS" w:hAnsi="Times New Roman" w:cs="Times New Roman"/>
                <w:kern w:val="0"/>
                <w:sz w:val="22"/>
                <w:szCs w:val="24"/>
                <w:u w:color="000000"/>
                <w:bdr w:val="nil"/>
              </w:rPr>
            </w:pPr>
            <w:r w:rsidRPr="008F22F7">
              <w:rPr>
                <w:rFonts w:ascii="Times New Roman" w:eastAsia="Arial Unicode MS" w:hAnsi="Times New Roman" w:cs="Times New Roman"/>
                <w:kern w:val="0"/>
                <w:sz w:val="22"/>
                <w:szCs w:val="24"/>
                <w:u w:color="000000"/>
                <w:bdr w:val="nil"/>
              </w:rPr>
              <w:t>5’FAM-CTCAGTAATTGTGCTGGTGCACCTGCCA-TAMRA</w:t>
            </w:r>
          </w:p>
        </w:tc>
        <w:tc>
          <w:tcPr>
            <w:tcW w:w="486" w:type="pct"/>
            <w:vMerge w:val="restart"/>
            <w:tcBorders>
              <w:top w:val="single" w:sz="4" w:space="0" w:color="auto"/>
            </w:tcBorders>
            <w:vAlign w:val="center"/>
          </w:tcPr>
          <w:p w14:paraId="4C487747" w14:textId="77777777" w:rsidR="004979F0" w:rsidRPr="008F22F7" w:rsidRDefault="004979F0" w:rsidP="00CF0F01">
            <w:pPr>
              <w:pBdr>
                <w:top w:val="nil"/>
                <w:left w:val="nil"/>
                <w:bottom w:val="nil"/>
                <w:right w:val="nil"/>
                <w:between w:val="nil"/>
                <w:bar w:val="nil"/>
              </w:pBdr>
              <w:jc w:val="center"/>
              <w:rPr>
                <w:rFonts w:ascii="Times New Roman" w:eastAsia="Arial Unicode MS" w:hAnsi="Times New Roman" w:cs="Times New Roman"/>
                <w:kern w:val="0"/>
                <w:szCs w:val="24"/>
                <w:u w:color="000000"/>
                <w:bdr w:val="nil"/>
              </w:rPr>
            </w:pPr>
            <w:r w:rsidRPr="008F22F7">
              <w:rPr>
                <w:rFonts w:ascii="Times New Roman" w:eastAsia="Arial Unicode MS" w:hAnsi="Times New Roman" w:cs="Times New Roman"/>
                <w:kern w:val="0"/>
                <w:szCs w:val="24"/>
                <w:u w:color="000000"/>
                <w:bdr w:val="nil"/>
              </w:rPr>
              <w:fldChar w:fldCharType="begin"/>
            </w:r>
            <w:r w:rsidRPr="008F22F7">
              <w:rPr>
                <w:rFonts w:ascii="Times New Roman" w:eastAsia="Arial Unicode MS" w:hAnsi="Times New Roman" w:cs="Times New Roman"/>
                <w:kern w:val="0"/>
                <w:szCs w:val="24"/>
                <w:u w:color="000000"/>
                <w:bdr w:val="nil"/>
              </w:rPr>
              <w:instrText xml:space="preserve"> ADDIN EN.CITE &lt;EndNote&gt;&lt;Cite&gt;&lt;Author&gt;van Elden&lt;/Author&gt;&lt;Year&gt;2001&lt;/Year&gt;&lt;RecNum&gt;36&lt;/RecNum&gt;&lt;DisplayText&gt;(van Elden et al., 2001)&lt;/DisplayText&gt;&lt;record&gt;&lt;rec-number&gt;36&lt;/rec-number&gt;&lt;foreign-keys&gt;&lt;key app="EN" db-id="fe0drpffoexf9le5tawxtp9o92asree55sf9" timestamp="1644368106"&gt;36&lt;/key&gt;&lt;/foreign-keys&gt;&lt;ref-type name="Journal Article"&gt;17&lt;/ref-type&gt;&lt;contributors&gt;&lt;authors&gt;&lt;author&gt;van Elden, L. J.&lt;/author&gt;&lt;author&gt;Nijhuis, M.&lt;/author&gt;&lt;author&gt;Schipper, P.&lt;/author&gt;&lt;author&gt;Schuurman, R.&lt;/author&gt;&lt;author&gt;van Loon, A. M.&lt;/author&gt;&lt;/authors&gt;&lt;/contributors&gt;&lt;auth-address&gt;Department of Virology, University Medical Center Utrecht, Utrecht, The Netherlands. l.vanelden@digd.azu.nl&lt;/auth-address&gt;&lt;titles&gt;&lt;title&gt;Simultaneous detection of influenza viruses A and B using real-time quantitative PCR&lt;/title&gt;&lt;secondary-title&gt;J Clin Microbiol&lt;/secondary-title&gt;&lt;/titles&gt;&lt;periodical&gt;&lt;full-title&gt;J Clin Microbiol&lt;/full-title&gt;&lt;/periodical&gt;&lt;pages&gt;196-200&lt;/pages&gt;&lt;volume&gt;39&lt;/volume&gt;&lt;number&gt;1&lt;/number&gt;&lt;keywords&gt;&lt;keyword&gt;Follow-Up Studies&lt;/keyword&gt;&lt;keyword&gt;Humans&lt;/keyword&gt;&lt;keyword&gt;Influenza A virus/genetics/*isolation &amp;amp; purification&lt;/keyword&gt;&lt;keyword&gt;Influenza B virus/genetics/*isolation &amp;amp; purification&lt;/keyword&gt;&lt;keyword&gt;Influenza, Human/*diagnosis/*virology&lt;/keyword&gt;&lt;keyword&gt;Polymerase Chain Reaction/*methods&lt;/keyword&gt;&lt;keyword&gt;RNA, Viral/analysis&lt;/keyword&gt;&lt;keyword&gt;Reverse Transcriptase Polymerase Chain Reaction&lt;/keyword&gt;&lt;keyword&gt;Sensitivity and Specificity&lt;/keyword&gt;&lt;keyword&gt;Taq Polymerase/metabolism&lt;/keyword&gt;&lt;keyword&gt;Virus Cultivation/methods&lt;/keyword&gt;&lt;/keywords&gt;&lt;dates&gt;&lt;year&gt;2001&lt;/year&gt;&lt;pub-dates&gt;&lt;date&gt;Jan&lt;/date&gt;&lt;/pub-dates&gt;&lt;/dates&gt;&lt;isbn&gt;0095-1137 (Print)&amp;#xD;0095-1137&lt;/isbn&gt;&lt;accession-num&gt;11136770&lt;/accession-num&gt;&lt;urls&gt;&lt;related-urls&gt;&lt;url&gt;https://www.ncbi.nlm.nih.gov/pmc/articles/PMC87701/pdf/jm000196.pdf&lt;/url&gt;&lt;/related-urls&gt;&lt;/urls&gt;&lt;custom2&gt;PMC87701&lt;/custom2&gt;&lt;electronic-resource-num&gt;10.1128/jcm.39.1.196-200.2001&lt;/electronic-resource-num&gt;&lt;remote-database-provider&gt;NLM&lt;/remote-database-provider&gt;&lt;language&gt;eng&lt;/language&gt;&lt;/record&gt;&lt;/Cite&gt;&lt;/EndNote&gt;</w:instrText>
            </w:r>
            <w:r w:rsidRPr="008F22F7">
              <w:rPr>
                <w:rFonts w:ascii="Times New Roman" w:eastAsia="Arial Unicode MS" w:hAnsi="Times New Roman" w:cs="Times New Roman"/>
                <w:kern w:val="0"/>
                <w:szCs w:val="24"/>
                <w:u w:color="000000"/>
                <w:bdr w:val="nil"/>
              </w:rPr>
              <w:fldChar w:fldCharType="separate"/>
            </w:r>
            <w:r w:rsidRPr="008F22F7">
              <w:rPr>
                <w:rFonts w:ascii="Times New Roman" w:eastAsia="Arial Unicode MS" w:hAnsi="Times New Roman" w:cs="Times New Roman"/>
                <w:noProof/>
                <w:kern w:val="0"/>
                <w:szCs w:val="24"/>
                <w:u w:color="000000"/>
                <w:bdr w:val="nil"/>
              </w:rPr>
              <w:t>(van Elden et al., 2001)</w:t>
            </w:r>
            <w:r w:rsidRPr="008F22F7">
              <w:rPr>
                <w:rFonts w:ascii="Times New Roman" w:eastAsia="Arial Unicode MS" w:hAnsi="Times New Roman" w:cs="Times New Roman"/>
                <w:kern w:val="0"/>
                <w:szCs w:val="24"/>
                <w:u w:color="000000"/>
                <w:bdr w:val="nil"/>
              </w:rPr>
              <w:fldChar w:fldCharType="end"/>
            </w:r>
          </w:p>
        </w:tc>
      </w:tr>
      <w:tr w:rsidR="004979F0" w:rsidRPr="008F22F7" w14:paraId="7CE91F7B" w14:textId="77777777" w:rsidTr="004979F0">
        <w:trPr>
          <w:trHeight w:val="142"/>
        </w:trPr>
        <w:tc>
          <w:tcPr>
            <w:tcW w:w="426" w:type="pct"/>
            <w:vMerge/>
            <w:vAlign w:val="center"/>
          </w:tcPr>
          <w:p w14:paraId="206E68D3" w14:textId="77777777" w:rsidR="004979F0" w:rsidRPr="008F22F7" w:rsidRDefault="004979F0" w:rsidP="00CF0F01">
            <w:pPr>
              <w:pBdr>
                <w:top w:val="nil"/>
                <w:left w:val="nil"/>
                <w:bottom w:val="nil"/>
                <w:right w:val="nil"/>
                <w:between w:val="nil"/>
                <w:bar w:val="nil"/>
              </w:pBdr>
              <w:jc w:val="center"/>
              <w:rPr>
                <w:rFonts w:ascii="Times New Roman" w:eastAsia="Arial Unicode MS" w:hAnsi="Times New Roman" w:cs="Times New Roman"/>
                <w:kern w:val="0"/>
                <w:szCs w:val="24"/>
                <w:u w:color="000000"/>
                <w:bdr w:val="nil"/>
              </w:rPr>
            </w:pPr>
          </w:p>
        </w:tc>
        <w:tc>
          <w:tcPr>
            <w:tcW w:w="370" w:type="pct"/>
            <w:vAlign w:val="center"/>
          </w:tcPr>
          <w:p w14:paraId="46B81A81" w14:textId="77777777" w:rsidR="004979F0" w:rsidRPr="008F22F7" w:rsidRDefault="004979F0" w:rsidP="00CF0F01">
            <w:pPr>
              <w:pBdr>
                <w:top w:val="nil"/>
                <w:left w:val="nil"/>
                <w:bottom w:val="nil"/>
                <w:right w:val="nil"/>
                <w:between w:val="nil"/>
                <w:bar w:val="nil"/>
              </w:pBdr>
              <w:jc w:val="center"/>
              <w:rPr>
                <w:rFonts w:ascii="Times New Roman" w:eastAsia="Arial Unicode MS" w:hAnsi="Times New Roman" w:cs="Times New Roman"/>
                <w:kern w:val="0"/>
                <w:szCs w:val="24"/>
                <w:u w:color="000000"/>
                <w:bdr w:val="nil"/>
              </w:rPr>
            </w:pPr>
            <w:r w:rsidRPr="008F22F7">
              <w:rPr>
                <w:rFonts w:ascii="Times New Roman" w:eastAsia="Arial Unicode MS" w:hAnsi="Times New Roman" w:cs="Times New Roman"/>
                <w:kern w:val="0"/>
                <w:szCs w:val="24"/>
                <w:u w:color="000000"/>
                <w:bdr w:val="nil"/>
              </w:rPr>
              <w:t>Reverse</w:t>
            </w:r>
          </w:p>
        </w:tc>
        <w:tc>
          <w:tcPr>
            <w:tcW w:w="2013" w:type="pct"/>
            <w:vAlign w:val="center"/>
          </w:tcPr>
          <w:p w14:paraId="1FDD9504" w14:textId="77777777" w:rsidR="004979F0" w:rsidRPr="008F22F7" w:rsidRDefault="004979F0" w:rsidP="00CF0F01">
            <w:pPr>
              <w:pBdr>
                <w:top w:val="nil"/>
                <w:left w:val="nil"/>
                <w:bottom w:val="nil"/>
                <w:right w:val="nil"/>
                <w:between w:val="nil"/>
                <w:bar w:val="nil"/>
              </w:pBdr>
              <w:jc w:val="center"/>
              <w:rPr>
                <w:rFonts w:ascii="Times New Roman" w:eastAsia="Arial Unicode MS" w:hAnsi="Times New Roman" w:cs="Times New Roman"/>
                <w:kern w:val="0"/>
                <w:szCs w:val="24"/>
                <w:u w:color="000000"/>
                <w:bdr w:val="nil"/>
              </w:rPr>
            </w:pPr>
            <w:r w:rsidRPr="008F22F7">
              <w:rPr>
                <w:rFonts w:ascii="Times New Roman" w:eastAsia="Arial Unicode MS" w:hAnsi="Times New Roman" w:cs="Times New Roman"/>
                <w:kern w:val="0"/>
                <w:szCs w:val="24"/>
                <w:u w:color="000000"/>
                <w:bdr w:val="nil"/>
              </w:rPr>
              <w:t>5’ CATTCTGTTGGATATGTGGCCCAT</w:t>
            </w:r>
          </w:p>
        </w:tc>
        <w:tc>
          <w:tcPr>
            <w:tcW w:w="1704" w:type="pct"/>
            <w:vMerge/>
            <w:vAlign w:val="center"/>
          </w:tcPr>
          <w:p w14:paraId="12AA7F3E" w14:textId="77777777" w:rsidR="004979F0" w:rsidRPr="008F22F7" w:rsidRDefault="004979F0" w:rsidP="00CF0F01">
            <w:pPr>
              <w:pBdr>
                <w:top w:val="nil"/>
                <w:left w:val="nil"/>
                <w:bottom w:val="nil"/>
                <w:right w:val="nil"/>
                <w:between w:val="nil"/>
                <w:bar w:val="nil"/>
              </w:pBdr>
              <w:jc w:val="center"/>
              <w:rPr>
                <w:rFonts w:ascii="Times New Roman" w:eastAsia="Arial Unicode MS" w:hAnsi="Times New Roman" w:cs="Times New Roman"/>
                <w:kern w:val="0"/>
                <w:sz w:val="22"/>
                <w:szCs w:val="24"/>
                <w:u w:color="000000"/>
                <w:bdr w:val="nil"/>
              </w:rPr>
            </w:pPr>
          </w:p>
        </w:tc>
        <w:tc>
          <w:tcPr>
            <w:tcW w:w="486" w:type="pct"/>
            <w:vMerge/>
            <w:vAlign w:val="center"/>
          </w:tcPr>
          <w:p w14:paraId="31E01742" w14:textId="77777777" w:rsidR="004979F0" w:rsidRPr="008F22F7" w:rsidRDefault="004979F0" w:rsidP="00CF0F01">
            <w:pPr>
              <w:pBdr>
                <w:top w:val="nil"/>
                <w:left w:val="nil"/>
                <w:bottom w:val="nil"/>
                <w:right w:val="nil"/>
                <w:between w:val="nil"/>
                <w:bar w:val="nil"/>
              </w:pBdr>
              <w:jc w:val="center"/>
              <w:rPr>
                <w:rFonts w:ascii="Times New Roman" w:eastAsia="Arial Unicode MS" w:hAnsi="Times New Roman" w:cs="Times New Roman"/>
                <w:kern w:val="0"/>
                <w:szCs w:val="24"/>
                <w:u w:color="000000"/>
                <w:bdr w:val="nil"/>
              </w:rPr>
            </w:pPr>
          </w:p>
        </w:tc>
      </w:tr>
      <w:tr w:rsidR="004979F0" w:rsidRPr="008F22F7" w14:paraId="60B9BD8D" w14:textId="77777777" w:rsidTr="004979F0">
        <w:trPr>
          <w:trHeight w:val="144"/>
        </w:trPr>
        <w:tc>
          <w:tcPr>
            <w:tcW w:w="426" w:type="pct"/>
            <w:vMerge w:val="restart"/>
            <w:vAlign w:val="center"/>
          </w:tcPr>
          <w:p w14:paraId="1669B017" w14:textId="77777777" w:rsidR="004979F0" w:rsidRPr="008F22F7" w:rsidRDefault="004979F0" w:rsidP="00CF0F01">
            <w:pPr>
              <w:pBdr>
                <w:top w:val="nil"/>
                <w:left w:val="nil"/>
                <w:bottom w:val="nil"/>
                <w:right w:val="nil"/>
                <w:between w:val="nil"/>
                <w:bar w:val="nil"/>
              </w:pBdr>
              <w:jc w:val="center"/>
              <w:rPr>
                <w:rFonts w:ascii="Times New Roman" w:eastAsia="Arial Unicode MS" w:hAnsi="Times New Roman" w:cs="Times New Roman"/>
                <w:kern w:val="0"/>
                <w:szCs w:val="24"/>
                <w:u w:color="000000"/>
                <w:bdr w:val="nil"/>
              </w:rPr>
            </w:pPr>
            <w:proofErr w:type="spellStart"/>
            <w:r w:rsidRPr="008F22F7">
              <w:rPr>
                <w:rFonts w:ascii="Times New Roman" w:eastAsia="Arial Unicode MS" w:hAnsi="Times New Roman" w:cs="Times New Roman"/>
                <w:kern w:val="0"/>
                <w:szCs w:val="24"/>
                <w:u w:color="000000"/>
                <w:bdr w:val="nil"/>
              </w:rPr>
              <w:t>Influ</w:t>
            </w:r>
            <w:proofErr w:type="spellEnd"/>
            <w:r w:rsidRPr="008F22F7">
              <w:rPr>
                <w:rFonts w:ascii="Times New Roman" w:eastAsia="Arial Unicode MS" w:hAnsi="Times New Roman" w:cs="Times New Roman"/>
                <w:kern w:val="0"/>
                <w:szCs w:val="24"/>
                <w:u w:color="000000"/>
                <w:bdr w:val="nil"/>
              </w:rPr>
              <w:t>-B</w:t>
            </w:r>
          </w:p>
        </w:tc>
        <w:tc>
          <w:tcPr>
            <w:tcW w:w="370" w:type="pct"/>
            <w:vAlign w:val="center"/>
          </w:tcPr>
          <w:p w14:paraId="6F952650" w14:textId="77777777" w:rsidR="004979F0" w:rsidRPr="008F22F7" w:rsidRDefault="004979F0" w:rsidP="00CF0F01">
            <w:pPr>
              <w:pBdr>
                <w:top w:val="nil"/>
                <w:left w:val="nil"/>
                <w:bottom w:val="nil"/>
                <w:right w:val="nil"/>
                <w:between w:val="nil"/>
                <w:bar w:val="nil"/>
              </w:pBdr>
              <w:jc w:val="center"/>
              <w:rPr>
                <w:rFonts w:ascii="Times New Roman" w:eastAsia="Arial Unicode MS" w:hAnsi="Times New Roman" w:cs="Times New Roman"/>
                <w:kern w:val="0"/>
                <w:szCs w:val="24"/>
                <w:u w:color="000000"/>
                <w:bdr w:val="nil"/>
              </w:rPr>
            </w:pPr>
            <w:r w:rsidRPr="008F22F7">
              <w:rPr>
                <w:rFonts w:ascii="Times New Roman" w:eastAsia="Arial Unicode MS" w:hAnsi="Times New Roman" w:cs="Times New Roman"/>
                <w:kern w:val="0"/>
                <w:szCs w:val="24"/>
                <w:u w:color="000000"/>
                <w:bdr w:val="nil"/>
              </w:rPr>
              <w:t>Forward</w:t>
            </w:r>
          </w:p>
        </w:tc>
        <w:tc>
          <w:tcPr>
            <w:tcW w:w="2013" w:type="pct"/>
            <w:vAlign w:val="center"/>
          </w:tcPr>
          <w:p w14:paraId="47EBC199" w14:textId="77777777" w:rsidR="004979F0" w:rsidRPr="008F22F7" w:rsidRDefault="004979F0" w:rsidP="00CF0F01">
            <w:pPr>
              <w:pBdr>
                <w:top w:val="nil"/>
                <w:left w:val="nil"/>
                <w:bottom w:val="nil"/>
                <w:right w:val="nil"/>
                <w:between w:val="nil"/>
                <w:bar w:val="nil"/>
              </w:pBdr>
              <w:jc w:val="center"/>
              <w:rPr>
                <w:rFonts w:ascii="Times New Roman" w:eastAsia="Arial Unicode MS" w:hAnsi="Times New Roman" w:cs="Times New Roman"/>
                <w:kern w:val="0"/>
                <w:szCs w:val="24"/>
                <w:u w:color="000000"/>
                <w:bdr w:val="nil"/>
              </w:rPr>
            </w:pPr>
            <w:r w:rsidRPr="008F22F7">
              <w:rPr>
                <w:rFonts w:ascii="Times New Roman" w:eastAsia="Arial Unicode MS" w:hAnsi="Times New Roman" w:cs="Times New Roman"/>
                <w:kern w:val="0"/>
                <w:szCs w:val="24"/>
                <w:u w:color="000000"/>
                <w:bdr w:val="nil"/>
              </w:rPr>
              <w:t>5’ AAATACGGTGGATTAAATAAAAGCAA</w:t>
            </w:r>
          </w:p>
        </w:tc>
        <w:tc>
          <w:tcPr>
            <w:tcW w:w="1704" w:type="pct"/>
            <w:vMerge w:val="restart"/>
            <w:vAlign w:val="center"/>
          </w:tcPr>
          <w:p w14:paraId="3A6EF235" w14:textId="77777777" w:rsidR="004979F0" w:rsidRPr="008F22F7" w:rsidRDefault="004979F0" w:rsidP="00CF0F01">
            <w:pPr>
              <w:pBdr>
                <w:top w:val="nil"/>
                <w:left w:val="nil"/>
                <w:bottom w:val="nil"/>
                <w:right w:val="nil"/>
                <w:between w:val="nil"/>
                <w:bar w:val="nil"/>
              </w:pBdr>
              <w:jc w:val="center"/>
              <w:rPr>
                <w:rFonts w:ascii="Times New Roman" w:eastAsia="Arial Unicode MS" w:hAnsi="Times New Roman" w:cs="Times New Roman"/>
                <w:kern w:val="0"/>
                <w:sz w:val="22"/>
                <w:szCs w:val="24"/>
                <w:u w:color="000000"/>
                <w:bdr w:val="nil"/>
              </w:rPr>
            </w:pPr>
            <w:r w:rsidRPr="008F22F7">
              <w:rPr>
                <w:rFonts w:ascii="Times New Roman" w:eastAsia="Arial Unicode MS" w:hAnsi="Times New Roman" w:cs="Times New Roman"/>
                <w:kern w:val="0"/>
                <w:sz w:val="22"/>
                <w:szCs w:val="24"/>
                <w:u w:color="000000"/>
                <w:bdr w:val="nil"/>
              </w:rPr>
              <w:t>5’FAM-CACCCATATTGCGCAAATTCCTATGGC-TAMRA</w:t>
            </w:r>
          </w:p>
        </w:tc>
        <w:tc>
          <w:tcPr>
            <w:tcW w:w="486" w:type="pct"/>
            <w:vMerge/>
            <w:vAlign w:val="center"/>
          </w:tcPr>
          <w:p w14:paraId="4D4EBD1C" w14:textId="77777777" w:rsidR="004979F0" w:rsidRPr="008F22F7" w:rsidRDefault="004979F0" w:rsidP="00CF0F01">
            <w:pPr>
              <w:pBdr>
                <w:top w:val="nil"/>
                <w:left w:val="nil"/>
                <w:bottom w:val="nil"/>
                <w:right w:val="nil"/>
                <w:between w:val="nil"/>
                <w:bar w:val="nil"/>
              </w:pBdr>
              <w:jc w:val="center"/>
              <w:rPr>
                <w:rFonts w:ascii="Times New Roman" w:eastAsia="Arial Unicode MS" w:hAnsi="Times New Roman" w:cs="Times New Roman"/>
                <w:kern w:val="0"/>
                <w:szCs w:val="24"/>
                <w:u w:color="000000"/>
                <w:bdr w:val="nil"/>
              </w:rPr>
            </w:pPr>
          </w:p>
        </w:tc>
      </w:tr>
      <w:tr w:rsidR="004979F0" w:rsidRPr="008F22F7" w14:paraId="3ED4B726" w14:textId="77777777" w:rsidTr="004979F0">
        <w:trPr>
          <w:trHeight w:val="142"/>
        </w:trPr>
        <w:tc>
          <w:tcPr>
            <w:tcW w:w="426" w:type="pct"/>
            <w:vMerge/>
            <w:tcBorders>
              <w:bottom w:val="thinThickSmallGap" w:sz="24" w:space="0" w:color="auto"/>
            </w:tcBorders>
            <w:vAlign w:val="center"/>
          </w:tcPr>
          <w:p w14:paraId="50A9B705" w14:textId="77777777" w:rsidR="004979F0" w:rsidRPr="008F22F7" w:rsidRDefault="004979F0" w:rsidP="00CF0F01">
            <w:pPr>
              <w:pBdr>
                <w:top w:val="nil"/>
                <w:left w:val="nil"/>
                <w:bottom w:val="nil"/>
                <w:right w:val="nil"/>
                <w:between w:val="nil"/>
                <w:bar w:val="nil"/>
              </w:pBdr>
              <w:jc w:val="center"/>
              <w:rPr>
                <w:rFonts w:ascii="Times New Roman" w:eastAsia="Arial Unicode MS" w:hAnsi="Times New Roman" w:cs="Times New Roman"/>
                <w:kern w:val="0"/>
                <w:szCs w:val="24"/>
                <w:u w:color="000000"/>
                <w:bdr w:val="nil"/>
              </w:rPr>
            </w:pPr>
          </w:p>
        </w:tc>
        <w:tc>
          <w:tcPr>
            <w:tcW w:w="370" w:type="pct"/>
            <w:tcBorders>
              <w:bottom w:val="thinThickSmallGap" w:sz="24" w:space="0" w:color="auto"/>
            </w:tcBorders>
            <w:vAlign w:val="center"/>
          </w:tcPr>
          <w:p w14:paraId="19DF0AC4" w14:textId="77777777" w:rsidR="004979F0" w:rsidRPr="008F22F7" w:rsidRDefault="004979F0" w:rsidP="00CF0F01">
            <w:pPr>
              <w:pBdr>
                <w:top w:val="nil"/>
                <w:left w:val="nil"/>
                <w:bottom w:val="nil"/>
                <w:right w:val="nil"/>
                <w:between w:val="nil"/>
                <w:bar w:val="nil"/>
              </w:pBdr>
              <w:jc w:val="center"/>
              <w:rPr>
                <w:rFonts w:ascii="Times New Roman" w:eastAsia="Arial Unicode MS" w:hAnsi="Times New Roman" w:cs="Times New Roman"/>
                <w:kern w:val="0"/>
                <w:szCs w:val="24"/>
                <w:u w:color="000000"/>
                <w:bdr w:val="nil"/>
              </w:rPr>
            </w:pPr>
            <w:r w:rsidRPr="008F22F7">
              <w:rPr>
                <w:rFonts w:ascii="Times New Roman" w:eastAsia="Arial Unicode MS" w:hAnsi="Times New Roman" w:cs="Times New Roman"/>
                <w:kern w:val="0"/>
                <w:szCs w:val="24"/>
                <w:u w:color="000000"/>
                <w:bdr w:val="nil"/>
              </w:rPr>
              <w:t>Reverse</w:t>
            </w:r>
          </w:p>
        </w:tc>
        <w:tc>
          <w:tcPr>
            <w:tcW w:w="2013" w:type="pct"/>
            <w:tcBorders>
              <w:bottom w:val="thinThickSmallGap" w:sz="24" w:space="0" w:color="auto"/>
            </w:tcBorders>
            <w:vAlign w:val="center"/>
          </w:tcPr>
          <w:p w14:paraId="1CACD3C7" w14:textId="77777777" w:rsidR="004979F0" w:rsidRPr="008F22F7" w:rsidRDefault="004979F0" w:rsidP="00CF0F01">
            <w:pPr>
              <w:pBdr>
                <w:top w:val="nil"/>
                <w:left w:val="nil"/>
                <w:bottom w:val="nil"/>
                <w:right w:val="nil"/>
                <w:between w:val="nil"/>
                <w:bar w:val="nil"/>
              </w:pBdr>
              <w:jc w:val="center"/>
              <w:rPr>
                <w:rFonts w:ascii="Times New Roman" w:eastAsia="Arial Unicode MS" w:hAnsi="Times New Roman" w:cs="Times New Roman"/>
                <w:kern w:val="0"/>
                <w:szCs w:val="24"/>
                <w:u w:color="000000"/>
                <w:bdr w:val="nil"/>
              </w:rPr>
            </w:pPr>
            <w:r w:rsidRPr="008F22F7">
              <w:rPr>
                <w:rFonts w:ascii="Times New Roman" w:eastAsia="Arial Unicode MS" w:hAnsi="Times New Roman" w:cs="Times New Roman"/>
                <w:kern w:val="0"/>
                <w:szCs w:val="24"/>
                <w:u w:color="000000"/>
                <w:bdr w:val="nil"/>
              </w:rPr>
              <w:t>5’ CCAGCAATAGCTCCGAAGAAA</w:t>
            </w:r>
          </w:p>
        </w:tc>
        <w:tc>
          <w:tcPr>
            <w:tcW w:w="1704" w:type="pct"/>
            <w:vMerge/>
            <w:tcBorders>
              <w:bottom w:val="thinThickSmallGap" w:sz="24" w:space="0" w:color="auto"/>
            </w:tcBorders>
            <w:vAlign w:val="center"/>
          </w:tcPr>
          <w:p w14:paraId="2D453337" w14:textId="77777777" w:rsidR="004979F0" w:rsidRPr="008F22F7" w:rsidRDefault="004979F0" w:rsidP="00CF0F01">
            <w:pPr>
              <w:pBdr>
                <w:top w:val="nil"/>
                <w:left w:val="nil"/>
                <w:bottom w:val="nil"/>
                <w:right w:val="nil"/>
                <w:between w:val="nil"/>
                <w:bar w:val="nil"/>
              </w:pBdr>
              <w:jc w:val="center"/>
              <w:rPr>
                <w:rFonts w:ascii="Times New Roman" w:eastAsia="Arial Unicode MS" w:hAnsi="Times New Roman" w:cs="Times New Roman"/>
                <w:kern w:val="0"/>
                <w:szCs w:val="24"/>
                <w:u w:color="000000"/>
                <w:bdr w:val="nil"/>
              </w:rPr>
            </w:pPr>
          </w:p>
        </w:tc>
        <w:tc>
          <w:tcPr>
            <w:tcW w:w="486" w:type="pct"/>
            <w:vMerge/>
            <w:tcBorders>
              <w:bottom w:val="thinThickSmallGap" w:sz="24" w:space="0" w:color="auto"/>
            </w:tcBorders>
            <w:vAlign w:val="center"/>
          </w:tcPr>
          <w:p w14:paraId="52CA881E" w14:textId="77777777" w:rsidR="004979F0" w:rsidRPr="008F22F7" w:rsidRDefault="004979F0" w:rsidP="00CF0F01">
            <w:pPr>
              <w:pBdr>
                <w:top w:val="nil"/>
                <w:left w:val="nil"/>
                <w:bottom w:val="nil"/>
                <w:right w:val="nil"/>
                <w:between w:val="nil"/>
                <w:bar w:val="nil"/>
              </w:pBdr>
              <w:jc w:val="center"/>
              <w:rPr>
                <w:rFonts w:ascii="Times New Roman" w:eastAsia="Arial Unicode MS" w:hAnsi="Times New Roman" w:cs="Times New Roman"/>
                <w:kern w:val="0"/>
                <w:szCs w:val="24"/>
                <w:u w:color="000000"/>
                <w:bdr w:val="nil"/>
              </w:rPr>
            </w:pPr>
          </w:p>
        </w:tc>
      </w:tr>
    </w:tbl>
    <w:p w14:paraId="0182F4E4" w14:textId="77777777" w:rsidR="004979F0" w:rsidRPr="008F22F7" w:rsidRDefault="004979F0" w:rsidP="004979F0">
      <w:pPr>
        <w:rPr>
          <w:rFonts w:ascii="Times New Roman" w:hAnsi="Times New Roman" w:cs="Times New Roman"/>
        </w:rPr>
      </w:pPr>
    </w:p>
    <w:p w14:paraId="17F97844" w14:textId="77777777" w:rsidR="004979F0" w:rsidRPr="008F22F7" w:rsidRDefault="004979F0" w:rsidP="004979F0">
      <w:pPr>
        <w:widowControl/>
        <w:rPr>
          <w:rFonts w:ascii="Times New Roman" w:hAnsi="Times New Roman" w:cs="Times New Roman"/>
        </w:rPr>
      </w:pPr>
      <w:r w:rsidRPr="008F22F7">
        <w:rPr>
          <w:rFonts w:ascii="Times New Roman" w:hAnsi="Times New Roman" w:cs="Times New Roman"/>
        </w:rPr>
        <w:br w:type="page"/>
      </w:r>
    </w:p>
    <w:p w14:paraId="58878D56" w14:textId="77777777" w:rsidR="004979F0" w:rsidRPr="008F22F7" w:rsidRDefault="004979F0" w:rsidP="004979F0">
      <w:pPr>
        <w:rPr>
          <w:rFonts w:ascii="Times New Roman" w:hAnsi="Times New Roman" w:cs="Times New Roman"/>
        </w:rPr>
        <w:sectPr w:rsidR="004979F0" w:rsidRPr="008F22F7" w:rsidSect="004979F0">
          <w:pgSz w:w="16838" w:h="11906" w:orient="landscape"/>
          <w:pgMar w:top="1800" w:right="1440" w:bottom="1800" w:left="1440" w:header="851" w:footer="992" w:gutter="0"/>
          <w:cols w:space="425"/>
          <w:docGrid w:type="lines" w:linePitch="360"/>
        </w:sectPr>
      </w:pPr>
    </w:p>
    <w:p w14:paraId="63461044" w14:textId="77777777" w:rsidR="00E94774" w:rsidRPr="008F22F7" w:rsidRDefault="00E94774" w:rsidP="00751969">
      <w:pPr>
        <w:outlineLvl w:val="0"/>
        <w:rPr>
          <w:rFonts w:ascii="Times New Roman" w:hAnsi="Times New Roman" w:cs="Times New Roman"/>
        </w:rPr>
      </w:pPr>
      <w:bookmarkStart w:id="3" w:name="_Toc121209213"/>
      <w:r w:rsidRPr="008F22F7">
        <w:rPr>
          <w:rFonts w:ascii="Times New Roman" w:hAnsi="Times New Roman" w:cs="Times New Roman"/>
        </w:rPr>
        <w:lastRenderedPageBreak/>
        <w:t>Reference</w:t>
      </w:r>
      <w:bookmarkEnd w:id="3"/>
      <w:r w:rsidRPr="008F22F7">
        <w:rPr>
          <w:rFonts w:ascii="Times New Roman" w:hAnsi="Times New Roman" w:cs="Times New Roman"/>
        </w:rPr>
        <w:t xml:space="preserve"> </w:t>
      </w:r>
    </w:p>
    <w:p w14:paraId="11EAF824" w14:textId="77777777" w:rsidR="00FB130A" w:rsidRPr="008F22F7" w:rsidRDefault="00FB130A" w:rsidP="00FB130A">
      <w:pPr>
        <w:pStyle w:val="EndNoteBibliography"/>
        <w:rPr>
          <w:rFonts w:ascii="Times New Roman" w:hAnsi="Times New Roman" w:cs="Times New Roman"/>
        </w:rPr>
      </w:pPr>
      <w:r w:rsidRPr="008F22F7">
        <w:rPr>
          <w:rFonts w:ascii="Times New Roman" w:hAnsi="Times New Roman" w:cs="Times New Roman"/>
        </w:rPr>
        <w:fldChar w:fldCharType="begin"/>
      </w:r>
      <w:r w:rsidRPr="008F22F7">
        <w:rPr>
          <w:rFonts w:ascii="Times New Roman" w:hAnsi="Times New Roman" w:cs="Times New Roman"/>
        </w:rPr>
        <w:instrText xml:space="preserve"> ADDIN EN.REFLIST </w:instrText>
      </w:r>
      <w:r w:rsidRPr="008F22F7">
        <w:rPr>
          <w:rFonts w:ascii="Times New Roman" w:hAnsi="Times New Roman" w:cs="Times New Roman"/>
        </w:rPr>
        <w:fldChar w:fldCharType="separate"/>
      </w:r>
      <w:r w:rsidRPr="008F22F7">
        <w:rPr>
          <w:rFonts w:ascii="Times New Roman" w:hAnsi="Times New Roman" w:cs="Times New Roman"/>
        </w:rPr>
        <w:t>Chen PS, Tsai FT, Lin CK, Yang CY, Chan CC, Young CY, et al. 2010. Ambient influenza and avian influenza virus during dust storm days and background days. Environ Health Perspect 118:1211-1216.</w:t>
      </w:r>
    </w:p>
    <w:p w14:paraId="7E3E4515" w14:textId="77777777" w:rsidR="00FB130A" w:rsidRPr="008F22F7" w:rsidRDefault="00FB130A" w:rsidP="00FB130A">
      <w:pPr>
        <w:pStyle w:val="EndNoteBibliography"/>
        <w:rPr>
          <w:rFonts w:ascii="Times New Roman" w:hAnsi="Times New Roman" w:cs="Times New Roman"/>
        </w:rPr>
      </w:pPr>
      <w:r w:rsidRPr="008F22F7">
        <w:rPr>
          <w:rFonts w:ascii="Times New Roman" w:hAnsi="Times New Roman" w:cs="Times New Roman"/>
        </w:rPr>
        <w:t>Chi M-C, Li C-S. 2007. Fluorochrome in monitoring atmospheric bioaerosols and correlations with meteorological factors and air pollutants. Aerosol Science and Technology 41:672-678.</w:t>
      </w:r>
    </w:p>
    <w:p w14:paraId="35ED25D3" w14:textId="77777777" w:rsidR="00FB130A" w:rsidRPr="008F22F7" w:rsidRDefault="00FB130A" w:rsidP="00FB130A">
      <w:pPr>
        <w:pStyle w:val="EndNoteBibliography"/>
        <w:rPr>
          <w:rFonts w:ascii="Times New Roman" w:hAnsi="Times New Roman" w:cs="Times New Roman"/>
        </w:rPr>
      </w:pPr>
      <w:r w:rsidRPr="008F22F7">
        <w:rPr>
          <w:rFonts w:ascii="Times New Roman" w:hAnsi="Times New Roman" w:cs="Times New Roman"/>
        </w:rPr>
        <w:t>Stec J, Lenart-Boroń A. 2019. Assessment of microbiological aerosol concentration in selected healthcare facilities in southern poland. Cent Eur J Public Health 27:239-244.</w:t>
      </w:r>
    </w:p>
    <w:p w14:paraId="65D0D868" w14:textId="77777777" w:rsidR="004732AC" w:rsidRPr="008F22F7" w:rsidRDefault="00FB130A" w:rsidP="004732AC">
      <w:pPr>
        <w:rPr>
          <w:rFonts w:ascii="Times New Roman" w:hAnsi="Times New Roman" w:cs="Times New Roman"/>
        </w:rPr>
      </w:pPr>
      <w:r w:rsidRPr="008F22F7">
        <w:rPr>
          <w:rFonts w:ascii="Times New Roman" w:hAnsi="Times New Roman" w:cs="Times New Roman"/>
        </w:rPr>
        <w:fldChar w:fldCharType="end"/>
      </w:r>
    </w:p>
    <w:sectPr w:rsidR="004732AC" w:rsidRPr="008F22F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BE01E" w14:textId="77777777" w:rsidR="002B2860" w:rsidRDefault="002B2860" w:rsidP="009E07EB">
      <w:r>
        <w:separator/>
      </w:r>
    </w:p>
  </w:endnote>
  <w:endnote w:type="continuationSeparator" w:id="0">
    <w:p w14:paraId="15892398" w14:textId="77777777" w:rsidR="002B2860" w:rsidRDefault="002B2860" w:rsidP="009E0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標楷體">
    <w:panose1 w:val="02010601000101010101"/>
    <w:charset w:val="88"/>
    <w:family w:val="auto"/>
    <w:pitch w:val="variable"/>
    <w:sig w:usb0="00000001" w:usb1="08080000" w:usb2="00000010" w:usb3="00000000" w:csb0="001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7517890"/>
      <w:docPartObj>
        <w:docPartGallery w:val="Page Numbers (Bottom of Page)"/>
        <w:docPartUnique/>
      </w:docPartObj>
    </w:sdtPr>
    <w:sdtContent>
      <w:p w14:paraId="3B8EC20C" w14:textId="77777777" w:rsidR="00751969" w:rsidRDefault="00751969">
        <w:pPr>
          <w:pStyle w:val="a5"/>
          <w:jc w:val="center"/>
        </w:pPr>
        <w:r>
          <w:fldChar w:fldCharType="begin"/>
        </w:r>
        <w:r>
          <w:instrText>PAGE   \* MERGEFORMAT</w:instrText>
        </w:r>
        <w:r>
          <w:fldChar w:fldCharType="separate"/>
        </w:r>
        <w:r>
          <w:rPr>
            <w:lang w:val="zh-TW"/>
          </w:rPr>
          <w:t>2</w:t>
        </w:r>
        <w:r>
          <w:fldChar w:fldCharType="end"/>
        </w:r>
      </w:p>
    </w:sdtContent>
  </w:sdt>
  <w:p w14:paraId="6EB710E9" w14:textId="77777777" w:rsidR="00751969" w:rsidRDefault="0075196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D5171" w14:textId="77777777" w:rsidR="002B2860" w:rsidRDefault="002B2860" w:rsidP="009E07EB">
      <w:r>
        <w:separator/>
      </w:r>
    </w:p>
  </w:footnote>
  <w:footnote w:type="continuationSeparator" w:id="0">
    <w:p w14:paraId="03B0AD69" w14:textId="77777777" w:rsidR="002B2860" w:rsidRDefault="002B2860" w:rsidP="009E07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Environ Health Persp&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e0drpffoexf9le5tawxtp9o92asree55sf9&quot;&gt;IV ref&lt;record-ids&gt;&lt;item&gt;1&lt;/item&gt;&lt;item&gt;47&lt;/item&gt;&lt;item&gt;81&lt;/item&gt;&lt;/record-ids&gt;&lt;/item&gt;&lt;/Libraries&gt;"/>
  </w:docVars>
  <w:rsids>
    <w:rsidRoot w:val="00734832"/>
    <w:rsid w:val="001A19D1"/>
    <w:rsid w:val="002B2860"/>
    <w:rsid w:val="00300CA4"/>
    <w:rsid w:val="003A2369"/>
    <w:rsid w:val="00432546"/>
    <w:rsid w:val="004732AC"/>
    <w:rsid w:val="004979F0"/>
    <w:rsid w:val="00533ACB"/>
    <w:rsid w:val="00575933"/>
    <w:rsid w:val="005C48E7"/>
    <w:rsid w:val="00660961"/>
    <w:rsid w:val="00734832"/>
    <w:rsid w:val="00751969"/>
    <w:rsid w:val="007D5EB7"/>
    <w:rsid w:val="00811C46"/>
    <w:rsid w:val="00823CD7"/>
    <w:rsid w:val="008244A4"/>
    <w:rsid w:val="008F22F7"/>
    <w:rsid w:val="009E07EB"/>
    <w:rsid w:val="009E6790"/>
    <w:rsid w:val="00AD7D20"/>
    <w:rsid w:val="00BB7994"/>
    <w:rsid w:val="00D2483E"/>
    <w:rsid w:val="00DC5B6B"/>
    <w:rsid w:val="00E4661F"/>
    <w:rsid w:val="00E720B6"/>
    <w:rsid w:val="00E94774"/>
    <w:rsid w:val="00FB130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0B5F7B"/>
  <w15:chartTrackingRefBased/>
  <w15:docId w15:val="{21B4A14E-36FE-4811-999D-7FDA693F8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751969"/>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07EB"/>
    <w:pPr>
      <w:tabs>
        <w:tab w:val="center" w:pos="4153"/>
        <w:tab w:val="right" w:pos="8306"/>
      </w:tabs>
      <w:snapToGrid w:val="0"/>
    </w:pPr>
    <w:rPr>
      <w:sz w:val="20"/>
      <w:szCs w:val="20"/>
    </w:rPr>
  </w:style>
  <w:style w:type="character" w:customStyle="1" w:styleId="a4">
    <w:name w:val="頁首 字元"/>
    <w:basedOn w:val="a0"/>
    <w:link w:val="a3"/>
    <w:uiPriority w:val="99"/>
    <w:rsid w:val="009E07EB"/>
    <w:rPr>
      <w:sz w:val="20"/>
      <w:szCs w:val="20"/>
    </w:rPr>
  </w:style>
  <w:style w:type="paragraph" w:styleId="a5">
    <w:name w:val="footer"/>
    <w:basedOn w:val="a"/>
    <w:link w:val="a6"/>
    <w:uiPriority w:val="99"/>
    <w:unhideWhenUsed/>
    <w:rsid w:val="009E07EB"/>
    <w:pPr>
      <w:tabs>
        <w:tab w:val="center" w:pos="4153"/>
        <w:tab w:val="right" w:pos="8306"/>
      </w:tabs>
      <w:snapToGrid w:val="0"/>
    </w:pPr>
    <w:rPr>
      <w:sz w:val="20"/>
      <w:szCs w:val="20"/>
    </w:rPr>
  </w:style>
  <w:style w:type="character" w:customStyle="1" w:styleId="a6">
    <w:name w:val="頁尾 字元"/>
    <w:basedOn w:val="a0"/>
    <w:link w:val="a5"/>
    <w:uiPriority w:val="99"/>
    <w:rsid w:val="009E07EB"/>
    <w:rPr>
      <w:sz w:val="20"/>
      <w:szCs w:val="20"/>
    </w:rPr>
  </w:style>
  <w:style w:type="paragraph" w:customStyle="1" w:styleId="EndNoteBibliographyTitle">
    <w:name w:val="EndNote Bibliography Title"/>
    <w:basedOn w:val="a"/>
    <w:link w:val="EndNoteBibliographyTitle0"/>
    <w:rsid w:val="00FB130A"/>
    <w:pPr>
      <w:jc w:val="center"/>
    </w:pPr>
    <w:rPr>
      <w:rFonts w:ascii="Calibri" w:hAnsi="Calibri" w:cs="Calibri"/>
      <w:noProof/>
    </w:rPr>
  </w:style>
  <w:style w:type="character" w:customStyle="1" w:styleId="EndNoteBibliographyTitle0">
    <w:name w:val="EndNote Bibliography Title 字元"/>
    <w:basedOn w:val="a0"/>
    <w:link w:val="EndNoteBibliographyTitle"/>
    <w:rsid w:val="00FB130A"/>
    <w:rPr>
      <w:rFonts w:ascii="Calibri" w:hAnsi="Calibri" w:cs="Calibri"/>
      <w:noProof/>
    </w:rPr>
  </w:style>
  <w:style w:type="paragraph" w:customStyle="1" w:styleId="EndNoteBibliography">
    <w:name w:val="EndNote Bibliography"/>
    <w:basedOn w:val="a"/>
    <w:link w:val="EndNoteBibliography0"/>
    <w:rsid w:val="00FB130A"/>
    <w:rPr>
      <w:rFonts w:ascii="Calibri" w:hAnsi="Calibri" w:cs="Calibri"/>
      <w:noProof/>
    </w:rPr>
  </w:style>
  <w:style w:type="character" w:customStyle="1" w:styleId="EndNoteBibliography0">
    <w:name w:val="EndNote Bibliography 字元"/>
    <w:basedOn w:val="a0"/>
    <w:link w:val="EndNoteBibliography"/>
    <w:rsid w:val="00FB130A"/>
    <w:rPr>
      <w:rFonts w:ascii="Calibri" w:hAnsi="Calibri" w:cs="Calibri"/>
      <w:noProof/>
    </w:rPr>
  </w:style>
  <w:style w:type="character" w:customStyle="1" w:styleId="10">
    <w:name w:val="標題 1 字元"/>
    <w:basedOn w:val="a0"/>
    <w:link w:val="1"/>
    <w:uiPriority w:val="9"/>
    <w:rsid w:val="00751969"/>
    <w:rPr>
      <w:rFonts w:asciiTheme="majorHAnsi" w:eastAsiaTheme="majorEastAsia" w:hAnsiTheme="majorHAnsi" w:cstheme="majorBidi"/>
      <w:b/>
      <w:bCs/>
      <w:kern w:val="52"/>
      <w:sz w:val="52"/>
      <w:szCs w:val="52"/>
    </w:rPr>
  </w:style>
  <w:style w:type="paragraph" w:styleId="a7">
    <w:name w:val="TOC Heading"/>
    <w:basedOn w:val="1"/>
    <w:next w:val="a"/>
    <w:uiPriority w:val="39"/>
    <w:unhideWhenUsed/>
    <w:qFormat/>
    <w:rsid w:val="00751969"/>
    <w:pPr>
      <w:keepLines/>
      <w:widowControl/>
      <w:spacing w:before="240" w:after="0" w:line="259" w:lineRule="auto"/>
      <w:outlineLvl w:val="9"/>
    </w:pPr>
    <w:rPr>
      <w:b w:val="0"/>
      <w:bCs w:val="0"/>
      <w:color w:val="2F5496" w:themeColor="accent1" w:themeShade="BF"/>
      <w:kern w:val="0"/>
      <w:sz w:val="32"/>
      <w:szCs w:val="32"/>
    </w:rPr>
  </w:style>
  <w:style w:type="paragraph" w:styleId="11">
    <w:name w:val="toc 1"/>
    <w:basedOn w:val="a"/>
    <w:next w:val="a"/>
    <w:autoRedefine/>
    <w:uiPriority w:val="39"/>
    <w:unhideWhenUsed/>
    <w:rsid w:val="00751969"/>
  </w:style>
  <w:style w:type="character" w:styleId="a8">
    <w:name w:val="Hyperlink"/>
    <w:basedOn w:val="a0"/>
    <w:uiPriority w:val="99"/>
    <w:unhideWhenUsed/>
    <w:rsid w:val="0075196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8C014C-C90C-45A0-8809-B3AAA6242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2194</Words>
  <Characters>12506</Characters>
  <Application>Microsoft Office Word</Application>
  <DocSecurity>0</DocSecurity>
  <Lines>104</Lines>
  <Paragraphs>29</Paragraphs>
  <ScaleCrop>false</ScaleCrop>
  <Company/>
  <LinksUpToDate>false</LinksUpToDate>
  <CharactersWithSpaces>14671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張佳琳</dc:creator>
  <cp:keywords/>
  <dc:description/>
  <cp:lastModifiedBy>張佳琳</cp:lastModifiedBy>
  <cp:revision>3</cp:revision>
  <dcterms:created xsi:type="dcterms:W3CDTF">2023-08-22T23:47:00Z</dcterms:created>
  <dcterms:modified xsi:type="dcterms:W3CDTF">2023-08-22T23:47:00Z</dcterms:modified>
</cp:coreProperties>
</file>