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630A" w14:textId="77777777" w:rsidR="003C277E" w:rsidRPr="003C277E" w:rsidRDefault="003C277E" w:rsidP="003C277E">
      <w:pPr>
        <w:rPr>
          <w:lang w:val="en-GB"/>
        </w:rPr>
      </w:pPr>
      <w:r w:rsidRPr="003C277E">
        <w:rPr>
          <w:b/>
          <w:bCs/>
          <w:lang w:val="en-US"/>
        </w:rPr>
        <w:t>The role of DNA methylation in chondrogenesis of human iPSCs as a stable marker of cartilage quality</w:t>
      </w:r>
    </w:p>
    <w:p w14:paraId="53515C4F" w14:textId="77777777" w:rsidR="003C277E" w:rsidRPr="003C277E" w:rsidRDefault="003C277E" w:rsidP="003C277E">
      <w:pPr>
        <w:rPr>
          <w:lang w:val="en-GB"/>
        </w:rPr>
      </w:pPr>
      <w:r w:rsidRPr="003C277E">
        <w:rPr>
          <w:lang w:val="en-US"/>
        </w:rPr>
        <w:t>Ghazaleh Hajmousa</w:t>
      </w:r>
      <w:r w:rsidRPr="003C277E">
        <w:rPr>
          <w:vertAlign w:val="superscript"/>
          <w:lang w:val="en-GB"/>
        </w:rPr>
        <w:t>†</w:t>
      </w:r>
      <w:r w:rsidRPr="003C277E">
        <w:rPr>
          <w:vertAlign w:val="superscript"/>
          <w:lang w:val="en-US"/>
        </w:rPr>
        <w:t>1</w:t>
      </w:r>
      <w:r w:rsidRPr="003C277E">
        <w:rPr>
          <w:lang w:val="en-US"/>
        </w:rPr>
        <w:t>, Rodrigo Coutinho de Almeida</w:t>
      </w:r>
      <w:r w:rsidRPr="003C277E">
        <w:rPr>
          <w:vertAlign w:val="superscript"/>
          <w:lang w:val="en-GB"/>
        </w:rPr>
        <w:t>†</w:t>
      </w:r>
      <w:r w:rsidRPr="003C277E">
        <w:rPr>
          <w:vertAlign w:val="superscript"/>
          <w:lang w:val="en-US"/>
        </w:rPr>
        <w:t>1</w:t>
      </w:r>
      <w:r w:rsidRPr="003C277E">
        <w:rPr>
          <w:lang w:val="en-US"/>
        </w:rPr>
        <w:t>, Niek Bloks</w:t>
      </w:r>
      <w:r w:rsidRPr="003C277E">
        <w:rPr>
          <w:vertAlign w:val="superscript"/>
          <w:lang w:val="en-US"/>
        </w:rPr>
        <w:t>1</w:t>
      </w:r>
      <w:r w:rsidRPr="003C277E">
        <w:rPr>
          <w:lang w:val="en-US"/>
        </w:rPr>
        <w:t>, Alejandro Rodríguez Ruiz</w:t>
      </w:r>
      <w:r w:rsidRPr="003C277E">
        <w:rPr>
          <w:vertAlign w:val="superscript"/>
          <w:lang w:val="en-US"/>
        </w:rPr>
        <w:t>1</w:t>
      </w:r>
      <w:r w:rsidRPr="003C277E">
        <w:rPr>
          <w:lang w:val="en-US"/>
        </w:rPr>
        <w:t xml:space="preserve">, </w:t>
      </w:r>
      <w:proofErr w:type="spellStart"/>
      <w:r w:rsidRPr="003C277E">
        <w:rPr>
          <w:lang w:val="en-US"/>
        </w:rPr>
        <w:t>Marga</w:t>
      </w:r>
      <w:proofErr w:type="spellEnd"/>
      <w:r w:rsidRPr="003C277E">
        <w:rPr>
          <w:lang w:val="en-US"/>
        </w:rPr>
        <w:t xml:space="preserve"> Bouma</w:t>
      </w:r>
      <w:r w:rsidRPr="003C277E">
        <w:rPr>
          <w:vertAlign w:val="superscript"/>
          <w:lang w:val="en-US"/>
        </w:rPr>
        <w:t>2</w:t>
      </w:r>
      <w:r w:rsidRPr="003C277E">
        <w:rPr>
          <w:lang w:val="en-US"/>
        </w:rPr>
        <w:t>, Roderick Slieker</w:t>
      </w:r>
      <w:r w:rsidRPr="003C277E">
        <w:rPr>
          <w:vertAlign w:val="superscript"/>
          <w:lang w:val="en-US"/>
        </w:rPr>
        <w:t>3</w:t>
      </w:r>
      <w:r w:rsidRPr="003C277E">
        <w:rPr>
          <w:lang w:val="en-US"/>
        </w:rPr>
        <w:t>, Thomas B Kuipers</w:t>
      </w:r>
      <w:r w:rsidRPr="003C277E">
        <w:rPr>
          <w:vertAlign w:val="superscript"/>
          <w:lang w:val="en-US"/>
        </w:rPr>
        <w:t>2</w:t>
      </w:r>
      <w:r w:rsidRPr="003C277E">
        <w:rPr>
          <w:lang w:val="en-US"/>
        </w:rPr>
        <w:t>, Rob GHH Nelissen</w:t>
      </w:r>
      <w:r w:rsidRPr="003C277E">
        <w:rPr>
          <w:vertAlign w:val="superscript"/>
          <w:lang w:val="en-US"/>
        </w:rPr>
        <w:t>4</w:t>
      </w:r>
      <w:r w:rsidRPr="003C277E">
        <w:rPr>
          <w:lang w:val="en-US"/>
        </w:rPr>
        <w:t>, Keita Ito</w:t>
      </w:r>
      <w:r w:rsidRPr="003C277E">
        <w:rPr>
          <w:vertAlign w:val="superscript"/>
          <w:lang w:val="en-US"/>
        </w:rPr>
        <w:t>5</w:t>
      </w:r>
      <w:r w:rsidRPr="003C277E">
        <w:rPr>
          <w:lang w:val="en-US"/>
        </w:rPr>
        <w:t>, Christian Freund</w:t>
      </w:r>
      <w:r w:rsidRPr="003C277E">
        <w:rPr>
          <w:vertAlign w:val="superscript"/>
          <w:lang w:val="en-US"/>
        </w:rPr>
        <w:t>2</w:t>
      </w:r>
      <w:r w:rsidRPr="003C277E">
        <w:rPr>
          <w:lang w:val="en-US"/>
        </w:rPr>
        <w:t xml:space="preserve">, </w:t>
      </w:r>
      <w:hyperlink r:id="rId6" w:history="1">
        <w:r w:rsidRPr="003C277E">
          <w:rPr>
            <w:rStyle w:val="Hyperlink"/>
            <w:lang w:val="en-US"/>
          </w:rPr>
          <w:t>Yolande FM Ramos</w:t>
        </w:r>
      </w:hyperlink>
      <w:r w:rsidRPr="003C277E">
        <w:rPr>
          <w:vertAlign w:val="superscript"/>
          <w:lang w:val="en-GB"/>
        </w:rPr>
        <w:t>§</w:t>
      </w:r>
      <w:r w:rsidRPr="003C277E">
        <w:rPr>
          <w:vertAlign w:val="superscript"/>
          <w:lang w:val="en-US"/>
        </w:rPr>
        <w:t>1</w:t>
      </w:r>
      <w:r w:rsidRPr="003C277E">
        <w:rPr>
          <w:lang w:val="en-US"/>
        </w:rPr>
        <w:t xml:space="preserve">, </w:t>
      </w:r>
      <w:hyperlink r:id="rId7" w:history="1">
        <w:r w:rsidRPr="003C277E">
          <w:rPr>
            <w:rStyle w:val="Hyperlink"/>
            <w:lang w:val="en-US"/>
          </w:rPr>
          <w:t>Ingrid Meulenbelt</w:t>
        </w:r>
      </w:hyperlink>
      <w:r w:rsidRPr="003C277E">
        <w:rPr>
          <w:vertAlign w:val="superscript"/>
          <w:lang w:val="en-GB"/>
        </w:rPr>
        <w:t>§</w:t>
      </w:r>
      <w:r w:rsidRPr="003C277E">
        <w:rPr>
          <w:vertAlign w:val="superscript"/>
          <w:lang w:val="en-US"/>
        </w:rPr>
        <w:t>*1</w:t>
      </w:r>
    </w:p>
    <w:p w14:paraId="12E8DA55" w14:textId="5173B13C" w:rsidR="003C277E" w:rsidRPr="003C277E" w:rsidRDefault="003C277E">
      <w:pPr>
        <w:rPr>
          <w:lang w:val="en-GB"/>
        </w:rPr>
      </w:pPr>
      <w:r>
        <w:rPr>
          <w:lang w:val="en-GB"/>
        </w:rPr>
        <w:t>Supplementary Figures</w:t>
      </w:r>
      <w:r w:rsidRPr="003C277E">
        <w:rPr>
          <w:lang w:val="en-GB"/>
        </w:rPr>
        <w:br w:type="page"/>
      </w:r>
    </w:p>
    <w:p w14:paraId="681B44B8" w14:textId="236E2D87" w:rsidR="003C277E" w:rsidRDefault="00363E13">
      <w:pPr>
        <w:rPr>
          <w:lang w:val="en-US"/>
        </w:rPr>
      </w:pPr>
      <w:r w:rsidRPr="005F7559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A732C26" wp14:editId="2D4AF74C">
                <wp:simplePos x="0" y="0"/>
                <wp:positionH relativeFrom="margin">
                  <wp:align>right</wp:align>
                </wp:positionH>
                <wp:positionV relativeFrom="paragraph">
                  <wp:posOffset>337185</wp:posOffset>
                </wp:positionV>
                <wp:extent cx="6113145" cy="7376160"/>
                <wp:effectExtent l="0" t="0" r="190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3145" cy="737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DB785" w14:textId="77777777" w:rsidR="003C277E" w:rsidRDefault="003C277E" w:rsidP="00363E13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E8B5CB" wp14:editId="3B930DC7">
                                  <wp:extent cx="3703320" cy="5627064"/>
                                  <wp:effectExtent l="0" t="0" r="0" b="0"/>
                                  <wp:docPr id="1" name="Picture 1" descr="A screenshot of a comput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screenshot of a compute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1333" cy="56392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2B22F3" w14:textId="7899ACD8" w:rsidR="003C277E" w:rsidRPr="005F7559" w:rsidRDefault="003C277E" w:rsidP="00363E13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  <w:r w:rsidRPr="005F7559">
                              <w:rPr>
                                <w:b/>
                                <w:bCs/>
                                <w:lang w:val="en-US"/>
                              </w:rPr>
                              <w:t xml:space="preserve">Figure S1. Characterization of hiPSC cell-lines. </w:t>
                            </w:r>
                            <w:r w:rsidRPr="005F7559">
                              <w:rPr>
                                <w:lang w:val="en-US"/>
                              </w:rPr>
                              <w:t>(</w:t>
                            </w:r>
                            <w:r w:rsidRPr="005F7559">
                              <w:rPr>
                                <w:b/>
                                <w:bCs/>
                                <w:lang w:val="en-US"/>
                              </w:rPr>
                              <w:t>A</w:t>
                            </w:r>
                            <w:r w:rsidRPr="005F7559">
                              <w:rPr>
                                <w:lang w:val="en-US"/>
                              </w:rPr>
                              <w:t xml:space="preserve"> and </w:t>
                            </w:r>
                            <w:r w:rsidRPr="005F7559">
                              <w:rPr>
                                <w:b/>
                                <w:bCs/>
                                <w:lang w:val="en-US"/>
                              </w:rPr>
                              <w:t>B</w:t>
                            </w:r>
                            <w:r w:rsidRPr="005F7559">
                              <w:rPr>
                                <w:lang w:val="en-US"/>
                              </w:rPr>
                              <w:t xml:space="preserve">) representative pictures of </w:t>
                            </w:r>
                            <w:r w:rsidR="00A8082C">
                              <w:rPr>
                                <w:lang w:val="en-US"/>
                              </w:rPr>
                              <w:t xml:space="preserve">hiPSCs </w:t>
                            </w:r>
                            <w:r w:rsidRPr="005F7559">
                              <w:rPr>
                                <w:lang w:val="en-US"/>
                              </w:rPr>
                              <w:t>confirming adequa</w:t>
                            </w:r>
                            <w:r w:rsidR="00A8082C">
                              <w:rPr>
                                <w:lang w:val="en-US"/>
                              </w:rPr>
                              <w:t>te</w:t>
                            </w:r>
                            <w:r w:rsidRPr="005F7559">
                              <w:rPr>
                                <w:lang w:val="en-US"/>
                              </w:rPr>
                              <w:t xml:space="preserve"> pluripotency and spontaneous differentiation capacity of human skin fibroblast-derived iPSCs (2 cell-lines from healthy donors: LUMC0004iCTRL12-LUMC0030iCTRL12) and human cartilage-derived iPSCs (3 Clones from preserved cartilage of a patient who underwent joint replacement surgery due to OA: LUMC0131iCTRL02- LUMC0131iCTRL04- LUMC0131iCTRL05), respecti</w:t>
                            </w:r>
                            <w:r w:rsidR="00A8082C">
                              <w:rPr>
                                <w:lang w:val="en-US"/>
                              </w:rPr>
                              <w:t>v</w:t>
                            </w:r>
                            <w:r w:rsidRPr="005F7559">
                              <w:rPr>
                                <w:lang w:val="en-US"/>
                              </w:rPr>
                              <w:t>ely. (</w:t>
                            </w:r>
                            <w:r w:rsidRPr="005F7559">
                              <w:rPr>
                                <w:b/>
                                <w:bCs/>
                                <w:lang w:val="en-US"/>
                              </w:rPr>
                              <w:t>C</w:t>
                            </w:r>
                            <w:r w:rsidRPr="005F7559">
                              <w:rPr>
                                <w:lang w:val="en-US"/>
                              </w:rPr>
                              <w:t>) Presence of pluripotency and differentiation markers in all hiPSCs sources used in the study. (</w:t>
                            </w:r>
                            <w:r w:rsidRPr="005F7559">
                              <w:rPr>
                                <w:b/>
                                <w:bCs/>
                                <w:lang w:val="en-US"/>
                              </w:rPr>
                              <w:t>D</w:t>
                            </w:r>
                            <w:r w:rsidRPr="005F7559">
                              <w:rPr>
                                <w:lang w:val="en-US"/>
                              </w:rPr>
                              <w:t>) Confirming the normal karyotypes in all hiPSCs sources after reprogramming.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32C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0.15pt;margin-top:26.55pt;width:481.35pt;height:580.8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" stroked="f">
                <v:textbox>
                  <w:txbxContent>
                    <w:p w14:paraId="0B5DB785" w14:textId="77777777" w:rsidR="003C277E" w:rsidRDefault="003C277E" w:rsidP="00363E13">
                      <w:pPr>
                        <w:jc w:val="both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5E8B5CB" wp14:editId="3B930DC7">
                            <wp:extent cx="3703320" cy="5627064"/>
                            <wp:effectExtent l="0" t="0" r="0" b="0"/>
                            <wp:docPr id="1" name="Picture 1" descr="A screenshot of a comput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screenshot of a computer&#10;&#10;Description automatically generated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11333" cy="56392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2B22F3" w14:textId="7899ACD8" w:rsidR="003C277E" w:rsidRPr="005F7559" w:rsidRDefault="003C277E" w:rsidP="00363E13">
                      <w:pPr>
                        <w:jc w:val="both"/>
                        <w:rPr>
                          <w:lang w:val="en-US"/>
                        </w:rPr>
                      </w:pPr>
                      <w:r w:rsidRPr="005F7559">
                        <w:rPr>
                          <w:b/>
                          <w:bCs/>
                          <w:lang w:val="en-US"/>
                        </w:rPr>
                        <w:t xml:space="preserve">Figure S1. Characterization of hiPSC cell-lines. </w:t>
                      </w:r>
                      <w:r w:rsidRPr="005F7559">
                        <w:rPr>
                          <w:lang w:val="en-US"/>
                        </w:rPr>
                        <w:t>(</w:t>
                      </w:r>
                      <w:r w:rsidRPr="005F7559">
                        <w:rPr>
                          <w:b/>
                          <w:bCs/>
                          <w:lang w:val="en-US"/>
                        </w:rPr>
                        <w:t>A</w:t>
                      </w:r>
                      <w:r w:rsidRPr="005F7559">
                        <w:rPr>
                          <w:lang w:val="en-US"/>
                        </w:rPr>
                        <w:t xml:space="preserve"> and </w:t>
                      </w:r>
                      <w:r w:rsidRPr="005F7559">
                        <w:rPr>
                          <w:b/>
                          <w:bCs/>
                          <w:lang w:val="en-US"/>
                        </w:rPr>
                        <w:t>B</w:t>
                      </w:r>
                      <w:r w:rsidRPr="005F7559">
                        <w:rPr>
                          <w:lang w:val="en-US"/>
                        </w:rPr>
                        <w:t xml:space="preserve">) representative pictures of </w:t>
                      </w:r>
                      <w:r w:rsidR="00A8082C">
                        <w:rPr>
                          <w:lang w:val="en-US"/>
                        </w:rPr>
                        <w:t xml:space="preserve">hiPSCs </w:t>
                      </w:r>
                      <w:r w:rsidRPr="005F7559">
                        <w:rPr>
                          <w:lang w:val="en-US"/>
                        </w:rPr>
                        <w:t>confirming adequa</w:t>
                      </w:r>
                      <w:r w:rsidR="00A8082C">
                        <w:rPr>
                          <w:lang w:val="en-US"/>
                        </w:rPr>
                        <w:t>te</w:t>
                      </w:r>
                      <w:r w:rsidRPr="005F7559">
                        <w:rPr>
                          <w:lang w:val="en-US"/>
                        </w:rPr>
                        <w:t xml:space="preserve"> pluripotency and spontaneous differentiation capacity of human skin fibroblast-derived iPSCs (2 cell-lines from healthy donors: LUMC0004iCTRL12-LUMC0030iCTRL12) and human cartilage-derived iPSCs (3 Clones from preserved cartilage of a patient who underwent joint replacement surgery due to OA: LUMC0131iCTRL02- LUMC0131iCTRL04- LUMC0131iCTRL05), respecti</w:t>
                      </w:r>
                      <w:r w:rsidR="00A8082C">
                        <w:rPr>
                          <w:lang w:val="en-US"/>
                        </w:rPr>
                        <w:t>v</w:t>
                      </w:r>
                      <w:r w:rsidRPr="005F7559">
                        <w:rPr>
                          <w:lang w:val="en-US"/>
                        </w:rPr>
                        <w:t>ely. (</w:t>
                      </w:r>
                      <w:r w:rsidRPr="005F7559">
                        <w:rPr>
                          <w:b/>
                          <w:bCs/>
                          <w:lang w:val="en-US"/>
                        </w:rPr>
                        <w:t>C</w:t>
                      </w:r>
                      <w:r w:rsidRPr="005F7559">
                        <w:rPr>
                          <w:lang w:val="en-US"/>
                        </w:rPr>
                        <w:t>) Presence of pluripotency and differentiation markers in all hiPSCs sources used in the study. (</w:t>
                      </w:r>
                      <w:r w:rsidRPr="005F7559">
                        <w:rPr>
                          <w:b/>
                          <w:bCs/>
                          <w:lang w:val="en-US"/>
                        </w:rPr>
                        <w:t>D</w:t>
                      </w:r>
                      <w:r w:rsidRPr="005F7559">
                        <w:rPr>
                          <w:lang w:val="en-US"/>
                        </w:rPr>
                        <w:t>) Confirming the normal karyotypes in all hiPSCs sources after reprogramming.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277E">
        <w:rPr>
          <w:lang w:val="en-US"/>
        </w:rPr>
        <w:br w:type="page"/>
      </w:r>
    </w:p>
    <w:p w14:paraId="462D3E8D" w14:textId="5DC2C195" w:rsidR="005F7559" w:rsidRPr="003C277E" w:rsidRDefault="005F7559">
      <w:pPr>
        <w:rPr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8946B3" wp14:editId="66064490">
                <wp:simplePos x="0" y="0"/>
                <wp:positionH relativeFrom="margin">
                  <wp:align>right</wp:align>
                </wp:positionH>
                <wp:positionV relativeFrom="paragraph">
                  <wp:posOffset>173355</wp:posOffset>
                </wp:positionV>
                <wp:extent cx="6106795" cy="8672830"/>
                <wp:effectExtent l="0" t="0" r="825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373" cy="867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EFDF7" w14:textId="5FD45C27" w:rsidR="005F7559" w:rsidRDefault="00363E13" w:rsidP="00363E13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  <w:r w:rsidRPr="00363E13">
                              <w:drawing>
                                <wp:inline distT="0" distB="0" distL="0" distR="0" wp14:anchorId="70E037C8" wp14:editId="1A027270">
                                  <wp:extent cx="5411338" cy="6223983"/>
                                  <wp:effectExtent l="0" t="0" r="0" b="5715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16372" cy="62297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1F2EEE" w14:textId="1BCC1CDE" w:rsidR="005F7559" w:rsidRPr="005F7559" w:rsidRDefault="005F7559" w:rsidP="00363E13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  <w:r w:rsidRPr="005F7559">
                              <w:rPr>
                                <w:b/>
                                <w:bCs/>
                                <w:lang w:val="en-US"/>
                              </w:rPr>
                              <w:t>Figure S2.</w:t>
                            </w:r>
                            <w:r w:rsidRPr="005F755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63E13">
                              <w:rPr>
                                <w:b/>
                                <w:bCs/>
                                <w:lang w:val="en-US"/>
                              </w:rPr>
                              <w:t>Histology and i</w:t>
                            </w:r>
                            <w:r w:rsidR="00EC06FD">
                              <w:rPr>
                                <w:b/>
                                <w:bCs/>
                                <w:lang w:val="en-US"/>
                              </w:rPr>
                              <w:t xml:space="preserve">mmunohistochemistry </w:t>
                            </w:r>
                            <w:r w:rsidRPr="005F7559">
                              <w:rPr>
                                <w:b/>
                                <w:bCs/>
                                <w:lang w:val="en-US"/>
                              </w:rPr>
                              <w:t xml:space="preserve">of </w:t>
                            </w:r>
                            <w:r w:rsidR="00363E13">
                              <w:rPr>
                                <w:b/>
                                <w:bCs/>
                                <w:lang w:val="en-US"/>
                              </w:rPr>
                              <w:t>h</w:t>
                            </w:r>
                            <w:r w:rsidRPr="005F7559">
                              <w:rPr>
                                <w:b/>
                                <w:bCs/>
                                <w:lang w:val="en-US"/>
                              </w:rPr>
                              <w:t>iPSC derived chondroprogenitor cells toward</w:t>
                            </w:r>
                            <w:r w:rsidR="00EC06FD">
                              <w:rPr>
                                <w:b/>
                                <w:bCs/>
                                <w:lang w:val="en-US"/>
                              </w:rPr>
                              <w:t>s</w:t>
                            </w:r>
                            <w:r w:rsidRPr="005F7559">
                              <w:rPr>
                                <w:b/>
                                <w:bCs/>
                                <w:lang w:val="en-US"/>
                              </w:rPr>
                              <w:t xml:space="preserve"> neo-cartilage.</w:t>
                            </w:r>
                            <w:r w:rsidRPr="005F7559">
                              <w:rPr>
                                <w:lang w:val="en-US"/>
                              </w:rPr>
                              <w:t xml:space="preserve"> (</w:t>
                            </w:r>
                            <w:r w:rsidRPr="005F7559">
                              <w:rPr>
                                <w:b/>
                                <w:bCs/>
                                <w:lang w:val="en-US"/>
                              </w:rPr>
                              <w:t>A</w:t>
                            </w:r>
                            <w:r w:rsidRPr="005F7559">
                              <w:rPr>
                                <w:lang w:val="en-US"/>
                              </w:rPr>
                              <w:t xml:space="preserve">) </w:t>
                            </w:r>
                            <w:r w:rsidR="00363E13" w:rsidRPr="005F4ACC">
                              <w:rPr>
                                <w:rFonts w:ascii="Calibri" w:hAnsi="Calibri" w:cs="Calibri"/>
                                <w:lang w:val="en-US"/>
                              </w:rPr>
                              <w:t>Histological evaluation of neo-cartilage from human chondrocyte-derived iPSCs (</w:t>
                            </w:r>
                            <w:proofErr w:type="spellStart"/>
                            <w:r w:rsidR="00363E13">
                              <w:rPr>
                                <w:rFonts w:ascii="Calibri" w:hAnsi="Calibri" w:cs="Calibri"/>
                                <w:lang w:val="en-US"/>
                              </w:rPr>
                              <w:t>hCiC</w:t>
                            </w:r>
                            <w:proofErr w:type="spellEnd"/>
                            <w:r w:rsidR="00363E13" w:rsidRPr="005F4ACC">
                              <w:rPr>
                                <w:rFonts w:ascii="Calibri" w:hAnsi="Calibri" w:cs="Calibri"/>
                                <w:lang w:val="en-US"/>
                              </w:rPr>
                              <w:t>) and from human fibroblast-derived iPSCs (</w:t>
                            </w:r>
                            <w:proofErr w:type="spellStart"/>
                            <w:r w:rsidR="00363E13">
                              <w:rPr>
                                <w:rFonts w:ascii="Calibri" w:hAnsi="Calibri" w:cs="Calibri"/>
                                <w:lang w:val="en-US"/>
                              </w:rPr>
                              <w:t>hFiC</w:t>
                            </w:r>
                            <w:proofErr w:type="spellEnd"/>
                            <w:r w:rsidR="00363E13" w:rsidRPr="005F4ACC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) by </w:t>
                            </w:r>
                            <w:proofErr w:type="spellStart"/>
                            <w:r w:rsidR="00363E13" w:rsidRPr="005F4ACC">
                              <w:rPr>
                                <w:rFonts w:ascii="Calibri" w:hAnsi="Calibri" w:cs="Calibri"/>
                                <w:lang w:val="en-US"/>
                              </w:rPr>
                              <w:t>Haematoxylin</w:t>
                            </w:r>
                            <w:proofErr w:type="spellEnd"/>
                            <w:r w:rsidR="00363E13" w:rsidRPr="005F4ACC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-eosin (H&amp;E) staining, </w:t>
                            </w:r>
                            <w:r w:rsidR="00363E13">
                              <w:rPr>
                                <w:rFonts w:ascii="Calibri" w:hAnsi="Calibri" w:cs="Calibri"/>
                                <w:lang w:val="en-US"/>
                              </w:rPr>
                              <w:t>compared to primary articular chondrocytes (</w:t>
                            </w:r>
                            <w:proofErr w:type="spellStart"/>
                            <w:r w:rsidR="00363E13">
                              <w:rPr>
                                <w:rFonts w:ascii="Calibri" w:hAnsi="Calibri" w:cs="Calibri"/>
                                <w:lang w:val="en-US"/>
                              </w:rPr>
                              <w:t>hPACs</w:t>
                            </w:r>
                            <w:proofErr w:type="spellEnd"/>
                            <w:r w:rsidR="00363E13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; </w:t>
                            </w:r>
                            <w:r w:rsidR="00363E13" w:rsidRPr="005F4ACC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day 7, </w:t>
                            </w:r>
                            <w:r w:rsidR="00363E13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14, </w:t>
                            </w:r>
                            <w:r w:rsidR="00363E13" w:rsidRPr="005F4ACC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21, </w:t>
                            </w:r>
                            <w:r w:rsidR="00363E13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and </w:t>
                            </w:r>
                            <w:r w:rsidR="00363E13" w:rsidRPr="005F4ACC">
                              <w:rPr>
                                <w:rFonts w:ascii="Calibri" w:hAnsi="Calibri" w:cs="Calibri"/>
                                <w:lang w:val="en-US"/>
                              </w:rPr>
                              <w:t>35 of chondrogenic differentiation</w:t>
                            </w:r>
                            <w:r w:rsidR="00363E13">
                              <w:rPr>
                                <w:rFonts w:ascii="Calibri" w:hAnsi="Calibri" w:cs="Calibri"/>
                                <w:lang w:val="en-US"/>
                              </w:rPr>
                              <w:t>)</w:t>
                            </w:r>
                            <w:r w:rsidR="00363E13" w:rsidRPr="005F4ACC">
                              <w:rPr>
                                <w:rFonts w:ascii="Calibri" w:hAnsi="Calibri" w:cs="Calibri"/>
                                <w:lang w:val="en-US"/>
                              </w:rPr>
                              <w:t>.</w:t>
                            </w:r>
                            <w:r w:rsidR="00363E13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</w:t>
                            </w:r>
                            <w:r w:rsidR="00363E13" w:rsidRPr="005F7559">
                              <w:rPr>
                                <w:lang w:val="en-US"/>
                              </w:rPr>
                              <w:t>(</w:t>
                            </w:r>
                            <w:r w:rsidR="00363E13" w:rsidRPr="005F7559">
                              <w:rPr>
                                <w:b/>
                                <w:bCs/>
                                <w:lang w:val="en-US"/>
                              </w:rPr>
                              <w:t>B</w:t>
                            </w:r>
                            <w:r w:rsidR="00363E13" w:rsidRPr="005F7559">
                              <w:rPr>
                                <w:lang w:val="en-US"/>
                              </w:rPr>
                              <w:t>)</w:t>
                            </w:r>
                            <w:r w:rsidR="00363E13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5F7559">
                              <w:rPr>
                                <w:lang w:val="en-US"/>
                              </w:rPr>
                              <w:t>Immunohistochemical staining (</w:t>
                            </w:r>
                            <w:r w:rsidRPr="005F7559">
                              <w:rPr>
                                <w:b/>
                                <w:bCs/>
                                <w:lang w:val="en-US"/>
                              </w:rPr>
                              <w:t xml:space="preserve">Anti-Cytokeratin 7 Antibody (CK)) </w:t>
                            </w:r>
                            <w:r w:rsidRPr="005F7559">
                              <w:rPr>
                                <w:lang w:val="en-US"/>
                              </w:rPr>
                              <w:t xml:space="preserve">showing the </w:t>
                            </w:r>
                            <w:r w:rsidR="00EC06FD">
                              <w:rPr>
                                <w:lang w:val="en-US"/>
                              </w:rPr>
                              <w:t>presence</w:t>
                            </w:r>
                            <w:r w:rsidRPr="005F7559">
                              <w:rPr>
                                <w:lang w:val="en-US"/>
                              </w:rPr>
                              <w:t xml:space="preserve"> of keratinocytes distributed in a mesh-like form amongst the undifferentiated/undefined population around the 3D neo-cartilage during the first 21 days of chondrogenic differentiation. (</w:t>
                            </w:r>
                            <w:r w:rsidR="00363E13">
                              <w:rPr>
                                <w:b/>
                                <w:bCs/>
                                <w:lang w:val="en-US"/>
                              </w:rPr>
                              <w:t>C</w:t>
                            </w:r>
                            <w:r w:rsidRPr="005F7559">
                              <w:rPr>
                                <w:lang w:val="en-US"/>
                              </w:rPr>
                              <w:t>) Quantification of cytokeratin presence present</w:t>
                            </w:r>
                            <w:r w:rsidR="00EC06FD">
                              <w:rPr>
                                <w:lang w:val="en-US"/>
                              </w:rPr>
                              <w:t>ed</w:t>
                            </w:r>
                            <w:r w:rsidRPr="005F7559">
                              <w:rPr>
                                <w:lang w:val="en-US"/>
                              </w:rPr>
                              <w:t xml:space="preserve"> by percentage of area in </w:t>
                            </w:r>
                            <w:proofErr w:type="spellStart"/>
                            <w:r w:rsidRPr="005F7559">
                              <w:rPr>
                                <w:lang w:val="en-US"/>
                              </w:rPr>
                              <w:t>hCiC</w:t>
                            </w:r>
                            <w:proofErr w:type="spellEnd"/>
                            <w:r w:rsidRPr="005F7559">
                              <w:rPr>
                                <w:lang w:val="en-US"/>
                              </w:rPr>
                              <w:t xml:space="preserve"> compared to </w:t>
                            </w:r>
                            <w:proofErr w:type="spellStart"/>
                            <w:r w:rsidRPr="005F7559">
                              <w:rPr>
                                <w:lang w:val="en-US"/>
                              </w:rPr>
                              <w:t>hPAC</w:t>
                            </w:r>
                            <w:proofErr w:type="spellEnd"/>
                            <w:r w:rsidRPr="005F7559">
                              <w:rPr>
                                <w:lang w:val="en-US"/>
                              </w:rPr>
                              <w:t>. (</w:t>
                            </w:r>
                            <w:r w:rsidR="00363E13">
                              <w:rPr>
                                <w:b/>
                                <w:bCs/>
                                <w:lang w:val="en-US"/>
                              </w:rPr>
                              <w:t>D</w:t>
                            </w:r>
                            <w:r w:rsidRPr="005F7559">
                              <w:rPr>
                                <w:lang w:val="en-US"/>
                              </w:rPr>
                              <w:t xml:space="preserve">) Quantification of cytokeratin </w:t>
                            </w:r>
                            <w:r w:rsidR="00EC06FD">
                              <w:rPr>
                                <w:lang w:val="en-US"/>
                              </w:rPr>
                              <w:t xml:space="preserve">immunohistochemistry </w:t>
                            </w:r>
                            <w:r w:rsidRPr="005F7559">
                              <w:rPr>
                                <w:lang w:val="en-US"/>
                              </w:rPr>
                              <w:t>present</w:t>
                            </w:r>
                            <w:r w:rsidR="00EC06FD">
                              <w:rPr>
                                <w:lang w:val="en-US"/>
                              </w:rPr>
                              <w:t>ed</w:t>
                            </w:r>
                            <w:r w:rsidRPr="005F7559">
                              <w:rPr>
                                <w:lang w:val="en-US"/>
                              </w:rPr>
                              <w:t xml:space="preserve"> by percentage of area in </w:t>
                            </w:r>
                            <w:proofErr w:type="spellStart"/>
                            <w:r w:rsidRPr="005F7559">
                              <w:rPr>
                                <w:lang w:val="en-US"/>
                              </w:rPr>
                              <w:t>hFiC</w:t>
                            </w:r>
                            <w:proofErr w:type="spellEnd"/>
                            <w:r w:rsidRPr="005F7559">
                              <w:rPr>
                                <w:lang w:val="en-US"/>
                              </w:rPr>
                              <w:t xml:space="preserve"> compared to </w:t>
                            </w:r>
                            <w:proofErr w:type="spellStart"/>
                            <w:r w:rsidRPr="005F7559">
                              <w:rPr>
                                <w:lang w:val="en-US"/>
                              </w:rPr>
                              <w:t>hPAC</w:t>
                            </w:r>
                            <w:proofErr w:type="spellEnd"/>
                            <w:r w:rsidRPr="005F7559">
                              <w:rPr>
                                <w:lang w:val="en-US"/>
                              </w:rPr>
                              <w:t xml:space="preserve">. Scale bars in CPC: 50 </w:t>
                            </w:r>
                            <w:r w:rsidRPr="005F7559">
                              <w:rPr>
                                <w:lang w:val="en-SG"/>
                              </w:rPr>
                              <w:t>μ</w:t>
                            </w:r>
                            <w:r w:rsidRPr="005F7559">
                              <w:rPr>
                                <w:lang w:val="en-US"/>
                              </w:rPr>
                              <w:t xml:space="preserve">m, other scale bars: 100 </w:t>
                            </w:r>
                            <w:r w:rsidRPr="005F7559">
                              <w:rPr>
                                <w:lang w:val="en-SG"/>
                              </w:rPr>
                              <w:t>μ</w:t>
                            </w:r>
                            <w:r w:rsidRPr="005F7559">
                              <w:rPr>
                                <w:lang w:val="en-US"/>
                              </w:rPr>
                              <w:t>m. All data are presented as mean ± STD. Two-tailed Student’s </w:t>
                            </w:r>
                            <w:r w:rsidRPr="005F7559">
                              <w:rPr>
                                <w:i/>
                                <w:iCs/>
                                <w:lang w:val="en-US"/>
                              </w:rPr>
                              <w:t>t</w:t>
                            </w:r>
                            <w:r w:rsidRPr="005F7559">
                              <w:rPr>
                                <w:lang w:val="en-US"/>
                              </w:rPr>
                              <w:t xml:space="preserve"> tests were used to compare 1) each group relative to CPC (stars on top of the bars) and 2) each group relative to </w:t>
                            </w:r>
                            <w:proofErr w:type="spellStart"/>
                            <w:r w:rsidRPr="005F7559">
                              <w:rPr>
                                <w:lang w:val="en-US"/>
                              </w:rPr>
                              <w:t>hPAC</w:t>
                            </w:r>
                            <w:proofErr w:type="spellEnd"/>
                            <w:r w:rsidRPr="005F7559">
                              <w:rPr>
                                <w:lang w:val="en-US"/>
                              </w:rPr>
                              <w:t xml:space="preserve"> (indicated by lines). *</w:t>
                            </w:r>
                            <w:r w:rsidRPr="005F7559">
                              <w:rPr>
                                <w:i/>
                                <w:iCs/>
                                <w:lang w:val="en-US"/>
                              </w:rPr>
                              <w:t>p</w:t>
                            </w:r>
                            <w:r w:rsidRPr="005F7559">
                              <w:rPr>
                                <w:lang w:val="en-US"/>
                              </w:rPr>
                              <w:t> &lt; 0.05, **</w:t>
                            </w:r>
                            <w:r w:rsidRPr="005F7559">
                              <w:rPr>
                                <w:i/>
                                <w:iCs/>
                                <w:lang w:val="en-US"/>
                              </w:rPr>
                              <w:t>p</w:t>
                            </w:r>
                            <w:r w:rsidRPr="005F7559">
                              <w:rPr>
                                <w:lang w:val="en-US"/>
                              </w:rPr>
                              <w:t> &lt; 0.01, ***</w:t>
                            </w:r>
                            <w:r w:rsidRPr="005F7559">
                              <w:rPr>
                                <w:i/>
                                <w:iCs/>
                                <w:lang w:val="en-US"/>
                              </w:rPr>
                              <w:t>p</w:t>
                            </w:r>
                            <w:r w:rsidRPr="005F7559">
                              <w:rPr>
                                <w:lang w:val="en-US"/>
                              </w:rPr>
                              <w:t> &lt; 0.001, ****</w:t>
                            </w:r>
                            <w:r w:rsidRPr="005F7559">
                              <w:rPr>
                                <w:i/>
                                <w:iCs/>
                                <w:lang w:val="en-US"/>
                              </w:rPr>
                              <w:t>p</w:t>
                            </w:r>
                            <w:r w:rsidRPr="005F7559">
                              <w:rPr>
                                <w:lang w:val="en-US"/>
                              </w:rPr>
                              <w:t> &lt; 0.0001.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946B3" id="_x0000_s1027" type="#_x0000_t202" style="position:absolute;margin-left:429.65pt;margin-top:13.65pt;width:480.85pt;height:682.9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" stroked="f">
                <v:textbox>
                  <w:txbxContent>
                    <w:p w14:paraId="702EFDF7" w14:textId="5FD45C27" w:rsidR="005F7559" w:rsidRDefault="00363E13" w:rsidP="00363E13">
                      <w:pPr>
                        <w:jc w:val="both"/>
                        <w:rPr>
                          <w:lang w:val="en-US"/>
                        </w:rPr>
                      </w:pPr>
                      <w:r w:rsidRPr="00363E13">
                        <w:drawing>
                          <wp:inline distT="0" distB="0" distL="0" distR="0" wp14:anchorId="70E037C8" wp14:editId="1A027270">
                            <wp:extent cx="5411338" cy="6223983"/>
                            <wp:effectExtent l="0" t="0" r="0" b="5715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16372" cy="62297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61F2EEE" w14:textId="1BCC1CDE" w:rsidR="005F7559" w:rsidRPr="005F7559" w:rsidRDefault="005F7559" w:rsidP="00363E13">
                      <w:pPr>
                        <w:jc w:val="both"/>
                        <w:rPr>
                          <w:lang w:val="en-US"/>
                        </w:rPr>
                      </w:pPr>
                      <w:r w:rsidRPr="005F7559">
                        <w:rPr>
                          <w:b/>
                          <w:bCs/>
                          <w:lang w:val="en-US"/>
                        </w:rPr>
                        <w:t>Figure S2.</w:t>
                      </w:r>
                      <w:r w:rsidRPr="005F7559">
                        <w:rPr>
                          <w:lang w:val="en-US"/>
                        </w:rPr>
                        <w:t xml:space="preserve"> </w:t>
                      </w:r>
                      <w:r w:rsidR="00363E13">
                        <w:rPr>
                          <w:b/>
                          <w:bCs/>
                          <w:lang w:val="en-US"/>
                        </w:rPr>
                        <w:t>Histology and i</w:t>
                      </w:r>
                      <w:r w:rsidR="00EC06FD">
                        <w:rPr>
                          <w:b/>
                          <w:bCs/>
                          <w:lang w:val="en-US"/>
                        </w:rPr>
                        <w:t xml:space="preserve">mmunohistochemistry </w:t>
                      </w:r>
                      <w:r w:rsidRPr="005F7559">
                        <w:rPr>
                          <w:b/>
                          <w:bCs/>
                          <w:lang w:val="en-US"/>
                        </w:rPr>
                        <w:t xml:space="preserve">of </w:t>
                      </w:r>
                      <w:r w:rsidR="00363E13">
                        <w:rPr>
                          <w:b/>
                          <w:bCs/>
                          <w:lang w:val="en-US"/>
                        </w:rPr>
                        <w:t>h</w:t>
                      </w:r>
                      <w:r w:rsidRPr="005F7559">
                        <w:rPr>
                          <w:b/>
                          <w:bCs/>
                          <w:lang w:val="en-US"/>
                        </w:rPr>
                        <w:t>iPSC derived chondroprogenitor cells toward</w:t>
                      </w:r>
                      <w:r w:rsidR="00EC06FD">
                        <w:rPr>
                          <w:b/>
                          <w:bCs/>
                          <w:lang w:val="en-US"/>
                        </w:rPr>
                        <w:t>s</w:t>
                      </w:r>
                      <w:r w:rsidRPr="005F7559">
                        <w:rPr>
                          <w:b/>
                          <w:bCs/>
                          <w:lang w:val="en-US"/>
                        </w:rPr>
                        <w:t xml:space="preserve"> neo-cartilage.</w:t>
                      </w:r>
                      <w:r w:rsidRPr="005F7559">
                        <w:rPr>
                          <w:lang w:val="en-US"/>
                        </w:rPr>
                        <w:t xml:space="preserve"> (</w:t>
                      </w:r>
                      <w:r w:rsidRPr="005F7559">
                        <w:rPr>
                          <w:b/>
                          <w:bCs/>
                          <w:lang w:val="en-US"/>
                        </w:rPr>
                        <w:t>A</w:t>
                      </w:r>
                      <w:r w:rsidRPr="005F7559">
                        <w:rPr>
                          <w:lang w:val="en-US"/>
                        </w:rPr>
                        <w:t xml:space="preserve">) </w:t>
                      </w:r>
                      <w:r w:rsidR="00363E13" w:rsidRPr="005F4ACC">
                        <w:rPr>
                          <w:rFonts w:ascii="Calibri" w:hAnsi="Calibri" w:cs="Calibri"/>
                          <w:lang w:val="en-US"/>
                        </w:rPr>
                        <w:t>Histological evaluation of neo-cartilage from human chondrocyte-derived iPSCs (</w:t>
                      </w:r>
                      <w:proofErr w:type="spellStart"/>
                      <w:r w:rsidR="00363E13">
                        <w:rPr>
                          <w:rFonts w:ascii="Calibri" w:hAnsi="Calibri" w:cs="Calibri"/>
                          <w:lang w:val="en-US"/>
                        </w:rPr>
                        <w:t>hCiC</w:t>
                      </w:r>
                      <w:proofErr w:type="spellEnd"/>
                      <w:r w:rsidR="00363E13" w:rsidRPr="005F4ACC">
                        <w:rPr>
                          <w:rFonts w:ascii="Calibri" w:hAnsi="Calibri" w:cs="Calibri"/>
                          <w:lang w:val="en-US"/>
                        </w:rPr>
                        <w:t>) and from human fibroblast-derived iPSCs (</w:t>
                      </w:r>
                      <w:proofErr w:type="spellStart"/>
                      <w:r w:rsidR="00363E13">
                        <w:rPr>
                          <w:rFonts w:ascii="Calibri" w:hAnsi="Calibri" w:cs="Calibri"/>
                          <w:lang w:val="en-US"/>
                        </w:rPr>
                        <w:t>hFiC</w:t>
                      </w:r>
                      <w:proofErr w:type="spellEnd"/>
                      <w:r w:rsidR="00363E13" w:rsidRPr="005F4ACC">
                        <w:rPr>
                          <w:rFonts w:ascii="Calibri" w:hAnsi="Calibri" w:cs="Calibri"/>
                          <w:lang w:val="en-US"/>
                        </w:rPr>
                        <w:t xml:space="preserve">) by </w:t>
                      </w:r>
                      <w:proofErr w:type="spellStart"/>
                      <w:r w:rsidR="00363E13" w:rsidRPr="005F4ACC">
                        <w:rPr>
                          <w:rFonts w:ascii="Calibri" w:hAnsi="Calibri" w:cs="Calibri"/>
                          <w:lang w:val="en-US"/>
                        </w:rPr>
                        <w:t>Haematoxylin</w:t>
                      </w:r>
                      <w:proofErr w:type="spellEnd"/>
                      <w:r w:rsidR="00363E13" w:rsidRPr="005F4ACC">
                        <w:rPr>
                          <w:rFonts w:ascii="Calibri" w:hAnsi="Calibri" w:cs="Calibri"/>
                          <w:lang w:val="en-US"/>
                        </w:rPr>
                        <w:t xml:space="preserve">-eosin (H&amp;E) staining, </w:t>
                      </w:r>
                      <w:r w:rsidR="00363E13">
                        <w:rPr>
                          <w:rFonts w:ascii="Calibri" w:hAnsi="Calibri" w:cs="Calibri"/>
                          <w:lang w:val="en-US"/>
                        </w:rPr>
                        <w:t>compared to primary articular chondrocytes (</w:t>
                      </w:r>
                      <w:proofErr w:type="spellStart"/>
                      <w:r w:rsidR="00363E13">
                        <w:rPr>
                          <w:rFonts w:ascii="Calibri" w:hAnsi="Calibri" w:cs="Calibri"/>
                          <w:lang w:val="en-US"/>
                        </w:rPr>
                        <w:t>hPACs</w:t>
                      </w:r>
                      <w:proofErr w:type="spellEnd"/>
                      <w:r w:rsidR="00363E13">
                        <w:rPr>
                          <w:rFonts w:ascii="Calibri" w:hAnsi="Calibri" w:cs="Calibri"/>
                          <w:lang w:val="en-US"/>
                        </w:rPr>
                        <w:t xml:space="preserve">; </w:t>
                      </w:r>
                      <w:r w:rsidR="00363E13" w:rsidRPr="005F4ACC">
                        <w:rPr>
                          <w:rFonts w:ascii="Calibri" w:hAnsi="Calibri" w:cs="Calibri"/>
                          <w:lang w:val="en-US"/>
                        </w:rPr>
                        <w:t xml:space="preserve">day 7, </w:t>
                      </w:r>
                      <w:r w:rsidR="00363E13">
                        <w:rPr>
                          <w:rFonts w:ascii="Calibri" w:hAnsi="Calibri" w:cs="Calibri"/>
                          <w:lang w:val="en-US"/>
                        </w:rPr>
                        <w:t xml:space="preserve">14, </w:t>
                      </w:r>
                      <w:r w:rsidR="00363E13" w:rsidRPr="005F4ACC">
                        <w:rPr>
                          <w:rFonts w:ascii="Calibri" w:hAnsi="Calibri" w:cs="Calibri"/>
                          <w:lang w:val="en-US"/>
                        </w:rPr>
                        <w:t xml:space="preserve">21, </w:t>
                      </w:r>
                      <w:r w:rsidR="00363E13">
                        <w:rPr>
                          <w:rFonts w:ascii="Calibri" w:hAnsi="Calibri" w:cs="Calibri"/>
                          <w:lang w:val="en-US"/>
                        </w:rPr>
                        <w:t xml:space="preserve">and </w:t>
                      </w:r>
                      <w:r w:rsidR="00363E13" w:rsidRPr="005F4ACC">
                        <w:rPr>
                          <w:rFonts w:ascii="Calibri" w:hAnsi="Calibri" w:cs="Calibri"/>
                          <w:lang w:val="en-US"/>
                        </w:rPr>
                        <w:t>35 of chondrogenic differentiation</w:t>
                      </w:r>
                      <w:r w:rsidR="00363E13">
                        <w:rPr>
                          <w:rFonts w:ascii="Calibri" w:hAnsi="Calibri" w:cs="Calibri"/>
                          <w:lang w:val="en-US"/>
                        </w:rPr>
                        <w:t>)</w:t>
                      </w:r>
                      <w:r w:rsidR="00363E13" w:rsidRPr="005F4ACC">
                        <w:rPr>
                          <w:rFonts w:ascii="Calibri" w:hAnsi="Calibri" w:cs="Calibri"/>
                          <w:lang w:val="en-US"/>
                        </w:rPr>
                        <w:t>.</w:t>
                      </w:r>
                      <w:r w:rsidR="00363E13">
                        <w:rPr>
                          <w:rFonts w:ascii="Calibri" w:hAnsi="Calibri" w:cs="Calibri"/>
                          <w:lang w:val="en-US"/>
                        </w:rPr>
                        <w:t xml:space="preserve"> </w:t>
                      </w:r>
                      <w:r w:rsidR="00363E13" w:rsidRPr="005F7559">
                        <w:rPr>
                          <w:lang w:val="en-US"/>
                        </w:rPr>
                        <w:t>(</w:t>
                      </w:r>
                      <w:r w:rsidR="00363E13" w:rsidRPr="005F7559">
                        <w:rPr>
                          <w:b/>
                          <w:bCs/>
                          <w:lang w:val="en-US"/>
                        </w:rPr>
                        <w:t>B</w:t>
                      </w:r>
                      <w:r w:rsidR="00363E13" w:rsidRPr="005F7559">
                        <w:rPr>
                          <w:lang w:val="en-US"/>
                        </w:rPr>
                        <w:t>)</w:t>
                      </w:r>
                      <w:r w:rsidR="00363E13">
                        <w:rPr>
                          <w:lang w:val="en-US"/>
                        </w:rPr>
                        <w:t xml:space="preserve"> </w:t>
                      </w:r>
                      <w:r w:rsidRPr="005F7559">
                        <w:rPr>
                          <w:lang w:val="en-US"/>
                        </w:rPr>
                        <w:t>Immunohistochemical staining (</w:t>
                      </w:r>
                      <w:r w:rsidRPr="005F7559">
                        <w:rPr>
                          <w:b/>
                          <w:bCs/>
                          <w:lang w:val="en-US"/>
                        </w:rPr>
                        <w:t xml:space="preserve">Anti-Cytokeratin 7 Antibody (CK)) </w:t>
                      </w:r>
                      <w:r w:rsidRPr="005F7559">
                        <w:rPr>
                          <w:lang w:val="en-US"/>
                        </w:rPr>
                        <w:t xml:space="preserve">showing the </w:t>
                      </w:r>
                      <w:r w:rsidR="00EC06FD">
                        <w:rPr>
                          <w:lang w:val="en-US"/>
                        </w:rPr>
                        <w:t>presence</w:t>
                      </w:r>
                      <w:r w:rsidRPr="005F7559">
                        <w:rPr>
                          <w:lang w:val="en-US"/>
                        </w:rPr>
                        <w:t xml:space="preserve"> of keratinocytes distributed in a mesh-like form amongst the undifferentiated/undefined population around the 3D neo-cartilage during the first 21 days of chondrogenic differentiation. (</w:t>
                      </w:r>
                      <w:r w:rsidR="00363E13">
                        <w:rPr>
                          <w:b/>
                          <w:bCs/>
                          <w:lang w:val="en-US"/>
                        </w:rPr>
                        <w:t>C</w:t>
                      </w:r>
                      <w:r w:rsidRPr="005F7559">
                        <w:rPr>
                          <w:lang w:val="en-US"/>
                        </w:rPr>
                        <w:t>) Quantification of cytokeratin presence present</w:t>
                      </w:r>
                      <w:r w:rsidR="00EC06FD">
                        <w:rPr>
                          <w:lang w:val="en-US"/>
                        </w:rPr>
                        <w:t>ed</w:t>
                      </w:r>
                      <w:r w:rsidRPr="005F7559">
                        <w:rPr>
                          <w:lang w:val="en-US"/>
                        </w:rPr>
                        <w:t xml:space="preserve"> by percentage of area in </w:t>
                      </w:r>
                      <w:proofErr w:type="spellStart"/>
                      <w:r w:rsidRPr="005F7559">
                        <w:rPr>
                          <w:lang w:val="en-US"/>
                        </w:rPr>
                        <w:t>hCiC</w:t>
                      </w:r>
                      <w:proofErr w:type="spellEnd"/>
                      <w:r w:rsidRPr="005F7559">
                        <w:rPr>
                          <w:lang w:val="en-US"/>
                        </w:rPr>
                        <w:t xml:space="preserve"> compared to </w:t>
                      </w:r>
                      <w:proofErr w:type="spellStart"/>
                      <w:r w:rsidRPr="005F7559">
                        <w:rPr>
                          <w:lang w:val="en-US"/>
                        </w:rPr>
                        <w:t>hPAC</w:t>
                      </w:r>
                      <w:proofErr w:type="spellEnd"/>
                      <w:r w:rsidRPr="005F7559">
                        <w:rPr>
                          <w:lang w:val="en-US"/>
                        </w:rPr>
                        <w:t>. (</w:t>
                      </w:r>
                      <w:r w:rsidR="00363E13">
                        <w:rPr>
                          <w:b/>
                          <w:bCs/>
                          <w:lang w:val="en-US"/>
                        </w:rPr>
                        <w:t>D</w:t>
                      </w:r>
                      <w:r w:rsidRPr="005F7559">
                        <w:rPr>
                          <w:lang w:val="en-US"/>
                        </w:rPr>
                        <w:t xml:space="preserve">) Quantification of cytokeratin </w:t>
                      </w:r>
                      <w:r w:rsidR="00EC06FD">
                        <w:rPr>
                          <w:lang w:val="en-US"/>
                        </w:rPr>
                        <w:t xml:space="preserve">immunohistochemistry </w:t>
                      </w:r>
                      <w:r w:rsidRPr="005F7559">
                        <w:rPr>
                          <w:lang w:val="en-US"/>
                        </w:rPr>
                        <w:t>present</w:t>
                      </w:r>
                      <w:r w:rsidR="00EC06FD">
                        <w:rPr>
                          <w:lang w:val="en-US"/>
                        </w:rPr>
                        <w:t>ed</w:t>
                      </w:r>
                      <w:r w:rsidRPr="005F7559">
                        <w:rPr>
                          <w:lang w:val="en-US"/>
                        </w:rPr>
                        <w:t xml:space="preserve"> by percentage of area in </w:t>
                      </w:r>
                      <w:proofErr w:type="spellStart"/>
                      <w:r w:rsidRPr="005F7559">
                        <w:rPr>
                          <w:lang w:val="en-US"/>
                        </w:rPr>
                        <w:t>hFiC</w:t>
                      </w:r>
                      <w:proofErr w:type="spellEnd"/>
                      <w:r w:rsidRPr="005F7559">
                        <w:rPr>
                          <w:lang w:val="en-US"/>
                        </w:rPr>
                        <w:t xml:space="preserve"> compared to </w:t>
                      </w:r>
                      <w:proofErr w:type="spellStart"/>
                      <w:r w:rsidRPr="005F7559">
                        <w:rPr>
                          <w:lang w:val="en-US"/>
                        </w:rPr>
                        <w:t>hPAC</w:t>
                      </w:r>
                      <w:proofErr w:type="spellEnd"/>
                      <w:r w:rsidRPr="005F7559">
                        <w:rPr>
                          <w:lang w:val="en-US"/>
                        </w:rPr>
                        <w:t xml:space="preserve">. Scale bars in CPC: 50 </w:t>
                      </w:r>
                      <w:r w:rsidRPr="005F7559">
                        <w:rPr>
                          <w:lang w:val="en-SG"/>
                        </w:rPr>
                        <w:t>μ</w:t>
                      </w:r>
                      <w:r w:rsidRPr="005F7559">
                        <w:rPr>
                          <w:lang w:val="en-US"/>
                        </w:rPr>
                        <w:t xml:space="preserve">m, other scale bars: 100 </w:t>
                      </w:r>
                      <w:r w:rsidRPr="005F7559">
                        <w:rPr>
                          <w:lang w:val="en-SG"/>
                        </w:rPr>
                        <w:t>μ</w:t>
                      </w:r>
                      <w:r w:rsidRPr="005F7559">
                        <w:rPr>
                          <w:lang w:val="en-US"/>
                        </w:rPr>
                        <w:t>m. All data are presented as mean ± STD. Two-tailed Student’s </w:t>
                      </w:r>
                      <w:r w:rsidRPr="005F7559">
                        <w:rPr>
                          <w:i/>
                          <w:iCs/>
                          <w:lang w:val="en-US"/>
                        </w:rPr>
                        <w:t>t</w:t>
                      </w:r>
                      <w:r w:rsidRPr="005F7559">
                        <w:rPr>
                          <w:lang w:val="en-US"/>
                        </w:rPr>
                        <w:t xml:space="preserve"> tests were used to compare 1) each group relative to CPC (stars on top of the bars) and 2) each group relative to </w:t>
                      </w:r>
                      <w:proofErr w:type="spellStart"/>
                      <w:r w:rsidRPr="005F7559">
                        <w:rPr>
                          <w:lang w:val="en-US"/>
                        </w:rPr>
                        <w:t>hPAC</w:t>
                      </w:r>
                      <w:proofErr w:type="spellEnd"/>
                      <w:r w:rsidRPr="005F7559">
                        <w:rPr>
                          <w:lang w:val="en-US"/>
                        </w:rPr>
                        <w:t xml:space="preserve"> (indicated by lines). *</w:t>
                      </w:r>
                      <w:r w:rsidRPr="005F7559">
                        <w:rPr>
                          <w:i/>
                          <w:iCs/>
                          <w:lang w:val="en-US"/>
                        </w:rPr>
                        <w:t>p</w:t>
                      </w:r>
                      <w:r w:rsidRPr="005F7559">
                        <w:rPr>
                          <w:lang w:val="en-US"/>
                        </w:rPr>
                        <w:t> &lt; 0.05, **</w:t>
                      </w:r>
                      <w:r w:rsidRPr="005F7559">
                        <w:rPr>
                          <w:i/>
                          <w:iCs/>
                          <w:lang w:val="en-US"/>
                        </w:rPr>
                        <w:t>p</w:t>
                      </w:r>
                      <w:r w:rsidRPr="005F7559">
                        <w:rPr>
                          <w:lang w:val="en-US"/>
                        </w:rPr>
                        <w:t> &lt; 0.01, ***</w:t>
                      </w:r>
                      <w:r w:rsidRPr="005F7559">
                        <w:rPr>
                          <w:i/>
                          <w:iCs/>
                          <w:lang w:val="en-US"/>
                        </w:rPr>
                        <w:t>p</w:t>
                      </w:r>
                      <w:r w:rsidRPr="005F7559">
                        <w:rPr>
                          <w:lang w:val="en-US"/>
                        </w:rPr>
                        <w:t> &lt; 0.001, ****</w:t>
                      </w:r>
                      <w:r w:rsidRPr="005F7559">
                        <w:rPr>
                          <w:i/>
                          <w:iCs/>
                          <w:lang w:val="en-US"/>
                        </w:rPr>
                        <w:t>p</w:t>
                      </w:r>
                      <w:r w:rsidRPr="005F7559">
                        <w:rPr>
                          <w:lang w:val="en-US"/>
                        </w:rPr>
                        <w:t> &lt; 0.0001.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C277E">
        <w:rPr>
          <w:lang w:val="en-GB"/>
        </w:rPr>
        <w:br w:type="page"/>
      </w:r>
    </w:p>
    <w:p w14:paraId="79BDDB20" w14:textId="007475EE" w:rsidR="005F7559" w:rsidRPr="003C277E" w:rsidRDefault="005F7559">
      <w:pPr>
        <w:rPr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EDCD99F" wp14:editId="158C6EBA">
                <wp:simplePos x="0" y="0"/>
                <wp:positionH relativeFrom="margin">
                  <wp:align>left</wp:align>
                </wp:positionH>
                <wp:positionV relativeFrom="paragraph">
                  <wp:posOffset>330200</wp:posOffset>
                </wp:positionV>
                <wp:extent cx="5578475" cy="5532120"/>
                <wp:effectExtent l="0" t="0" r="3175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8475" cy="553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27EFD" w14:textId="77777777" w:rsidR="005F7559" w:rsidRDefault="005F7559" w:rsidP="00363E13">
                            <w:pPr>
                              <w:ind w:left="-1134"/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698DF0" wp14:editId="07772288">
                                  <wp:extent cx="6024522" cy="3695700"/>
                                  <wp:effectExtent l="0" t="0" r="0" b="0"/>
                                  <wp:docPr id="5" name="Picture 5" descr="A black background with a black square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black background with a black square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33818" cy="37014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4EA83E" w14:textId="43A5642C" w:rsidR="005F7559" w:rsidRPr="005F7559" w:rsidRDefault="005F7559" w:rsidP="00363E13">
                            <w:pPr>
                              <w:ind w:left="142"/>
                              <w:jc w:val="both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5F7559">
                              <w:rPr>
                                <w:b/>
                                <w:bCs/>
                                <w:lang w:val="en-US"/>
                              </w:rPr>
                              <w:t>Figure S3.</w:t>
                            </w:r>
                            <w:r w:rsidRPr="005F7559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5F7559">
                              <w:rPr>
                                <w:b/>
                                <w:bCs/>
                                <w:lang w:val="en-US"/>
                              </w:rPr>
                              <w:t xml:space="preserve">mRNA expression </w:t>
                            </w:r>
                            <w:r w:rsidR="00EC06FD">
                              <w:rPr>
                                <w:b/>
                                <w:bCs/>
                                <w:lang w:val="en-US"/>
                              </w:rPr>
                              <w:t xml:space="preserve">levels </w:t>
                            </w:r>
                            <w:r w:rsidRPr="005F7559">
                              <w:rPr>
                                <w:b/>
                                <w:bCs/>
                                <w:lang w:val="en-US"/>
                              </w:rPr>
                              <w:t xml:space="preserve">of chondrogenic genes. (A) </w:t>
                            </w:r>
                            <w:r w:rsidRPr="005F7559">
                              <w:rPr>
                                <w:lang w:val="en-US"/>
                              </w:rPr>
                              <w:t>mRNA expression of chondrogenic genes (</w:t>
                            </w:r>
                            <w:r w:rsidRPr="005F7559">
                              <w:rPr>
                                <w:i/>
                                <w:iCs/>
                                <w:lang w:val="en-US"/>
                              </w:rPr>
                              <w:t>COL2A, SOX9 and ACAN</w:t>
                            </w:r>
                            <w:r w:rsidRPr="005F7559">
                              <w:rPr>
                                <w:lang w:val="en-US"/>
                              </w:rPr>
                              <w:t>), fibrotic (</w:t>
                            </w:r>
                            <w:r w:rsidRPr="005F7559">
                              <w:rPr>
                                <w:i/>
                                <w:iCs/>
                                <w:lang w:val="en-US"/>
                              </w:rPr>
                              <w:t>COL1A1</w:t>
                            </w:r>
                            <w:r w:rsidRPr="005F7559">
                              <w:rPr>
                                <w:lang w:val="en-US"/>
                              </w:rPr>
                              <w:t>), and hypertrophic (</w:t>
                            </w:r>
                            <w:r w:rsidRPr="005F7559">
                              <w:rPr>
                                <w:i/>
                                <w:iCs/>
                                <w:lang w:val="en-US"/>
                              </w:rPr>
                              <w:t>COL10A1</w:t>
                            </w:r>
                            <w:r w:rsidRPr="005F7559">
                              <w:rPr>
                                <w:lang w:val="en-US"/>
                              </w:rPr>
                              <w:t xml:space="preserve">) cartilage markers at day 35 of differentiation (N=6). Representative of three independent experiments. </w:t>
                            </w:r>
                            <w:r w:rsidRPr="005F7559">
                              <w:rPr>
                                <w:b/>
                                <w:bCs/>
                                <w:lang w:val="en-US"/>
                              </w:rPr>
                              <w:t xml:space="preserve">(B) </w:t>
                            </w:r>
                            <w:r w:rsidRPr="005F7559">
                              <w:rPr>
                                <w:lang w:val="en-US"/>
                              </w:rPr>
                              <w:t xml:space="preserve">The ratio of the expression of </w:t>
                            </w:r>
                            <w:r w:rsidRPr="005F7559">
                              <w:rPr>
                                <w:i/>
                                <w:iCs/>
                                <w:lang w:val="en-US"/>
                              </w:rPr>
                              <w:t xml:space="preserve">COL2A1 to COL1A1 </w:t>
                            </w:r>
                            <w:r w:rsidRPr="005F7559">
                              <w:rPr>
                                <w:lang w:val="en-US"/>
                              </w:rPr>
                              <w:t xml:space="preserve">compared between </w:t>
                            </w:r>
                            <w:proofErr w:type="spellStart"/>
                            <w:r w:rsidRPr="005F7559">
                              <w:rPr>
                                <w:lang w:val="en-US"/>
                              </w:rPr>
                              <w:t>hCiC</w:t>
                            </w:r>
                            <w:proofErr w:type="spellEnd"/>
                            <w:r w:rsidRPr="005F7559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F7559">
                              <w:rPr>
                                <w:lang w:val="en-US"/>
                              </w:rPr>
                              <w:t>hFiC</w:t>
                            </w:r>
                            <w:proofErr w:type="spellEnd"/>
                            <w:r w:rsidRPr="005F7559">
                              <w:rPr>
                                <w:lang w:val="en-US"/>
                              </w:rPr>
                              <w:t xml:space="preserve">, and </w:t>
                            </w:r>
                            <w:proofErr w:type="spellStart"/>
                            <w:r w:rsidRPr="005F7559">
                              <w:rPr>
                                <w:lang w:val="en-US"/>
                              </w:rPr>
                              <w:t>hPAC</w:t>
                            </w:r>
                            <w:proofErr w:type="spellEnd"/>
                            <w:r w:rsidRPr="005F7559">
                              <w:rPr>
                                <w:lang w:val="en-US"/>
                              </w:rPr>
                              <w:t>. The graph represent</w:t>
                            </w:r>
                            <w:r w:rsidR="00EC06FD">
                              <w:rPr>
                                <w:lang w:val="en-US"/>
                              </w:rPr>
                              <w:t>s</w:t>
                            </w:r>
                            <w:r w:rsidRPr="005F7559">
                              <w:rPr>
                                <w:lang w:val="en-US"/>
                              </w:rPr>
                              <w:t xml:space="preserve"> the chondrogenic potential of the neo</w:t>
                            </w:r>
                            <w:r w:rsidR="00EC06FD">
                              <w:rPr>
                                <w:lang w:val="en-US"/>
                              </w:rPr>
                              <w:t>-</w:t>
                            </w:r>
                            <w:r w:rsidRPr="005F7559">
                              <w:rPr>
                                <w:lang w:val="en-US"/>
                              </w:rPr>
                              <w:t>cartilages.</w:t>
                            </w:r>
                            <w:r w:rsidRPr="005F7559"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Pr="005F7559">
                              <w:rPr>
                                <w:lang w:val="en-US"/>
                              </w:rPr>
                              <w:t>Two-tailed Student’s </w:t>
                            </w:r>
                            <w:r w:rsidRPr="005F7559">
                              <w:rPr>
                                <w:i/>
                                <w:iCs/>
                                <w:lang w:val="en-US"/>
                              </w:rPr>
                              <w:t>t</w:t>
                            </w:r>
                            <w:r w:rsidRPr="005F7559">
                              <w:rPr>
                                <w:lang w:val="en-US"/>
                              </w:rPr>
                              <w:t> tests were used to compare means between groups. All data are presented as mean ± STD. *</w:t>
                            </w:r>
                            <w:r w:rsidRPr="005F7559">
                              <w:rPr>
                                <w:i/>
                                <w:iCs/>
                                <w:lang w:val="en-US"/>
                              </w:rPr>
                              <w:t>p</w:t>
                            </w:r>
                            <w:r w:rsidRPr="005F7559">
                              <w:rPr>
                                <w:lang w:val="en-US"/>
                              </w:rPr>
                              <w:t> &lt; 0.05, **</w:t>
                            </w:r>
                            <w:r w:rsidRPr="005F7559">
                              <w:rPr>
                                <w:i/>
                                <w:iCs/>
                                <w:lang w:val="en-US"/>
                              </w:rPr>
                              <w:t>p</w:t>
                            </w:r>
                            <w:r w:rsidRPr="005F7559">
                              <w:rPr>
                                <w:lang w:val="en-US"/>
                              </w:rPr>
                              <w:t> &lt; 0.01, ***</w:t>
                            </w:r>
                            <w:r w:rsidRPr="005F7559">
                              <w:rPr>
                                <w:i/>
                                <w:iCs/>
                                <w:lang w:val="en-US"/>
                              </w:rPr>
                              <w:t>p</w:t>
                            </w:r>
                            <w:r w:rsidRPr="005F7559">
                              <w:rPr>
                                <w:lang w:val="en-US"/>
                              </w:rPr>
                              <w:t> &lt; 0.001, ****</w:t>
                            </w:r>
                            <w:r w:rsidRPr="005F7559">
                              <w:rPr>
                                <w:i/>
                                <w:iCs/>
                                <w:lang w:val="en-US"/>
                              </w:rPr>
                              <w:t>p</w:t>
                            </w:r>
                            <w:r w:rsidRPr="005F7559">
                              <w:rPr>
                                <w:lang w:val="en-US"/>
                              </w:rPr>
                              <w:t> &lt; 0.0001.</w:t>
                            </w:r>
                          </w:p>
                          <w:p w14:paraId="149947F0" w14:textId="77777777" w:rsidR="005F7559" w:rsidRPr="005F7559" w:rsidRDefault="005F7559" w:rsidP="00363E13">
                            <w:pPr>
                              <w:ind w:left="-1134"/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CD99F" id="_x0000_s1028" type="#_x0000_t202" style="position:absolute;margin-left:0;margin-top:26pt;width:439.25pt;height:435.6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" stroked="f">
                <v:textbox>
                  <w:txbxContent>
                    <w:p w14:paraId="73827EFD" w14:textId="77777777" w:rsidR="005F7559" w:rsidRDefault="005F7559" w:rsidP="00363E13">
                      <w:pPr>
                        <w:ind w:left="-1134"/>
                        <w:jc w:val="both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7698DF0" wp14:editId="07772288">
                            <wp:extent cx="6024522" cy="3695700"/>
                            <wp:effectExtent l="0" t="0" r="0" b="0"/>
                            <wp:docPr id="5" name="Picture 5" descr="A black background with a black square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black background with a black square&#10;&#10;Description automatically generated with medium confidenc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33818" cy="37014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4EA83E" w14:textId="43A5642C" w:rsidR="005F7559" w:rsidRPr="005F7559" w:rsidRDefault="005F7559" w:rsidP="00363E13">
                      <w:pPr>
                        <w:ind w:left="142"/>
                        <w:jc w:val="both"/>
                        <w:rPr>
                          <w:b/>
                          <w:bCs/>
                          <w:lang w:val="en-US"/>
                        </w:rPr>
                      </w:pPr>
                      <w:r w:rsidRPr="005F7559">
                        <w:rPr>
                          <w:b/>
                          <w:bCs/>
                          <w:lang w:val="en-US"/>
                        </w:rPr>
                        <w:t>Figure S3.</w:t>
                      </w:r>
                      <w:r w:rsidRPr="005F7559">
                        <w:rPr>
                          <w:lang w:val="en-US"/>
                        </w:rPr>
                        <w:t xml:space="preserve"> </w:t>
                      </w:r>
                      <w:r w:rsidRPr="005F7559">
                        <w:rPr>
                          <w:b/>
                          <w:bCs/>
                          <w:lang w:val="en-US"/>
                        </w:rPr>
                        <w:t xml:space="preserve">mRNA expression </w:t>
                      </w:r>
                      <w:r w:rsidR="00EC06FD">
                        <w:rPr>
                          <w:b/>
                          <w:bCs/>
                          <w:lang w:val="en-US"/>
                        </w:rPr>
                        <w:t xml:space="preserve">levels </w:t>
                      </w:r>
                      <w:r w:rsidRPr="005F7559">
                        <w:rPr>
                          <w:b/>
                          <w:bCs/>
                          <w:lang w:val="en-US"/>
                        </w:rPr>
                        <w:t xml:space="preserve">of chondrogenic genes. (A) </w:t>
                      </w:r>
                      <w:r w:rsidRPr="005F7559">
                        <w:rPr>
                          <w:lang w:val="en-US"/>
                        </w:rPr>
                        <w:t>mRNA expression of chondrogenic genes (</w:t>
                      </w:r>
                      <w:r w:rsidRPr="005F7559">
                        <w:rPr>
                          <w:i/>
                          <w:iCs/>
                          <w:lang w:val="en-US"/>
                        </w:rPr>
                        <w:t>COL2A, SOX9 and ACAN</w:t>
                      </w:r>
                      <w:r w:rsidRPr="005F7559">
                        <w:rPr>
                          <w:lang w:val="en-US"/>
                        </w:rPr>
                        <w:t>), fibrotic (</w:t>
                      </w:r>
                      <w:r w:rsidRPr="005F7559">
                        <w:rPr>
                          <w:i/>
                          <w:iCs/>
                          <w:lang w:val="en-US"/>
                        </w:rPr>
                        <w:t>COL1A1</w:t>
                      </w:r>
                      <w:r w:rsidRPr="005F7559">
                        <w:rPr>
                          <w:lang w:val="en-US"/>
                        </w:rPr>
                        <w:t>), and hypertrophic (</w:t>
                      </w:r>
                      <w:r w:rsidRPr="005F7559">
                        <w:rPr>
                          <w:i/>
                          <w:iCs/>
                          <w:lang w:val="en-US"/>
                        </w:rPr>
                        <w:t>COL10A1</w:t>
                      </w:r>
                      <w:r w:rsidRPr="005F7559">
                        <w:rPr>
                          <w:lang w:val="en-US"/>
                        </w:rPr>
                        <w:t xml:space="preserve">) cartilage markers at day 35 of differentiation (N=6). Representative of three independent experiments. </w:t>
                      </w:r>
                      <w:r w:rsidRPr="005F7559">
                        <w:rPr>
                          <w:b/>
                          <w:bCs/>
                          <w:lang w:val="en-US"/>
                        </w:rPr>
                        <w:t xml:space="preserve">(B) </w:t>
                      </w:r>
                      <w:r w:rsidRPr="005F7559">
                        <w:rPr>
                          <w:lang w:val="en-US"/>
                        </w:rPr>
                        <w:t xml:space="preserve">The ratio of the expression of </w:t>
                      </w:r>
                      <w:r w:rsidRPr="005F7559">
                        <w:rPr>
                          <w:i/>
                          <w:iCs/>
                          <w:lang w:val="en-US"/>
                        </w:rPr>
                        <w:t xml:space="preserve">COL2A1 to COL1A1 </w:t>
                      </w:r>
                      <w:r w:rsidRPr="005F7559">
                        <w:rPr>
                          <w:lang w:val="en-US"/>
                        </w:rPr>
                        <w:t xml:space="preserve">compared between </w:t>
                      </w:r>
                      <w:proofErr w:type="spellStart"/>
                      <w:r w:rsidRPr="005F7559">
                        <w:rPr>
                          <w:lang w:val="en-US"/>
                        </w:rPr>
                        <w:t>hCiC</w:t>
                      </w:r>
                      <w:proofErr w:type="spellEnd"/>
                      <w:r w:rsidRPr="005F7559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5F7559">
                        <w:rPr>
                          <w:lang w:val="en-US"/>
                        </w:rPr>
                        <w:t>hFiC</w:t>
                      </w:r>
                      <w:proofErr w:type="spellEnd"/>
                      <w:r w:rsidRPr="005F7559">
                        <w:rPr>
                          <w:lang w:val="en-US"/>
                        </w:rPr>
                        <w:t xml:space="preserve">, and </w:t>
                      </w:r>
                      <w:proofErr w:type="spellStart"/>
                      <w:r w:rsidRPr="005F7559">
                        <w:rPr>
                          <w:lang w:val="en-US"/>
                        </w:rPr>
                        <w:t>hPAC</w:t>
                      </w:r>
                      <w:proofErr w:type="spellEnd"/>
                      <w:r w:rsidRPr="005F7559">
                        <w:rPr>
                          <w:lang w:val="en-US"/>
                        </w:rPr>
                        <w:t>. The graph represent</w:t>
                      </w:r>
                      <w:r w:rsidR="00EC06FD">
                        <w:rPr>
                          <w:lang w:val="en-US"/>
                        </w:rPr>
                        <w:t>s</w:t>
                      </w:r>
                      <w:r w:rsidRPr="005F7559">
                        <w:rPr>
                          <w:lang w:val="en-US"/>
                        </w:rPr>
                        <w:t xml:space="preserve"> the chondrogenic potential of the neo</w:t>
                      </w:r>
                      <w:r w:rsidR="00EC06FD">
                        <w:rPr>
                          <w:lang w:val="en-US"/>
                        </w:rPr>
                        <w:t>-</w:t>
                      </w:r>
                      <w:r w:rsidRPr="005F7559">
                        <w:rPr>
                          <w:lang w:val="en-US"/>
                        </w:rPr>
                        <w:t>cartilages.</w:t>
                      </w:r>
                      <w:r w:rsidRPr="005F7559"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r w:rsidRPr="005F7559">
                        <w:rPr>
                          <w:lang w:val="en-US"/>
                        </w:rPr>
                        <w:t>Two-tailed Student’s </w:t>
                      </w:r>
                      <w:r w:rsidRPr="005F7559">
                        <w:rPr>
                          <w:i/>
                          <w:iCs/>
                          <w:lang w:val="en-US"/>
                        </w:rPr>
                        <w:t>t</w:t>
                      </w:r>
                      <w:r w:rsidRPr="005F7559">
                        <w:rPr>
                          <w:lang w:val="en-US"/>
                        </w:rPr>
                        <w:t> tests were used to compare means between groups. All data are presented as mean ± STD. *</w:t>
                      </w:r>
                      <w:r w:rsidRPr="005F7559">
                        <w:rPr>
                          <w:i/>
                          <w:iCs/>
                          <w:lang w:val="en-US"/>
                        </w:rPr>
                        <w:t>p</w:t>
                      </w:r>
                      <w:r w:rsidRPr="005F7559">
                        <w:rPr>
                          <w:lang w:val="en-US"/>
                        </w:rPr>
                        <w:t> &lt; 0.05, **</w:t>
                      </w:r>
                      <w:r w:rsidRPr="005F7559">
                        <w:rPr>
                          <w:i/>
                          <w:iCs/>
                          <w:lang w:val="en-US"/>
                        </w:rPr>
                        <w:t>p</w:t>
                      </w:r>
                      <w:r w:rsidRPr="005F7559">
                        <w:rPr>
                          <w:lang w:val="en-US"/>
                        </w:rPr>
                        <w:t> &lt; 0.01, ***</w:t>
                      </w:r>
                      <w:r w:rsidRPr="005F7559">
                        <w:rPr>
                          <w:i/>
                          <w:iCs/>
                          <w:lang w:val="en-US"/>
                        </w:rPr>
                        <w:t>p</w:t>
                      </w:r>
                      <w:r w:rsidRPr="005F7559">
                        <w:rPr>
                          <w:lang w:val="en-US"/>
                        </w:rPr>
                        <w:t> &lt; 0.001, ****</w:t>
                      </w:r>
                      <w:r w:rsidRPr="005F7559">
                        <w:rPr>
                          <w:i/>
                          <w:iCs/>
                          <w:lang w:val="en-US"/>
                        </w:rPr>
                        <w:t>p</w:t>
                      </w:r>
                      <w:r w:rsidRPr="005F7559">
                        <w:rPr>
                          <w:lang w:val="en-US"/>
                        </w:rPr>
                        <w:t> &lt; 0.0001.</w:t>
                      </w:r>
                    </w:p>
                    <w:p w14:paraId="149947F0" w14:textId="77777777" w:rsidR="005F7559" w:rsidRPr="005F7559" w:rsidRDefault="005F7559" w:rsidP="00363E13">
                      <w:pPr>
                        <w:ind w:left="-1134"/>
                        <w:jc w:val="both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C277E">
        <w:rPr>
          <w:lang w:val="en-GB"/>
        </w:rPr>
        <w:br w:type="page"/>
      </w:r>
    </w:p>
    <w:p w14:paraId="1F5D34C1" w14:textId="77777777" w:rsidR="00374203" w:rsidRPr="003C277E" w:rsidRDefault="000B7A52">
      <w:pPr>
        <w:rPr>
          <w:lang w:val="en-GB"/>
        </w:rPr>
        <w:sectPr w:rsidR="00374203" w:rsidRPr="003C277E" w:rsidSect="00363E13">
          <w:footerReference w:type="defaul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B4CDC8A" wp14:editId="47F3DB93">
                <wp:simplePos x="0" y="0"/>
                <wp:positionH relativeFrom="margin">
                  <wp:align>right</wp:align>
                </wp:positionH>
                <wp:positionV relativeFrom="paragraph">
                  <wp:posOffset>194310</wp:posOffset>
                </wp:positionV>
                <wp:extent cx="6113780" cy="8625840"/>
                <wp:effectExtent l="0" t="0" r="1270" b="381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4197" cy="862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DA3FA" w14:textId="5AACC316" w:rsidR="005F7559" w:rsidRDefault="000B7A52" w:rsidP="00363E13">
                            <w:pPr>
                              <w:ind w:left="1276"/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019C545" wp14:editId="45F4349E">
                                  <wp:extent cx="4937760" cy="6743700"/>
                                  <wp:effectExtent l="0" t="0" r="0" b="0"/>
                                  <wp:docPr id="8" name="Picture 8" descr="A close-up of a graph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A close-up of a graph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031" t="5010" r="3459" b="45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43280" cy="6751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0C4FE55" w14:textId="0E0EE610" w:rsidR="000B7A52" w:rsidRPr="005F7559" w:rsidRDefault="000B7A52" w:rsidP="00363E13">
                            <w:pPr>
                              <w:ind w:left="1276"/>
                              <w:jc w:val="both"/>
                              <w:rPr>
                                <w:lang w:val="en-US"/>
                              </w:rPr>
                            </w:pPr>
                            <w:r w:rsidRPr="000B7A52">
                              <w:rPr>
                                <w:b/>
                                <w:bCs/>
                                <w:lang w:val="en-US"/>
                              </w:rPr>
                              <w:t xml:space="preserve">Figure S4. (A) </w:t>
                            </w:r>
                            <w:r w:rsidRPr="000B7A52">
                              <w:rPr>
                                <w:lang w:val="en-SG"/>
                              </w:rPr>
                              <w:t xml:space="preserve">Principal component Analysis (PCA) of genome-wide methylation sites in human iPSCs and </w:t>
                            </w:r>
                            <w:proofErr w:type="spellStart"/>
                            <w:r w:rsidRPr="000B7A52">
                              <w:rPr>
                                <w:lang w:val="en-SG"/>
                              </w:rPr>
                              <w:t>hPAC</w:t>
                            </w:r>
                            <w:proofErr w:type="spellEnd"/>
                            <w:r w:rsidRPr="000B7A52">
                              <w:rPr>
                                <w:lang w:val="en-SG"/>
                              </w:rPr>
                              <w:t xml:space="preserve">. The green dots are displaying </w:t>
                            </w:r>
                            <w:proofErr w:type="spellStart"/>
                            <w:r w:rsidRPr="000B7A52">
                              <w:rPr>
                                <w:lang w:val="en-SG"/>
                              </w:rPr>
                              <w:t>hCiC</w:t>
                            </w:r>
                            <w:proofErr w:type="spellEnd"/>
                            <w:r w:rsidRPr="000B7A52">
                              <w:rPr>
                                <w:lang w:val="en-SG"/>
                              </w:rPr>
                              <w:t xml:space="preserve">, blue dots </w:t>
                            </w:r>
                            <w:proofErr w:type="spellStart"/>
                            <w:r w:rsidRPr="000B7A52">
                              <w:rPr>
                                <w:lang w:val="en-SG"/>
                              </w:rPr>
                              <w:t>hFiC</w:t>
                            </w:r>
                            <w:proofErr w:type="spellEnd"/>
                            <w:r w:rsidRPr="000B7A52">
                              <w:rPr>
                                <w:lang w:val="en-SG"/>
                              </w:rPr>
                              <w:t xml:space="preserve"> and orange dots </w:t>
                            </w:r>
                            <w:proofErr w:type="spellStart"/>
                            <w:r w:rsidRPr="000B7A52">
                              <w:rPr>
                                <w:lang w:val="en-SG"/>
                              </w:rPr>
                              <w:t>hPAC</w:t>
                            </w:r>
                            <w:proofErr w:type="spellEnd"/>
                            <w:r w:rsidRPr="000B7A52">
                              <w:rPr>
                                <w:lang w:val="en-SG"/>
                              </w:rPr>
                              <w:t>.</w:t>
                            </w:r>
                            <w:r w:rsidRPr="000B7A52">
                              <w:rPr>
                                <w:lang w:val="en-GB"/>
                              </w:rPr>
                              <w:t xml:space="preserve"> Component 1 (x-axis) and component 2 (y-axis). </w:t>
                            </w:r>
                            <w:r w:rsidRPr="000B7A52">
                              <w:rPr>
                                <w:lang w:val="en-US"/>
                              </w:rPr>
                              <w:t>(</w:t>
                            </w:r>
                            <w:r w:rsidRPr="000B7A52">
                              <w:rPr>
                                <w:b/>
                                <w:bCs/>
                                <w:lang w:val="en-US"/>
                              </w:rPr>
                              <w:t>B</w:t>
                            </w:r>
                            <w:r w:rsidRPr="000B7A52">
                              <w:rPr>
                                <w:lang w:val="en-US"/>
                              </w:rPr>
                              <w:t xml:space="preserve">) Heatmap constructed from the 1000 most variable </w:t>
                            </w:r>
                            <w:proofErr w:type="spellStart"/>
                            <w:r w:rsidRPr="000B7A52">
                              <w:rPr>
                                <w:lang w:val="en-US"/>
                              </w:rPr>
                              <w:t>CpGs</w:t>
                            </w:r>
                            <w:proofErr w:type="spellEnd"/>
                            <w:r w:rsidRPr="000B7A52">
                              <w:rPr>
                                <w:lang w:val="en-US"/>
                              </w:rPr>
                              <w:t xml:space="preserve"> (y-axis) that showed the largest variation (Standard Deviation) over the samples (x-axis). Samples are hierarchically clustered (dendrogram on the top), showing three distinct clusters: </w:t>
                            </w:r>
                            <w:proofErr w:type="spellStart"/>
                            <w:r w:rsidRPr="000B7A52">
                              <w:rPr>
                                <w:lang w:val="en-US"/>
                              </w:rPr>
                              <w:t>hCiC</w:t>
                            </w:r>
                            <w:proofErr w:type="spellEnd"/>
                            <w:r w:rsidRPr="000B7A52">
                              <w:rPr>
                                <w:lang w:val="en-US"/>
                              </w:rPr>
                              <w:t xml:space="preserve">(green), </w:t>
                            </w:r>
                            <w:proofErr w:type="spellStart"/>
                            <w:r w:rsidRPr="000B7A52">
                              <w:rPr>
                                <w:lang w:val="en-US"/>
                              </w:rPr>
                              <w:t>hFiC</w:t>
                            </w:r>
                            <w:proofErr w:type="spellEnd"/>
                            <w:r w:rsidRPr="000B7A52">
                              <w:rPr>
                                <w:lang w:val="en-US"/>
                              </w:rPr>
                              <w:t xml:space="preserve"> (red), and </w:t>
                            </w:r>
                            <w:proofErr w:type="spellStart"/>
                            <w:r w:rsidRPr="000B7A52">
                              <w:rPr>
                                <w:lang w:val="en-US"/>
                              </w:rPr>
                              <w:t>hPAC</w:t>
                            </w:r>
                            <w:proofErr w:type="spellEnd"/>
                            <w:r w:rsidRPr="000B7A52">
                              <w:rPr>
                                <w:lang w:val="en-US"/>
                              </w:rPr>
                              <w:t xml:space="preserve"> (blue) together.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CDC8A" id="_x0000_s1029" type="#_x0000_t202" style="position:absolute;margin-left:430.2pt;margin-top:15.3pt;width:481.4pt;height:679.2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" stroked="f">
                <v:textbox>
                  <w:txbxContent>
                    <w:p w14:paraId="61DDA3FA" w14:textId="5AACC316" w:rsidR="005F7559" w:rsidRDefault="000B7A52" w:rsidP="00363E13">
                      <w:pPr>
                        <w:ind w:left="1276"/>
                        <w:jc w:val="both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019C545" wp14:editId="45F4349E">
                            <wp:extent cx="4937760" cy="6743700"/>
                            <wp:effectExtent l="0" t="0" r="0" b="0"/>
                            <wp:docPr id="8" name="Picture 8" descr="A close-up of a graph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A close-up of a graph&#10;&#10;Description automatically generated"/>
                                    <pic:cNvPicPr/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031" t="5010" r="3459" b="45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943280" cy="67512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0C4FE55" w14:textId="0E0EE610" w:rsidR="000B7A52" w:rsidRPr="005F7559" w:rsidRDefault="000B7A52" w:rsidP="00363E13">
                      <w:pPr>
                        <w:ind w:left="1276"/>
                        <w:jc w:val="both"/>
                        <w:rPr>
                          <w:lang w:val="en-US"/>
                        </w:rPr>
                      </w:pPr>
                      <w:r w:rsidRPr="000B7A52">
                        <w:rPr>
                          <w:b/>
                          <w:bCs/>
                          <w:lang w:val="en-US"/>
                        </w:rPr>
                        <w:t xml:space="preserve">Figure S4. (A) </w:t>
                      </w:r>
                      <w:r w:rsidRPr="000B7A52">
                        <w:rPr>
                          <w:lang w:val="en-SG"/>
                        </w:rPr>
                        <w:t xml:space="preserve">Principal component Analysis (PCA) of genome-wide methylation sites in human iPSCs and </w:t>
                      </w:r>
                      <w:proofErr w:type="spellStart"/>
                      <w:r w:rsidRPr="000B7A52">
                        <w:rPr>
                          <w:lang w:val="en-SG"/>
                        </w:rPr>
                        <w:t>hPAC</w:t>
                      </w:r>
                      <w:proofErr w:type="spellEnd"/>
                      <w:r w:rsidRPr="000B7A52">
                        <w:rPr>
                          <w:lang w:val="en-SG"/>
                        </w:rPr>
                        <w:t xml:space="preserve">. The green dots are displaying </w:t>
                      </w:r>
                      <w:proofErr w:type="spellStart"/>
                      <w:r w:rsidRPr="000B7A52">
                        <w:rPr>
                          <w:lang w:val="en-SG"/>
                        </w:rPr>
                        <w:t>hCiC</w:t>
                      </w:r>
                      <w:proofErr w:type="spellEnd"/>
                      <w:r w:rsidRPr="000B7A52">
                        <w:rPr>
                          <w:lang w:val="en-SG"/>
                        </w:rPr>
                        <w:t xml:space="preserve">, blue dots </w:t>
                      </w:r>
                      <w:proofErr w:type="spellStart"/>
                      <w:r w:rsidRPr="000B7A52">
                        <w:rPr>
                          <w:lang w:val="en-SG"/>
                        </w:rPr>
                        <w:t>hFiC</w:t>
                      </w:r>
                      <w:proofErr w:type="spellEnd"/>
                      <w:r w:rsidRPr="000B7A52">
                        <w:rPr>
                          <w:lang w:val="en-SG"/>
                        </w:rPr>
                        <w:t xml:space="preserve"> and orange dots </w:t>
                      </w:r>
                      <w:proofErr w:type="spellStart"/>
                      <w:r w:rsidRPr="000B7A52">
                        <w:rPr>
                          <w:lang w:val="en-SG"/>
                        </w:rPr>
                        <w:t>hPAC</w:t>
                      </w:r>
                      <w:proofErr w:type="spellEnd"/>
                      <w:r w:rsidRPr="000B7A52">
                        <w:rPr>
                          <w:lang w:val="en-SG"/>
                        </w:rPr>
                        <w:t>.</w:t>
                      </w:r>
                      <w:r w:rsidRPr="000B7A52">
                        <w:rPr>
                          <w:lang w:val="en-GB"/>
                        </w:rPr>
                        <w:t xml:space="preserve"> Component 1 (x-axis) and component 2 (y-axis). </w:t>
                      </w:r>
                      <w:r w:rsidRPr="000B7A52">
                        <w:rPr>
                          <w:lang w:val="en-US"/>
                        </w:rPr>
                        <w:t>(</w:t>
                      </w:r>
                      <w:r w:rsidRPr="000B7A52">
                        <w:rPr>
                          <w:b/>
                          <w:bCs/>
                          <w:lang w:val="en-US"/>
                        </w:rPr>
                        <w:t>B</w:t>
                      </w:r>
                      <w:r w:rsidRPr="000B7A52">
                        <w:rPr>
                          <w:lang w:val="en-US"/>
                        </w:rPr>
                        <w:t xml:space="preserve">) Heatmap constructed from the 1000 most variable </w:t>
                      </w:r>
                      <w:proofErr w:type="spellStart"/>
                      <w:r w:rsidRPr="000B7A52">
                        <w:rPr>
                          <w:lang w:val="en-US"/>
                        </w:rPr>
                        <w:t>CpGs</w:t>
                      </w:r>
                      <w:proofErr w:type="spellEnd"/>
                      <w:r w:rsidRPr="000B7A52">
                        <w:rPr>
                          <w:lang w:val="en-US"/>
                        </w:rPr>
                        <w:t xml:space="preserve"> (y-axis) that showed the largest variation (Standard Deviation) over the samples (x-axis). Samples are hierarchically clustered (dendrogram on the top), showing three distinct clusters: </w:t>
                      </w:r>
                      <w:proofErr w:type="spellStart"/>
                      <w:r w:rsidRPr="000B7A52">
                        <w:rPr>
                          <w:lang w:val="en-US"/>
                        </w:rPr>
                        <w:t>hCiC</w:t>
                      </w:r>
                      <w:proofErr w:type="spellEnd"/>
                      <w:r w:rsidRPr="000B7A52">
                        <w:rPr>
                          <w:lang w:val="en-US"/>
                        </w:rPr>
                        <w:t xml:space="preserve">(green), </w:t>
                      </w:r>
                      <w:proofErr w:type="spellStart"/>
                      <w:r w:rsidRPr="000B7A52">
                        <w:rPr>
                          <w:lang w:val="en-US"/>
                        </w:rPr>
                        <w:t>hFiC</w:t>
                      </w:r>
                      <w:proofErr w:type="spellEnd"/>
                      <w:r w:rsidRPr="000B7A52">
                        <w:rPr>
                          <w:lang w:val="en-US"/>
                        </w:rPr>
                        <w:t xml:space="preserve"> (red), and </w:t>
                      </w:r>
                      <w:proofErr w:type="spellStart"/>
                      <w:r w:rsidRPr="000B7A52">
                        <w:rPr>
                          <w:lang w:val="en-US"/>
                        </w:rPr>
                        <w:t>hPAC</w:t>
                      </w:r>
                      <w:proofErr w:type="spellEnd"/>
                      <w:r w:rsidRPr="000B7A52">
                        <w:rPr>
                          <w:lang w:val="en-US"/>
                        </w:rPr>
                        <w:t xml:space="preserve"> (blue) together.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C277E">
        <w:rPr>
          <w:lang w:val="en-GB"/>
        </w:rPr>
        <w:br w:type="page"/>
      </w:r>
    </w:p>
    <w:p w14:paraId="01844AB8" w14:textId="295EAFF5" w:rsidR="000B7A52" w:rsidRPr="003C277E" w:rsidRDefault="00374203">
      <w:pPr>
        <w:rPr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1ABCB15" wp14:editId="0BADDB81">
                <wp:simplePos x="0" y="0"/>
                <wp:positionH relativeFrom="column">
                  <wp:posOffset>-11430</wp:posOffset>
                </wp:positionH>
                <wp:positionV relativeFrom="paragraph">
                  <wp:posOffset>57150</wp:posOffset>
                </wp:positionV>
                <wp:extent cx="8791200" cy="5702400"/>
                <wp:effectExtent l="38100" t="38100" r="48260" b="5080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1200" cy="570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txbx>
                        <w:txbxContent>
                          <w:p w14:paraId="4B71C6B7" w14:textId="77777777" w:rsidR="004070EC" w:rsidRDefault="00B815B6" w:rsidP="00363E13">
                            <w:pPr>
                              <w:jc w:val="both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6E7B0D9" wp14:editId="213BBA27">
                                  <wp:extent cx="7717427" cy="4745841"/>
                                  <wp:effectExtent l="76200" t="95250" r="74295" b="93345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424" t="9030" r="2143" b="807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18754" cy="47466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scene3d>
                                            <a:camera prst="orthographicFront">
                                              <a:rot lat="0" lon="0" rev="36000"/>
                                            </a:camera>
                                            <a:lightRig rig="threePt" dir="t"/>
                                          </a:scene3d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D5BC77" w14:textId="4CF0790B" w:rsidR="004070EC" w:rsidRPr="000B7A52" w:rsidRDefault="004070EC" w:rsidP="00363E13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  <w:r w:rsidRPr="000B7A52">
                              <w:rPr>
                                <w:b/>
                                <w:bCs/>
                                <w:lang w:val="en-US"/>
                              </w:rPr>
                              <w:t>Figure S</w:t>
                            </w:r>
                            <w:r w:rsidR="004107FE">
                              <w:rPr>
                                <w:b/>
                                <w:bCs/>
                                <w:lang w:val="en-US"/>
                              </w:rPr>
                              <w:t>5</w:t>
                            </w:r>
                            <w:r w:rsidRPr="004070EC">
                              <w:rPr>
                                <w:b/>
                                <w:bCs/>
                                <w:lang w:val="en-US"/>
                              </w:rPr>
                              <w:t>.</w:t>
                            </w:r>
                            <w:r w:rsidRPr="000B7A52"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Pr="00C20BEA">
                              <w:rPr>
                                <w:b/>
                                <w:bCs/>
                                <w:lang w:val="en-US"/>
                              </w:rPr>
                              <w:t xml:space="preserve">Manhattan plot of </w:t>
                            </w:r>
                            <w:r w:rsidR="007D0C5F" w:rsidRPr="00C20BEA">
                              <w:rPr>
                                <w:b/>
                                <w:bCs/>
                                <w:lang w:val="en-US"/>
                              </w:rPr>
                              <w:t xml:space="preserve">FDR significant differential methylated CpG sites between </w:t>
                            </w:r>
                            <w:proofErr w:type="spellStart"/>
                            <w:r w:rsidR="007D0C5F" w:rsidRPr="00C20BEA">
                              <w:rPr>
                                <w:b/>
                                <w:bCs/>
                                <w:lang w:val="en-US"/>
                              </w:rPr>
                              <w:t>hCiC</w:t>
                            </w:r>
                            <w:proofErr w:type="spellEnd"/>
                            <w:r w:rsidR="007D0C5F" w:rsidRPr="00C20BEA">
                              <w:rPr>
                                <w:b/>
                                <w:bCs/>
                                <w:lang w:val="en-US"/>
                              </w:rPr>
                              <w:t xml:space="preserve"> and </w:t>
                            </w:r>
                            <w:proofErr w:type="spellStart"/>
                            <w:r w:rsidR="007D0C5F" w:rsidRPr="00C20BEA">
                              <w:rPr>
                                <w:b/>
                                <w:bCs/>
                                <w:lang w:val="en-US"/>
                              </w:rPr>
                              <w:t>hPACs</w:t>
                            </w:r>
                            <w:proofErr w:type="spellEnd"/>
                            <w:r w:rsidR="007D0C5F">
                              <w:rPr>
                                <w:lang w:val="en-US"/>
                              </w:rPr>
                              <w:t xml:space="preserve">. Plotted are </w:t>
                            </w:r>
                            <w:r w:rsidRPr="004070EC">
                              <w:rPr>
                                <w:lang w:val="en-US"/>
                              </w:rPr>
                              <w:t xml:space="preserve">N=2379 prioritized </w:t>
                            </w:r>
                            <w:r w:rsidR="007D0C5F">
                              <w:rPr>
                                <w:lang w:val="en-US"/>
                              </w:rPr>
                              <w:t xml:space="preserve">CpG-gene pairs </w:t>
                            </w:r>
                            <w:r>
                              <w:rPr>
                                <w:lang w:val="en-US"/>
                              </w:rPr>
                              <w:t>as determined by singular mapping, highest correlation between methylation and expression. See also Fig. 3 box 2</w:t>
                            </w:r>
                            <w:r w:rsidRPr="004070EC">
                              <w:rPr>
                                <w:lang w:val="en-US"/>
                              </w:rPr>
                              <w:t xml:space="preserve">. Y-axes indicates the log(FDR) value of the differential </w:t>
                            </w:r>
                            <w:r>
                              <w:rPr>
                                <w:lang w:val="en-US"/>
                              </w:rPr>
                              <w:t>methylat</w:t>
                            </w:r>
                            <w:r w:rsidR="004107FE">
                              <w:rPr>
                                <w:lang w:val="en-US"/>
                              </w:rPr>
                              <w:t xml:space="preserve">ed </w:t>
                            </w:r>
                            <w:proofErr w:type="spellStart"/>
                            <w:r w:rsidR="004107FE">
                              <w:rPr>
                                <w:lang w:val="en-US"/>
                              </w:rPr>
                              <w:t>CpGs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.</w:t>
                            </w:r>
                          </w:p>
                          <w:p w14:paraId="3D9411C1" w14:textId="4EABD7DA" w:rsidR="00374203" w:rsidRDefault="00374203" w:rsidP="00363E13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BCB15" id="_x0000_s1030" type="#_x0000_t202" style="position:absolute;margin-left:-.9pt;margin-top:4.5pt;width:692.2pt;height:44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" stroked="f">
                <v:textbox>
                  <w:txbxContent>
                    <w:p w14:paraId="4B71C6B7" w14:textId="77777777" w:rsidR="004070EC" w:rsidRDefault="00B815B6" w:rsidP="00363E13">
                      <w:pPr>
                        <w:jc w:val="both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6E7B0D9" wp14:editId="213BBA27">
                            <wp:extent cx="7717427" cy="4745841"/>
                            <wp:effectExtent l="76200" t="95250" r="74295" b="93345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424" t="9030" r="2143" b="807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718754" cy="47466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scene3d>
                                      <a:camera prst="orthographicFront">
                                        <a:rot lat="0" lon="0" rev="36000"/>
                                      </a:camera>
                                      <a:lightRig rig="threePt" dir="t"/>
                                    </a:scene3d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D5BC77" w14:textId="4CF0790B" w:rsidR="004070EC" w:rsidRPr="000B7A52" w:rsidRDefault="004070EC" w:rsidP="00363E13">
                      <w:pPr>
                        <w:jc w:val="both"/>
                        <w:rPr>
                          <w:lang w:val="en-US"/>
                        </w:rPr>
                      </w:pPr>
                      <w:r w:rsidRPr="000B7A52">
                        <w:rPr>
                          <w:b/>
                          <w:bCs/>
                          <w:lang w:val="en-US"/>
                        </w:rPr>
                        <w:t>Figure S</w:t>
                      </w:r>
                      <w:r w:rsidR="004107FE">
                        <w:rPr>
                          <w:b/>
                          <w:bCs/>
                          <w:lang w:val="en-US"/>
                        </w:rPr>
                        <w:t>5</w:t>
                      </w:r>
                      <w:r w:rsidRPr="004070EC">
                        <w:rPr>
                          <w:b/>
                          <w:bCs/>
                          <w:lang w:val="en-US"/>
                        </w:rPr>
                        <w:t>.</w:t>
                      </w:r>
                      <w:r w:rsidRPr="000B7A52"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r w:rsidRPr="00C20BEA">
                        <w:rPr>
                          <w:b/>
                          <w:bCs/>
                          <w:lang w:val="en-US"/>
                        </w:rPr>
                        <w:t xml:space="preserve">Manhattan plot of </w:t>
                      </w:r>
                      <w:r w:rsidR="007D0C5F" w:rsidRPr="00C20BEA">
                        <w:rPr>
                          <w:b/>
                          <w:bCs/>
                          <w:lang w:val="en-US"/>
                        </w:rPr>
                        <w:t xml:space="preserve">FDR significant differential methylated CpG sites between </w:t>
                      </w:r>
                      <w:proofErr w:type="spellStart"/>
                      <w:r w:rsidR="007D0C5F" w:rsidRPr="00C20BEA">
                        <w:rPr>
                          <w:b/>
                          <w:bCs/>
                          <w:lang w:val="en-US"/>
                        </w:rPr>
                        <w:t>hCiC</w:t>
                      </w:r>
                      <w:proofErr w:type="spellEnd"/>
                      <w:r w:rsidR="007D0C5F" w:rsidRPr="00C20BEA">
                        <w:rPr>
                          <w:b/>
                          <w:bCs/>
                          <w:lang w:val="en-US"/>
                        </w:rPr>
                        <w:t xml:space="preserve"> and </w:t>
                      </w:r>
                      <w:proofErr w:type="spellStart"/>
                      <w:r w:rsidR="007D0C5F" w:rsidRPr="00C20BEA">
                        <w:rPr>
                          <w:b/>
                          <w:bCs/>
                          <w:lang w:val="en-US"/>
                        </w:rPr>
                        <w:t>hPACs</w:t>
                      </w:r>
                      <w:proofErr w:type="spellEnd"/>
                      <w:r w:rsidR="007D0C5F">
                        <w:rPr>
                          <w:lang w:val="en-US"/>
                        </w:rPr>
                        <w:t xml:space="preserve">. Plotted are </w:t>
                      </w:r>
                      <w:r w:rsidRPr="004070EC">
                        <w:rPr>
                          <w:lang w:val="en-US"/>
                        </w:rPr>
                        <w:t xml:space="preserve">N=2379 prioritized </w:t>
                      </w:r>
                      <w:r w:rsidR="007D0C5F">
                        <w:rPr>
                          <w:lang w:val="en-US"/>
                        </w:rPr>
                        <w:t xml:space="preserve">CpG-gene pairs </w:t>
                      </w:r>
                      <w:r>
                        <w:rPr>
                          <w:lang w:val="en-US"/>
                        </w:rPr>
                        <w:t>as determined by singular mapping, highest correlation between methylation and expression. See also Fig. 3 box 2</w:t>
                      </w:r>
                      <w:r w:rsidRPr="004070EC">
                        <w:rPr>
                          <w:lang w:val="en-US"/>
                        </w:rPr>
                        <w:t xml:space="preserve">. Y-axes indicates the log(FDR) value of the differential </w:t>
                      </w:r>
                      <w:r>
                        <w:rPr>
                          <w:lang w:val="en-US"/>
                        </w:rPr>
                        <w:t>methylat</w:t>
                      </w:r>
                      <w:r w:rsidR="004107FE">
                        <w:rPr>
                          <w:lang w:val="en-US"/>
                        </w:rPr>
                        <w:t xml:space="preserve">ed </w:t>
                      </w:r>
                      <w:proofErr w:type="spellStart"/>
                      <w:r w:rsidR="004107FE">
                        <w:rPr>
                          <w:lang w:val="en-US"/>
                        </w:rPr>
                        <w:t>CpGs</w:t>
                      </w:r>
                      <w:proofErr w:type="spellEnd"/>
                      <w:r>
                        <w:rPr>
                          <w:lang w:val="en-US"/>
                        </w:rPr>
                        <w:t>.</w:t>
                      </w:r>
                    </w:p>
                    <w:p w14:paraId="3D9411C1" w14:textId="4EABD7DA" w:rsidR="00374203" w:rsidRDefault="00374203" w:rsidP="00363E13">
                      <w:pPr>
                        <w:jc w:val="both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1A69EA" w14:textId="7B32B65A" w:rsidR="005F7559" w:rsidRDefault="00374203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38AA097" wp14:editId="2384061D">
                <wp:simplePos x="0" y="0"/>
                <wp:positionH relativeFrom="column">
                  <wp:posOffset>82550</wp:posOffset>
                </wp:positionH>
                <wp:positionV relativeFrom="paragraph">
                  <wp:posOffset>0</wp:posOffset>
                </wp:positionV>
                <wp:extent cx="8773795" cy="5652135"/>
                <wp:effectExtent l="0" t="0" r="8255" b="571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73795" cy="565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1A4D3" w14:textId="65362EEA" w:rsidR="00374203" w:rsidRDefault="00B815B6" w:rsidP="00363E13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E12943" wp14:editId="122D0C1B">
                                  <wp:extent cx="7758430" cy="4751629"/>
                                  <wp:effectExtent l="57150" t="57150" r="52070" b="49530"/>
                                  <wp:docPr id="12" name="Picture 12" descr="A close-up of a cha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 descr="A close-up of a chart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544" t="8645" r="1642" b="936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76220" cy="47625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scene3d>
                                            <a:camera prst="orthographicFront">
                                              <a:rot lat="0" lon="0" rev="21594000"/>
                                            </a:camera>
                                            <a:lightRig rig="threePt" dir="t"/>
                                          </a:scene3d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FFF5BD" w14:textId="0AC40803" w:rsidR="004070EC" w:rsidRPr="000B7A52" w:rsidRDefault="004070EC" w:rsidP="00363E13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  <w:r w:rsidRPr="000B7A52">
                              <w:rPr>
                                <w:b/>
                                <w:bCs/>
                                <w:lang w:val="en-US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6.</w:t>
                            </w:r>
                            <w:r w:rsidRPr="000B7A52"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Pr="00C20BEA">
                              <w:rPr>
                                <w:b/>
                                <w:bCs/>
                                <w:lang w:val="en-US"/>
                              </w:rPr>
                              <w:t>Manhattan plot of</w:t>
                            </w:r>
                            <w:r w:rsidR="007D0C5F" w:rsidRPr="00C20BEA">
                              <w:rPr>
                                <w:b/>
                                <w:bCs/>
                                <w:lang w:val="en-US"/>
                              </w:rPr>
                              <w:t xml:space="preserve"> FDR significant differential expressed genes between </w:t>
                            </w:r>
                            <w:proofErr w:type="spellStart"/>
                            <w:r w:rsidR="007D0C5F" w:rsidRPr="00C20BEA">
                              <w:rPr>
                                <w:b/>
                                <w:bCs/>
                                <w:lang w:val="en-US"/>
                              </w:rPr>
                              <w:t>hCiC</w:t>
                            </w:r>
                            <w:proofErr w:type="spellEnd"/>
                            <w:r w:rsidR="007D0C5F" w:rsidRPr="00C20BEA">
                              <w:rPr>
                                <w:b/>
                                <w:bCs/>
                                <w:lang w:val="en-US"/>
                              </w:rPr>
                              <w:t xml:space="preserve"> and </w:t>
                            </w:r>
                            <w:proofErr w:type="spellStart"/>
                            <w:r w:rsidR="007D0C5F" w:rsidRPr="00C20BEA">
                              <w:rPr>
                                <w:b/>
                                <w:bCs/>
                                <w:lang w:val="en-US"/>
                              </w:rPr>
                              <w:t>hPACs</w:t>
                            </w:r>
                            <w:proofErr w:type="spellEnd"/>
                            <w:r w:rsidR="007D0C5F">
                              <w:rPr>
                                <w:lang w:val="en-US"/>
                              </w:rPr>
                              <w:t xml:space="preserve">. Plotted are the </w:t>
                            </w:r>
                            <w:r>
                              <w:rPr>
                                <w:lang w:val="en-US"/>
                              </w:rPr>
                              <w:t xml:space="preserve">N=2379 </w:t>
                            </w:r>
                            <w:r w:rsidR="007D0C5F">
                              <w:rPr>
                                <w:lang w:val="en-US"/>
                              </w:rPr>
                              <w:t xml:space="preserve">prioritized CpG-gene pairs </w:t>
                            </w:r>
                            <w:r w:rsidR="007D0C5F" w:rsidRPr="007D0C5F">
                              <w:rPr>
                                <w:lang w:val="en-US"/>
                              </w:rPr>
                              <w:t>as determined by singular mapping, highest correlation between methylation and expression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 w:rsidR="007D0C5F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D0C5F" w:rsidRPr="007D0C5F">
                              <w:rPr>
                                <w:lang w:val="en-US"/>
                              </w:rPr>
                              <w:t xml:space="preserve">See also Fig. 3 box 2. </w:t>
                            </w:r>
                            <w:r>
                              <w:rPr>
                                <w:lang w:val="en-US"/>
                              </w:rPr>
                              <w:t>Y-axes indicates the log(FDR) value of the differential expressed genes.</w:t>
                            </w:r>
                          </w:p>
                          <w:p w14:paraId="6AB2AF4E" w14:textId="0082FEAC" w:rsidR="00B815B6" w:rsidRPr="00374203" w:rsidRDefault="00B815B6" w:rsidP="00363E13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AA097" id="_x0000_s1031" type="#_x0000_t202" style="position:absolute;margin-left:6.5pt;margin-top:0;width:690.85pt;height:445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" stroked="f">
                <v:textbox>
                  <w:txbxContent>
                    <w:p w14:paraId="4D11A4D3" w14:textId="65362EEA" w:rsidR="00374203" w:rsidRDefault="00B815B6" w:rsidP="00363E13">
                      <w:pPr>
                        <w:jc w:val="both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E12943" wp14:editId="122D0C1B">
                            <wp:extent cx="7758430" cy="4751629"/>
                            <wp:effectExtent l="57150" t="57150" r="52070" b="49530"/>
                            <wp:docPr id="12" name="Picture 12" descr="A close-up of a cha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Picture 12" descr="A close-up of a chart&#10;&#10;Description automatically generated"/>
                                    <pic:cNvPicPr/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544" t="8645" r="1642" b="936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776220" cy="476252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scene3d>
                                      <a:camera prst="orthographicFront">
                                        <a:rot lat="0" lon="0" rev="21594000"/>
                                      </a:camera>
                                      <a:lightRig rig="threePt" dir="t"/>
                                    </a:scene3d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FFF5BD" w14:textId="0AC40803" w:rsidR="004070EC" w:rsidRPr="000B7A52" w:rsidRDefault="004070EC" w:rsidP="00363E13">
                      <w:pPr>
                        <w:jc w:val="both"/>
                        <w:rPr>
                          <w:lang w:val="en-US"/>
                        </w:rPr>
                      </w:pPr>
                      <w:r w:rsidRPr="000B7A52">
                        <w:rPr>
                          <w:b/>
                          <w:bCs/>
                          <w:lang w:val="en-US"/>
                        </w:rPr>
                        <w:t>Figure S</w:t>
                      </w:r>
                      <w:r>
                        <w:rPr>
                          <w:b/>
                          <w:bCs/>
                          <w:lang w:val="en-US"/>
                        </w:rPr>
                        <w:t>6.</w:t>
                      </w:r>
                      <w:r w:rsidRPr="000B7A52"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r w:rsidRPr="00C20BEA">
                        <w:rPr>
                          <w:b/>
                          <w:bCs/>
                          <w:lang w:val="en-US"/>
                        </w:rPr>
                        <w:t>Manhattan plot of</w:t>
                      </w:r>
                      <w:r w:rsidR="007D0C5F" w:rsidRPr="00C20BEA">
                        <w:rPr>
                          <w:b/>
                          <w:bCs/>
                          <w:lang w:val="en-US"/>
                        </w:rPr>
                        <w:t xml:space="preserve"> FDR significant differential expressed genes between </w:t>
                      </w:r>
                      <w:proofErr w:type="spellStart"/>
                      <w:r w:rsidR="007D0C5F" w:rsidRPr="00C20BEA">
                        <w:rPr>
                          <w:b/>
                          <w:bCs/>
                          <w:lang w:val="en-US"/>
                        </w:rPr>
                        <w:t>hCiC</w:t>
                      </w:r>
                      <w:proofErr w:type="spellEnd"/>
                      <w:r w:rsidR="007D0C5F" w:rsidRPr="00C20BEA">
                        <w:rPr>
                          <w:b/>
                          <w:bCs/>
                          <w:lang w:val="en-US"/>
                        </w:rPr>
                        <w:t xml:space="preserve"> and </w:t>
                      </w:r>
                      <w:proofErr w:type="spellStart"/>
                      <w:r w:rsidR="007D0C5F" w:rsidRPr="00C20BEA">
                        <w:rPr>
                          <w:b/>
                          <w:bCs/>
                          <w:lang w:val="en-US"/>
                        </w:rPr>
                        <w:t>hPACs</w:t>
                      </w:r>
                      <w:proofErr w:type="spellEnd"/>
                      <w:r w:rsidR="007D0C5F">
                        <w:rPr>
                          <w:lang w:val="en-US"/>
                        </w:rPr>
                        <w:t xml:space="preserve">. Plotted are the </w:t>
                      </w:r>
                      <w:r>
                        <w:rPr>
                          <w:lang w:val="en-US"/>
                        </w:rPr>
                        <w:t xml:space="preserve">N=2379 </w:t>
                      </w:r>
                      <w:r w:rsidR="007D0C5F">
                        <w:rPr>
                          <w:lang w:val="en-US"/>
                        </w:rPr>
                        <w:t xml:space="preserve">prioritized CpG-gene pairs </w:t>
                      </w:r>
                      <w:r w:rsidR="007D0C5F" w:rsidRPr="007D0C5F">
                        <w:rPr>
                          <w:lang w:val="en-US"/>
                        </w:rPr>
                        <w:t>as determined by singular mapping, highest correlation between methylation and expression</w:t>
                      </w:r>
                      <w:r>
                        <w:rPr>
                          <w:lang w:val="en-US"/>
                        </w:rPr>
                        <w:t>.</w:t>
                      </w:r>
                      <w:r w:rsidR="007D0C5F">
                        <w:rPr>
                          <w:lang w:val="en-US"/>
                        </w:rPr>
                        <w:t xml:space="preserve"> </w:t>
                      </w:r>
                      <w:r w:rsidR="007D0C5F" w:rsidRPr="007D0C5F">
                        <w:rPr>
                          <w:lang w:val="en-US"/>
                        </w:rPr>
                        <w:t xml:space="preserve">See also Fig. 3 box 2. </w:t>
                      </w:r>
                      <w:r>
                        <w:rPr>
                          <w:lang w:val="en-US"/>
                        </w:rPr>
                        <w:t>Y-axes indicates the log(FDR) value of the differential expressed genes.</w:t>
                      </w:r>
                    </w:p>
                    <w:p w14:paraId="6AB2AF4E" w14:textId="0082FEAC" w:rsidR="00B815B6" w:rsidRPr="00374203" w:rsidRDefault="00B815B6" w:rsidP="00363E13">
                      <w:pPr>
                        <w:jc w:val="both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F7559" w:rsidSect="0037420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DCA9E" w14:textId="77777777" w:rsidR="005F7559" w:rsidRDefault="005F7559" w:rsidP="005F7559">
      <w:pPr>
        <w:spacing w:after="0" w:line="240" w:lineRule="auto"/>
      </w:pPr>
      <w:r>
        <w:separator/>
      </w:r>
    </w:p>
  </w:endnote>
  <w:endnote w:type="continuationSeparator" w:id="0">
    <w:p w14:paraId="2BC03366" w14:textId="77777777" w:rsidR="005F7559" w:rsidRDefault="005F7559" w:rsidP="005F7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1417658"/>
      <w:docPartObj>
        <w:docPartGallery w:val="Page Numbers (Bottom of Page)"/>
        <w:docPartUnique/>
      </w:docPartObj>
    </w:sdtPr>
    <w:sdtEndPr/>
    <w:sdtContent>
      <w:p w14:paraId="3DD5509C" w14:textId="116E49E2" w:rsidR="005F7559" w:rsidRDefault="005F755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C8F2A4" w14:textId="77777777" w:rsidR="005F7559" w:rsidRDefault="005F75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1BB5E" w14:textId="77777777" w:rsidR="005F7559" w:rsidRDefault="005F7559" w:rsidP="005F7559">
      <w:pPr>
        <w:spacing w:after="0" w:line="240" w:lineRule="auto"/>
      </w:pPr>
      <w:r>
        <w:separator/>
      </w:r>
    </w:p>
  </w:footnote>
  <w:footnote w:type="continuationSeparator" w:id="0">
    <w:p w14:paraId="75ECEE30" w14:textId="77777777" w:rsidR="005F7559" w:rsidRDefault="005F7559" w:rsidP="005F75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559"/>
    <w:rsid w:val="000B7A52"/>
    <w:rsid w:val="002344BD"/>
    <w:rsid w:val="00363E13"/>
    <w:rsid w:val="00374203"/>
    <w:rsid w:val="003C277E"/>
    <w:rsid w:val="004070EC"/>
    <w:rsid w:val="004107FE"/>
    <w:rsid w:val="005F7559"/>
    <w:rsid w:val="007D0C5F"/>
    <w:rsid w:val="00A8082C"/>
    <w:rsid w:val="00B815B6"/>
    <w:rsid w:val="00C20BEA"/>
    <w:rsid w:val="00EC06FD"/>
    <w:rsid w:val="00F4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88AAC"/>
  <w15:chartTrackingRefBased/>
  <w15:docId w15:val="{F98E4615-3A0A-45BF-ADA1-5D6554C5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7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559"/>
  </w:style>
  <w:style w:type="paragraph" w:styleId="Footer">
    <w:name w:val="footer"/>
    <w:basedOn w:val="Normal"/>
    <w:link w:val="FooterChar"/>
    <w:uiPriority w:val="99"/>
    <w:unhideWhenUsed/>
    <w:rsid w:val="005F7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559"/>
  </w:style>
  <w:style w:type="paragraph" w:styleId="NormalWeb">
    <w:name w:val="Normal (Web)"/>
    <w:basedOn w:val="Normal"/>
    <w:uiPriority w:val="99"/>
    <w:semiHidden/>
    <w:unhideWhenUsed/>
    <w:rsid w:val="005F7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DefaultParagraphFont"/>
    <w:uiPriority w:val="99"/>
    <w:unhideWhenUsed/>
    <w:rsid w:val="003C27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277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808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8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hyperlink" Target="https://pubmed.ncbi.nlm.nih.gov/?sort=date&amp;term=Meulenbelt+I&amp;cauthor_id=30509410" TargetMode="External"/><Relationship Id="rId12" Type="http://schemas.openxmlformats.org/officeDocument/2006/relationships/image" Target="media/image4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ubmed.ncbi.nlm.nih.gov/?sort=date&amp;term=Ramos+YFM&amp;cauthor_id=30509410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tif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Meulenbelt, I. (MOLEPI)</dc:creator>
  <cp:keywords/>
  <dc:description/>
  <cp:lastModifiedBy>Ramos, Y.F.M. (MOLEPI)</cp:lastModifiedBy>
  <cp:revision>3</cp:revision>
  <cp:lastPrinted>2023-08-14T12:21:00Z</cp:lastPrinted>
  <dcterms:created xsi:type="dcterms:W3CDTF">2023-08-16T12:30:00Z</dcterms:created>
  <dcterms:modified xsi:type="dcterms:W3CDTF">2023-08-16T12:43:00Z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4742d862-b409-4b92-9202-a551b2320ba2</vt:lpwstr>
  </property>
</Properties>
</file>