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C6A" w:rsidRPr="00277C6A" w:rsidRDefault="00277C6A" w:rsidP="00277C6A">
      <w:pPr>
        <w:tabs>
          <w:tab w:val="left" w:pos="567"/>
        </w:tabs>
        <w:spacing w:after="0" w:line="240" w:lineRule="auto"/>
        <w:ind w:left="426" w:hanging="426"/>
        <w:jc w:val="both"/>
        <w:outlineLvl w:val="2"/>
        <w:rPr>
          <w:rFonts w:eastAsia="Times New Roman" w:cstheme="minorHAnsi"/>
          <w:b/>
          <w:bCs/>
          <w:sz w:val="32"/>
          <w:szCs w:val="32"/>
          <w:lang w:val="en-GB" w:eastAsia="es-ES"/>
        </w:rPr>
      </w:pPr>
      <w:r w:rsidRPr="00277C6A">
        <w:rPr>
          <w:rFonts w:eastAsia="Times New Roman" w:cstheme="minorHAnsi"/>
          <w:b/>
          <w:bCs/>
          <w:sz w:val="32"/>
          <w:szCs w:val="32"/>
          <w:lang w:val="en-GB" w:eastAsia="es-ES"/>
        </w:rPr>
        <w:t>Supplementary Information</w:t>
      </w:r>
    </w:p>
    <w:p w:rsidR="00277C6A" w:rsidRPr="00277C6A" w:rsidRDefault="00277C6A" w:rsidP="00277C6A">
      <w:pPr>
        <w:spacing w:after="0" w:line="240" w:lineRule="auto"/>
        <w:jc w:val="both"/>
        <w:rPr>
          <w:rFonts w:cstheme="minorHAnsi"/>
          <w:sz w:val="28"/>
          <w:szCs w:val="28"/>
          <w:lang w:val="en-GB" w:eastAsia="es-ES"/>
        </w:rPr>
      </w:pPr>
      <w:r w:rsidRPr="00277C6A">
        <w:rPr>
          <w:rFonts w:cstheme="minorHAnsi"/>
          <w:b/>
          <w:sz w:val="28"/>
          <w:szCs w:val="28"/>
          <w:lang w:val="en-GB" w:eastAsia="es-ES"/>
        </w:rPr>
        <w:t>Title:</w:t>
      </w:r>
      <w:r w:rsidRPr="00277C6A">
        <w:rPr>
          <w:rFonts w:cstheme="minorHAnsi"/>
          <w:sz w:val="28"/>
          <w:szCs w:val="28"/>
          <w:lang w:val="en-GB" w:eastAsia="es-ES"/>
        </w:rPr>
        <w:t xml:space="preserve"> Mucus-penetrating and permeation enhancer albumin-based nanoparticles for oral delivery of macromolecules: application to bevacizumab</w:t>
      </w:r>
    </w:p>
    <w:p w:rsidR="00277C6A" w:rsidRPr="00277C6A" w:rsidRDefault="00277C6A" w:rsidP="00277C6A">
      <w:pPr>
        <w:spacing w:after="0" w:line="240" w:lineRule="auto"/>
        <w:jc w:val="both"/>
        <w:rPr>
          <w:rFonts w:cstheme="minorHAnsi"/>
          <w:sz w:val="28"/>
          <w:szCs w:val="28"/>
          <w:lang w:val="en-GB" w:eastAsia="es-ES"/>
        </w:rPr>
      </w:pPr>
      <w:r w:rsidRPr="00277C6A">
        <w:rPr>
          <w:rFonts w:cstheme="minorHAnsi"/>
          <w:b/>
          <w:sz w:val="28"/>
          <w:szCs w:val="28"/>
          <w:lang w:val="en-GB" w:eastAsia="es-ES"/>
        </w:rPr>
        <w:t>Journal:</w:t>
      </w:r>
      <w:r w:rsidRPr="00277C6A">
        <w:rPr>
          <w:rFonts w:cstheme="minorHAnsi"/>
          <w:sz w:val="28"/>
          <w:szCs w:val="28"/>
          <w:lang w:val="en-GB" w:eastAsia="es-ES"/>
        </w:rPr>
        <w:t xml:space="preserve"> Drug Delivery and Translational Research</w:t>
      </w:r>
    </w:p>
    <w:p w:rsidR="00277C6A" w:rsidRPr="00277C6A" w:rsidRDefault="00277C6A" w:rsidP="00277C6A">
      <w:pPr>
        <w:spacing w:after="0" w:line="240" w:lineRule="auto"/>
        <w:jc w:val="both"/>
        <w:rPr>
          <w:rFonts w:cstheme="minorHAnsi"/>
          <w:sz w:val="28"/>
          <w:szCs w:val="28"/>
          <w:lang w:eastAsia="es-ES"/>
        </w:rPr>
      </w:pPr>
      <w:r w:rsidRPr="00277C6A">
        <w:rPr>
          <w:rFonts w:cstheme="minorHAnsi"/>
          <w:b/>
          <w:sz w:val="28"/>
          <w:szCs w:val="28"/>
          <w:lang w:eastAsia="es-ES"/>
        </w:rPr>
        <w:t>Author names:</w:t>
      </w:r>
      <w:r w:rsidRPr="00277C6A">
        <w:rPr>
          <w:rFonts w:cstheme="minorHAnsi"/>
          <w:sz w:val="28"/>
          <w:szCs w:val="28"/>
          <w:lang w:eastAsia="es-ES"/>
        </w:rPr>
        <w:t xml:space="preserve"> C. Pangua, S. Espuelas, C. Martinez-Oharriz, J.L. Vizmanos, J.M. Irache</w:t>
      </w:r>
    </w:p>
    <w:p w:rsidR="00277C6A" w:rsidRPr="00277C6A" w:rsidRDefault="00277C6A" w:rsidP="00277C6A">
      <w:pPr>
        <w:spacing w:after="0" w:line="240" w:lineRule="auto"/>
        <w:jc w:val="both"/>
        <w:rPr>
          <w:rFonts w:cstheme="minorHAnsi"/>
          <w:sz w:val="28"/>
          <w:szCs w:val="28"/>
          <w:lang w:val="en-GB" w:eastAsia="es-ES"/>
        </w:rPr>
      </w:pPr>
      <w:r w:rsidRPr="00277C6A">
        <w:rPr>
          <w:rFonts w:cstheme="minorHAnsi"/>
          <w:b/>
          <w:sz w:val="28"/>
          <w:szCs w:val="28"/>
          <w:lang w:val="en-GB" w:eastAsia="es-ES"/>
        </w:rPr>
        <w:t>Corresponding author:</w:t>
      </w:r>
      <w:r w:rsidRPr="00277C6A">
        <w:rPr>
          <w:rFonts w:cstheme="minorHAnsi"/>
          <w:sz w:val="28"/>
          <w:szCs w:val="28"/>
          <w:lang w:val="en-GB" w:eastAsia="es-ES"/>
        </w:rPr>
        <w:t xml:space="preserve"> Prof. Juan M. Irache </w:t>
      </w:r>
    </w:p>
    <w:p w:rsidR="00277C6A" w:rsidRPr="00277C6A" w:rsidRDefault="00277C6A" w:rsidP="00277C6A">
      <w:pPr>
        <w:spacing w:after="0" w:line="240" w:lineRule="auto"/>
        <w:jc w:val="both"/>
        <w:rPr>
          <w:rFonts w:cstheme="minorHAnsi"/>
          <w:sz w:val="24"/>
          <w:szCs w:val="24"/>
          <w:lang w:val="en-GB" w:eastAsia="es-ES"/>
        </w:rPr>
      </w:pPr>
      <w:r w:rsidRPr="00277C6A">
        <w:rPr>
          <w:rFonts w:cstheme="minorHAnsi"/>
          <w:sz w:val="24"/>
          <w:szCs w:val="24"/>
          <w:lang w:val="en-GB" w:eastAsia="es-ES"/>
        </w:rPr>
        <w:t xml:space="preserve">Dept. Chemistry and Pharmaceutical Technology University of Navarra. C/ Irunlarrea, 1. 31008 – Pamplona, Spain. </w:t>
      </w:r>
    </w:p>
    <w:p w:rsidR="00277C6A" w:rsidRPr="00277C6A" w:rsidRDefault="00277C6A" w:rsidP="00277C6A">
      <w:pPr>
        <w:spacing w:after="0" w:line="240" w:lineRule="auto"/>
        <w:jc w:val="both"/>
        <w:rPr>
          <w:rFonts w:cstheme="minorHAnsi"/>
          <w:sz w:val="24"/>
          <w:szCs w:val="24"/>
          <w:lang w:val="en-GB" w:eastAsia="es-ES"/>
        </w:rPr>
      </w:pPr>
      <w:r w:rsidRPr="00277C6A">
        <w:rPr>
          <w:rFonts w:cstheme="minorHAnsi"/>
          <w:sz w:val="24"/>
          <w:szCs w:val="24"/>
          <w:lang w:val="en-GB" w:eastAsia="es-ES"/>
        </w:rPr>
        <w:t>E-mail: jmirache@unav.es</w:t>
      </w:r>
    </w:p>
    <w:p w:rsidR="00277C6A" w:rsidRPr="00277C6A" w:rsidRDefault="00277C6A" w:rsidP="00277C6A">
      <w:pPr>
        <w:autoSpaceDE w:val="0"/>
        <w:autoSpaceDN w:val="0"/>
        <w:adjustRightInd w:val="0"/>
        <w:spacing w:after="0" w:line="240" w:lineRule="auto"/>
        <w:jc w:val="both"/>
        <w:rPr>
          <w:rFonts w:cstheme="minorHAnsi"/>
          <w:b/>
          <w:bCs/>
          <w:color w:val="000000"/>
          <w:sz w:val="24"/>
          <w:szCs w:val="24"/>
          <w:lang w:val="en-US"/>
        </w:rPr>
      </w:pPr>
    </w:p>
    <w:p w:rsidR="00277C6A" w:rsidRPr="00277C6A" w:rsidRDefault="00277C6A" w:rsidP="00277C6A">
      <w:pPr>
        <w:autoSpaceDE w:val="0"/>
        <w:autoSpaceDN w:val="0"/>
        <w:adjustRightInd w:val="0"/>
        <w:spacing w:after="0" w:line="240" w:lineRule="auto"/>
        <w:jc w:val="both"/>
        <w:rPr>
          <w:rFonts w:cstheme="minorHAnsi"/>
          <w:b/>
          <w:bCs/>
          <w:color w:val="000000"/>
          <w:sz w:val="24"/>
          <w:szCs w:val="24"/>
          <w:lang w:val="en-US"/>
        </w:rPr>
      </w:pPr>
    </w:p>
    <w:p w:rsidR="00277C6A" w:rsidRPr="00277C6A" w:rsidRDefault="00277C6A" w:rsidP="00277C6A">
      <w:pPr>
        <w:tabs>
          <w:tab w:val="left" w:pos="567"/>
        </w:tabs>
        <w:spacing w:after="0" w:line="240" w:lineRule="auto"/>
        <w:ind w:left="426" w:hanging="426"/>
        <w:jc w:val="both"/>
        <w:outlineLvl w:val="2"/>
        <w:rPr>
          <w:rFonts w:cstheme="minorHAnsi"/>
          <w:b/>
          <w:sz w:val="28"/>
          <w:szCs w:val="28"/>
          <w:lang w:val="en-US"/>
        </w:rPr>
      </w:pPr>
      <w:r w:rsidRPr="00277C6A">
        <w:rPr>
          <w:rFonts w:cstheme="minorHAnsi"/>
          <w:b/>
          <w:sz w:val="28"/>
          <w:szCs w:val="28"/>
          <w:lang w:val="en-US"/>
        </w:rPr>
        <w:t>HIP complex dissociation</w:t>
      </w:r>
    </w:p>
    <w:p w:rsidR="00277C6A" w:rsidRPr="00277C6A" w:rsidRDefault="00277C6A" w:rsidP="00277C6A">
      <w:pPr>
        <w:spacing w:after="0" w:line="240" w:lineRule="auto"/>
        <w:jc w:val="both"/>
        <w:rPr>
          <w:rFonts w:cstheme="minorHAnsi"/>
          <w:sz w:val="24"/>
          <w:szCs w:val="24"/>
          <w:lang w:val="en-GB"/>
        </w:rPr>
      </w:pPr>
      <w:r w:rsidRPr="00277C6A">
        <w:rPr>
          <w:rFonts w:cstheme="minorHAnsi"/>
          <w:sz w:val="24"/>
          <w:szCs w:val="24"/>
          <w:lang w:val="en-GB"/>
        </w:rPr>
        <w:t>The dissociation of HIP complexes was evaluated by incubating samples with 4 mg bevacizumab, under magnetic stirring at 300 rpm, in 5 mL of an aqueous medium (water, gastric simulated fluid at pH 1.6, or intestinal simulated fluid at pH 6.8). After 30 min of incubation, samples were taken and centrifuged at 21,000 x g for 15 min at 4 °C (</w:t>
      </w:r>
      <w:r w:rsidRPr="00277C6A">
        <w:rPr>
          <w:rFonts w:cstheme="minorHAnsi"/>
          <w:sz w:val="24"/>
          <w:szCs w:val="24"/>
          <w:lang w:val="en-US"/>
        </w:rPr>
        <w:t>Sigma 3K30 Osterodeam Harz, Germany</w:t>
      </w:r>
      <w:r w:rsidRPr="00277C6A">
        <w:rPr>
          <w:rFonts w:cstheme="minorHAnsi"/>
          <w:sz w:val="24"/>
          <w:szCs w:val="24"/>
          <w:lang w:val="en-GB"/>
        </w:rPr>
        <w:t>). The amount of bevacizumab in the supernatants was quantitated by HPLC and the percentage of dissociated bevacizumab was calculated as the quotient between the amounts of unbound and initially added bevacizumab. The dissociation was expressed in percentage. These results are shown in Figure 1S.</w:t>
      </w:r>
    </w:p>
    <w:p w:rsidR="00277C6A" w:rsidRPr="00277C6A" w:rsidRDefault="00277C6A" w:rsidP="00277C6A">
      <w:pPr>
        <w:autoSpaceDE w:val="0"/>
        <w:autoSpaceDN w:val="0"/>
        <w:adjustRightInd w:val="0"/>
        <w:spacing w:after="0" w:line="240" w:lineRule="auto"/>
        <w:jc w:val="both"/>
        <w:rPr>
          <w:rFonts w:cstheme="minorHAnsi"/>
          <w:b/>
          <w:bCs/>
          <w:color w:val="000000"/>
          <w:sz w:val="24"/>
          <w:szCs w:val="24"/>
          <w:lang w:val="en-US"/>
        </w:rPr>
      </w:pPr>
    </w:p>
    <w:p w:rsidR="00277C6A" w:rsidRPr="00277C6A" w:rsidRDefault="00277C6A" w:rsidP="00277C6A">
      <w:pPr>
        <w:autoSpaceDE w:val="0"/>
        <w:autoSpaceDN w:val="0"/>
        <w:adjustRightInd w:val="0"/>
        <w:spacing w:after="0" w:line="240" w:lineRule="auto"/>
        <w:jc w:val="center"/>
        <w:rPr>
          <w:rFonts w:cstheme="minorHAnsi"/>
          <w:b/>
          <w:bCs/>
          <w:color w:val="000000"/>
          <w:sz w:val="24"/>
          <w:szCs w:val="24"/>
          <w:lang w:val="en-US"/>
        </w:rPr>
      </w:pPr>
      <w:r w:rsidRPr="00277C6A">
        <w:rPr>
          <w:rFonts w:cstheme="minorHAnsi"/>
          <w:b/>
          <w:bCs/>
          <w:noProof/>
          <w:color w:val="000000"/>
          <w:sz w:val="24"/>
          <w:szCs w:val="24"/>
          <w:lang w:eastAsia="es-ES"/>
        </w:rPr>
        <w:drawing>
          <wp:inline distT="0" distB="0" distL="0" distR="0" wp14:anchorId="78976C42" wp14:editId="64211829">
            <wp:extent cx="4608830" cy="33655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08830" cy="3365500"/>
                    </a:xfrm>
                    <a:prstGeom prst="rect">
                      <a:avLst/>
                    </a:prstGeom>
                    <a:noFill/>
                  </pic:spPr>
                </pic:pic>
              </a:graphicData>
            </a:graphic>
          </wp:inline>
        </w:drawing>
      </w:r>
    </w:p>
    <w:p w:rsidR="00277C6A" w:rsidRPr="00277C6A" w:rsidRDefault="00277C6A" w:rsidP="00277C6A">
      <w:pPr>
        <w:autoSpaceDE w:val="0"/>
        <w:autoSpaceDN w:val="0"/>
        <w:adjustRightInd w:val="0"/>
        <w:spacing w:after="0" w:line="240" w:lineRule="auto"/>
        <w:jc w:val="center"/>
        <w:rPr>
          <w:rFonts w:cstheme="minorHAnsi"/>
          <w:b/>
          <w:bCs/>
          <w:color w:val="000000"/>
          <w:sz w:val="24"/>
          <w:szCs w:val="24"/>
          <w:lang w:val="en-US"/>
        </w:rPr>
      </w:pPr>
    </w:p>
    <w:p w:rsidR="00277C6A" w:rsidRPr="00277C6A" w:rsidRDefault="00277C6A" w:rsidP="00277C6A">
      <w:pPr>
        <w:autoSpaceDE w:val="0"/>
        <w:autoSpaceDN w:val="0"/>
        <w:adjustRightInd w:val="0"/>
        <w:spacing w:after="0" w:line="240" w:lineRule="auto"/>
        <w:jc w:val="both"/>
        <w:rPr>
          <w:rFonts w:cstheme="minorHAnsi"/>
          <w:bCs/>
          <w:color w:val="000000"/>
          <w:sz w:val="24"/>
          <w:szCs w:val="24"/>
          <w:lang w:val="en-US"/>
        </w:rPr>
      </w:pPr>
      <w:r w:rsidRPr="00277C6A">
        <w:rPr>
          <w:rFonts w:cstheme="minorHAnsi"/>
          <w:bCs/>
          <w:color w:val="000000"/>
          <w:sz w:val="24"/>
          <w:szCs w:val="24"/>
          <w:lang w:val="en-US"/>
        </w:rPr>
        <w:lastRenderedPageBreak/>
        <w:t xml:space="preserve">Figure 1S. HIP complex dissociation in water, simulated gastric (SGF) and simulated intestinal fluids (SIF). Data expressed as mean ± SD, </w:t>
      </w:r>
      <w:r w:rsidRPr="00277C6A">
        <w:rPr>
          <w:rFonts w:cstheme="minorHAnsi"/>
          <w:bCs/>
          <w:i/>
          <w:color w:val="000000"/>
          <w:sz w:val="24"/>
          <w:szCs w:val="24"/>
          <w:lang w:val="en-US"/>
        </w:rPr>
        <w:t>n</w:t>
      </w:r>
      <w:r w:rsidRPr="00277C6A">
        <w:rPr>
          <w:rFonts w:cstheme="minorHAnsi"/>
          <w:bCs/>
          <w:color w:val="000000"/>
          <w:sz w:val="24"/>
          <w:szCs w:val="24"/>
          <w:lang w:val="en-US"/>
        </w:rPr>
        <w:t xml:space="preserve"> = 3. Bevacizumab was quantified by HPLC.</w:t>
      </w:r>
    </w:p>
    <w:p w:rsidR="00277C6A" w:rsidRPr="00277C6A" w:rsidRDefault="00277C6A" w:rsidP="00277C6A">
      <w:pPr>
        <w:autoSpaceDE w:val="0"/>
        <w:autoSpaceDN w:val="0"/>
        <w:adjustRightInd w:val="0"/>
        <w:spacing w:after="0" w:line="240" w:lineRule="auto"/>
        <w:jc w:val="both"/>
        <w:rPr>
          <w:rFonts w:cstheme="minorHAnsi"/>
          <w:bCs/>
          <w:color w:val="000000"/>
          <w:sz w:val="24"/>
          <w:szCs w:val="24"/>
          <w:lang w:val="en-US"/>
        </w:rPr>
      </w:pPr>
    </w:p>
    <w:p w:rsidR="00277C6A" w:rsidRPr="00277C6A" w:rsidRDefault="00277C6A" w:rsidP="00277C6A">
      <w:pPr>
        <w:autoSpaceDE w:val="0"/>
        <w:autoSpaceDN w:val="0"/>
        <w:adjustRightInd w:val="0"/>
        <w:spacing w:after="0" w:line="240" w:lineRule="auto"/>
        <w:jc w:val="both"/>
        <w:rPr>
          <w:rFonts w:cstheme="minorHAnsi"/>
          <w:bCs/>
          <w:color w:val="000000"/>
          <w:sz w:val="24"/>
          <w:szCs w:val="24"/>
          <w:lang w:val="en-US"/>
        </w:rPr>
      </w:pPr>
    </w:p>
    <w:p w:rsidR="00277C6A" w:rsidRPr="00277C6A" w:rsidRDefault="00277C6A" w:rsidP="00277C6A">
      <w:pPr>
        <w:tabs>
          <w:tab w:val="left" w:pos="284"/>
        </w:tabs>
        <w:spacing w:after="0" w:line="240" w:lineRule="auto"/>
        <w:ind w:left="426" w:hanging="426"/>
        <w:contextualSpacing/>
        <w:jc w:val="both"/>
        <w:outlineLvl w:val="1"/>
        <w:rPr>
          <w:rFonts w:cstheme="minorHAnsi"/>
          <w:b/>
          <w:bCs/>
          <w:sz w:val="28"/>
          <w:szCs w:val="28"/>
          <w:lang w:val="en-GB"/>
        </w:rPr>
      </w:pPr>
      <w:r w:rsidRPr="00277C6A">
        <w:rPr>
          <w:rFonts w:cstheme="minorHAnsi"/>
          <w:b/>
          <w:bCs/>
          <w:i/>
          <w:iCs/>
          <w:sz w:val="28"/>
          <w:szCs w:val="28"/>
          <w:lang w:val="en-GB"/>
        </w:rPr>
        <w:t>Ex vivo</w:t>
      </w:r>
      <w:r w:rsidRPr="00277C6A">
        <w:rPr>
          <w:rFonts w:cstheme="minorHAnsi"/>
          <w:b/>
          <w:bCs/>
          <w:sz w:val="28"/>
          <w:szCs w:val="28"/>
          <w:lang w:val="en-GB"/>
        </w:rPr>
        <w:t xml:space="preserve"> mucus diffusion in pig intestinal mucus</w:t>
      </w:r>
    </w:p>
    <w:p w:rsidR="00277C6A" w:rsidRPr="00277C6A" w:rsidRDefault="00277C6A" w:rsidP="00277C6A">
      <w:pPr>
        <w:spacing w:after="0" w:line="240" w:lineRule="auto"/>
        <w:jc w:val="both"/>
        <w:rPr>
          <w:rFonts w:cstheme="minorHAnsi"/>
          <w:sz w:val="24"/>
          <w:szCs w:val="24"/>
          <w:lang w:val="en-GB"/>
        </w:rPr>
      </w:pPr>
      <w:r w:rsidRPr="00277C6A">
        <w:rPr>
          <w:rFonts w:cstheme="minorHAnsi"/>
          <w:sz w:val="24"/>
          <w:szCs w:val="24"/>
          <w:lang w:val="en-GB"/>
        </w:rPr>
        <w:t xml:space="preserve">Four mg of Lumogen® Red-labelled nanoparticles (4 mg/mL) were dispersed in 0.5 g pig intestinal mucus. Samples were incubated for 2h at 37 °C at 60 rpm (Labnet VorTemp 56 EVC, Labnet International, Inc., Edison NJ). The movement of nanoparticles were recorded in two-dimensional plane at 30 frames/s during 10 s by a high-speed camera (Allied Vision Technologies, Stadtroda, Germany) attached to a wide-field epifluorescence microscope used at 63x magnification oil immersion lens (Leica DM IRB, Wetzlar, Germany). A minimum of 100 trajectories were captured and later tracked and analyzed using an image processing software (Fiji ImageJ). </w:t>
      </w:r>
    </w:p>
    <w:p w:rsidR="00277C6A" w:rsidRPr="00277C6A" w:rsidRDefault="00277C6A" w:rsidP="00277C6A">
      <w:pPr>
        <w:spacing w:after="0" w:line="240" w:lineRule="auto"/>
        <w:jc w:val="both"/>
        <w:rPr>
          <w:rFonts w:cstheme="minorHAnsi"/>
          <w:sz w:val="24"/>
          <w:szCs w:val="24"/>
          <w:lang w:val="en-US"/>
        </w:rPr>
      </w:pPr>
      <w:r w:rsidRPr="00277C6A">
        <w:rPr>
          <w:rFonts w:cstheme="minorHAnsi"/>
          <w:sz w:val="24"/>
          <w:szCs w:val="24"/>
          <w:lang w:val="en-US"/>
        </w:rPr>
        <w:t>The diffusion coefficient of the nanoparticles in water (D°) was obtained from the Stokes-Einstein equation [28], whereas the “Effective Diffusion Coefficient” (&lt;Deff&gt;) was calculated as follows: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1836"/>
      </w:tblGrid>
      <w:tr w:rsidR="00277C6A" w:rsidRPr="00277C6A" w:rsidTr="0027479C">
        <w:tc>
          <w:tcPr>
            <w:tcW w:w="6658" w:type="dxa"/>
            <w:vAlign w:val="center"/>
          </w:tcPr>
          <w:p w:rsidR="00277C6A" w:rsidRPr="00277C6A" w:rsidRDefault="00277C6A" w:rsidP="00277C6A">
            <w:pPr>
              <w:jc w:val="both"/>
              <w:rPr>
                <w:rFonts w:eastAsiaTheme="minorEastAsia" w:cstheme="minorHAnsi"/>
                <w:sz w:val="24"/>
                <w:szCs w:val="24"/>
                <w:lang w:val="en-GB"/>
              </w:rPr>
            </w:pPr>
          </w:p>
          <w:p w:rsidR="00277C6A" w:rsidRPr="00277C6A" w:rsidRDefault="00277C6A" w:rsidP="00277C6A">
            <w:pPr>
              <w:jc w:val="both"/>
              <w:rPr>
                <w:rFonts w:eastAsiaTheme="minorEastAsia" w:cstheme="minorHAnsi"/>
                <w:sz w:val="24"/>
                <w:szCs w:val="24"/>
                <w:lang w:val="en-GB"/>
              </w:rPr>
            </w:pPr>
            <m:oMathPara>
              <m:oMath>
                <m:r>
                  <m:rPr>
                    <m:nor/>
                  </m:rPr>
                  <w:rPr>
                    <w:rFonts w:cstheme="minorHAnsi"/>
                    <w:sz w:val="24"/>
                    <w:szCs w:val="24"/>
                    <w:lang w:val="en-GB"/>
                  </w:rPr>
                  <m:t>Deff =</m:t>
                </m:r>
                <m:f>
                  <m:fPr>
                    <m:ctrlPr>
                      <w:rPr>
                        <w:rFonts w:ascii="Cambria Math" w:hAnsi="Cambria Math" w:cstheme="minorHAnsi"/>
                        <w:sz w:val="24"/>
                        <w:szCs w:val="24"/>
                        <w:lang w:val="en-US"/>
                      </w:rPr>
                    </m:ctrlPr>
                  </m:fPr>
                  <m:num>
                    <m:r>
                      <m:rPr>
                        <m:nor/>
                      </m:rPr>
                      <w:rPr>
                        <w:rFonts w:cstheme="minorHAnsi"/>
                        <w:sz w:val="24"/>
                        <w:szCs w:val="24"/>
                        <w:lang w:val="en-GB"/>
                      </w:rPr>
                      <m:t xml:space="preserve"> &lt;MSD&gt;</m:t>
                    </m:r>
                  </m:num>
                  <m:den>
                    <m:r>
                      <m:rPr>
                        <m:nor/>
                      </m:rPr>
                      <w:rPr>
                        <w:rFonts w:cstheme="minorHAnsi"/>
                        <w:sz w:val="24"/>
                        <w:szCs w:val="24"/>
                        <w:lang w:val="en-GB"/>
                      </w:rPr>
                      <m:t xml:space="preserve">4· </m:t>
                    </m:r>
                    <m:r>
                      <m:rPr>
                        <m:nor/>
                      </m:rPr>
                      <w:rPr>
                        <w:rFonts w:cstheme="minorHAnsi"/>
                        <w:sz w:val="24"/>
                        <w:szCs w:val="24"/>
                        <w:lang w:val="en-US"/>
                      </w:rPr>
                      <m:t>Δ</m:t>
                    </m:r>
                    <m:r>
                      <m:rPr>
                        <m:nor/>
                      </m:rPr>
                      <w:rPr>
                        <w:rFonts w:cstheme="minorHAnsi"/>
                        <w:sz w:val="24"/>
                        <w:szCs w:val="24"/>
                        <w:lang w:val="en-GB"/>
                      </w:rPr>
                      <m:t>t</m:t>
                    </m:r>
                  </m:den>
                </m:f>
              </m:oMath>
            </m:oMathPara>
          </w:p>
          <w:p w:rsidR="00277C6A" w:rsidRPr="00277C6A" w:rsidRDefault="00277C6A" w:rsidP="00277C6A">
            <w:pPr>
              <w:jc w:val="center"/>
              <w:rPr>
                <w:rFonts w:cstheme="minorHAnsi"/>
                <w:sz w:val="24"/>
                <w:szCs w:val="24"/>
                <w:lang w:val="en-US"/>
              </w:rPr>
            </w:pPr>
          </w:p>
        </w:tc>
        <w:tc>
          <w:tcPr>
            <w:tcW w:w="1836" w:type="dxa"/>
            <w:vAlign w:val="center"/>
          </w:tcPr>
          <w:p w:rsidR="00277C6A" w:rsidRPr="00277C6A" w:rsidRDefault="00277C6A" w:rsidP="00277C6A">
            <w:pPr>
              <w:jc w:val="both"/>
              <w:rPr>
                <w:rFonts w:cstheme="minorHAnsi"/>
                <w:sz w:val="24"/>
                <w:szCs w:val="24"/>
                <w:lang w:val="en-US"/>
              </w:rPr>
            </w:pPr>
          </w:p>
        </w:tc>
      </w:tr>
    </w:tbl>
    <w:p w:rsidR="00277C6A" w:rsidRPr="00277C6A" w:rsidRDefault="00277C6A" w:rsidP="00277C6A">
      <w:pPr>
        <w:spacing w:after="0" w:line="240" w:lineRule="auto"/>
        <w:jc w:val="both"/>
        <w:rPr>
          <w:rFonts w:cstheme="minorHAnsi"/>
          <w:sz w:val="24"/>
          <w:szCs w:val="24"/>
          <w:lang w:val="en-US"/>
        </w:rPr>
      </w:pPr>
      <w:r w:rsidRPr="00277C6A">
        <w:rPr>
          <w:rFonts w:cstheme="minorHAnsi"/>
          <w:sz w:val="24"/>
          <w:szCs w:val="24"/>
          <w:lang w:val="en-US"/>
        </w:rPr>
        <w:t>in which &lt;MSD&gt; is the mean square displacement of 100 individual trajectories, 4 is a constant related to the 2-dimensional mode of video capture</w:t>
      </w:r>
      <w:r w:rsidRPr="00277C6A">
        <w:rPr>
          <w:rFonts w:cstheme="minorHAnsi"/>
          <w:sz w:val="24"/>
          <w:szCs w:val="24"/>
          <w:lang w:val="en-GB"/>
        </w:rPr>
        <w:t xml:space="preserve"> </w:t>
      </w:r>
      <w:r w:rsidRPr="00277C6A">
        <w:rPr>
          <w:rFonts w:cstheme="minorHAnsi"/>
          <w:sz w:val="24"/>
          <w:szCs w:val="24"/>
          <w:lang w:val="en-US"/>
        </w:rPr>
        <w:t>and Δt is the selected time interval. All the formulations were expressed as the ratio (%) between their Deff and their D° (diffusions in mucus and in water, respectively).</w:t>
      </w:r>
    </w:p>
    <w:p w:rsidR="00277C6A" w:rsidRPr="00277C6A" w:rsidRDefault="00277C6A" w:rsidP="00277C6A">
      <w:pPr>
        <w:autoSpaceDE w:val="0"/>
        <w:autoSpaceDN w:val="0"/>
        <w:adjustRightInd w:val="0"/>
        <w:spacing w:after="0" w:line="240" w:lineRule="auto"/>
        <w:jc w:val="both"/>
        <w:rPr>
          <w:rFonts w:cstheme="minorHAnsi"/>
          <w:sz w:val="24"/>
          <w:szCs w:val="24"/>
          <w:lang w:val="en-US"/>
        </w:rPr>
      </w:pPr>
    </w:p>
    <w:p w:rsidR="00277C6A" w:rsidRPr="00277C6A" w:rsidRDefault="00277C6A" w:rsidP="00277C6A">
      <w:pPr>
        <w:autoSpaceDE w:val="0"/>
        <w:autoSpaceDN w:val="0"/>
        <w:adjustRightInd w:val="0"/>
        <w:spacing w:after="0" w:line="240" w:lineRule="auto"/>
        <w:jc w:val="both"/>
        <w:rPr>
          <w:rFonts w:cstheme="minorHAnsi"/>
          <w:bCs/>
          <w:color w:val="000000"/>
          <w:sz w:val="24"/>
          <w:szCs w:val="24"/>
          <w:lang w:val="en-US"/>
        </w:rPr>
      </w:pPr>
      <w:r w:rsidRPr="00277C6A">
        <w:rPr>
          <w:rFonts w:cstheme="minorHAnsi"/>
          <w:sz w:val="24"/>
          <w:szCs w:val="24"/>
          <w:lang w:val="en-US"/>
        </w:rPr>
        <w:t>Table S1 summarizes the diffusion parameters of the nanoparticles in pig intestinal mucus.</w:t>
      </w:r>
    </w:p>
    <w:p w:rsidR="00277C6A" w:rsidRPr="00277C6A" w:rsidRDefault="00277C6A" w:rsidP="00277C6A">
      <w:pPr>
        <w:autoSpaceDE w:val="0"/>
        <w:autoSpaceDN w:val="0"/>
        <w:adjustRightInd w:val="0"/>
        <w:spacing w:after="0" w:line="240" w:lineRule="auto"/>
        <w:jc w:val="both"/>
        <w:rPr>
          <w:rFonts w:cstheme="minorHAnsi"/>
          <w:bCs/>
          <w:color w:val="000000"/>
          <w:sz w:val="24"/>
          <w:szCs w:val="24"/>
          <w:lang w:val="en-US"/>
        </w:rPr>
      </w:pPr>
    </w:p>
    <w:p w:rsidR="00277C6A" w:rsidRPr="00277C6A" w:rsidRDefault="00277C6A" w:rsidP="00277C6A">
      <w:pPr>
        <w:autoSpaceDE w:val="0"/>
        <w:autoSpaceDN w:val="0"/>
        <w:adjustRightInd w:val="0"/>
        <w:spacing w:after="0" w:line="240" w:lineRule="auto"/>
        <w:jc w:val="both"/>
        <w:rPr>
          <w:rFonts w:cstheme="minorHAnsi"/>
          <w:sz w:val="24"/>
          <w:szCs w:val="24"/>
          <w:lang w:val="en-US"/>
        </w:rPr>
      </w:pPr>
      <w:r w:rsidRPr="00277C6A">
        <w:rPr>
          <w:rFonts w:cstheme="minorHAnsi"/>
          <w:b/>
          <w:bCs/>
          <w:color w:val="000000"/>
          <w:sz w:val="24"/>
          <w:szCs w:val="24"/>
          <w:lang w:val="en-US"/>
        </w:rPr>
        <w:t xml:space="preserve">Table S1. </w:t>
      </w:r>
      <w:r w:rsidRPr="00277C6A">
        <w:rPr>
          <w:rFonts w:cstheme="minorHAnsi"/>
          <w:sz w:val="24"/>
          <w:szCs w:val="24"/>
          <w:lang w:val="en-US"/>
        </w:rPr>
        <w:t>Diffusion of nanoparticles in pig intestinal mucus obtained by the MPT technique. &lt;Deff&gt;: Effective Diffusion Coefficient; D° (water): diffusion coefficient in water; &lt;Deff&gt;/D°: quotient between the diffusion coefficients of nanoparticles in mucus and water (expressed in percentage). Data are expressed as mean ± SD (</w:t>
      </w:r>
      <w:r w:rsidRPr="00277C6A">
        <w:rPr>
          <w:rFonts w:cstheme="minorHAnsi"/>
          <w:i/>
          <w:sz w:val="24"/>
          <w:szCs w:val="24"/>
          <w:lang w:val="en-US"/>
        </w:rPr>
        <w:t>n</w:t>
      </w:r>
      <w:r w:rsidRPr="00277C6A">
        <w:rPr>
          <w:rFonts w:cstheme="minorHAnsi"/>
          <w:sz w:val="24"/>
          <w:szCs w:val="24"/>
          <w:lang w:val="en-US"/>
        </w:rPr>
        <w:t xml:space="preserve"> = 3). **: </w:t>
      </w:r>
      <w:r w:rsidRPr="00277C6A">
        <w:rPr>
          <w:rFonts w:cstheme="minorHAnsi"/>
          <w:i/>
          <w:sz w:val="24"/>
          <w:szCs w:val="24"/>
          <w:lang w:val="en-US"/>
        </w:rPr>
        <w:t>p</w:t>
      </w:r>
      <w:r w:rsidRPr="00277C6A">
        <w:rPr>
          <w:rFonts w:cstheme="minorHAnsi"/>
          <w:sz w:val="24"/>
          <w:szCs w:val="24"/>
          <w:lang w:val="en-US"/>
        </w:rPr>
        <w:t xml:space="preserve"> &lt; 0.001 compared to NP-P.</w:t>
      </w:r>
    </w:p>
    <w:p w:rsidR="00277C6A" w:rsidRPr="00277C6A" w:rsidRDefault="00277C6A" w:rsidP="00277C6A">
      <w:pPr>
        <w:autoSpaceDE w:val="0"/>
        <w:autoSpaceDN w:val="0"/>
        <w:adjustRightInd w:val="0"/>
        <w:spacing w:after="0" w:line="240" w:lineRule="auto"/>
        <w:jc w:val="both"/>
        <w:rPr>
          <w:rFonts w:cstheme="minorHAnsi"/>
          <w:color w:val="000000"/>
          <w:sz w:val="24"/>
          <w:szCs w:val="24"/>
          <w:lang w:val="en-US"/>
        </w:rPr>
      </w:pPr>
    </w:p>
    <w:tbl>
      <w:tblPr>
        <w:tblStyle w:val="Tablaconcuadrcula3"/>
        <w:tblW w:w="5000" w:type="pct"/>
        <w:tblLook w:val="04A0" w:firstRow="1" w:lastRow="0" w:firstColumn="1" w:lastColumn="0" w:noHBand="0" w:noVBand="1"/>
      </w:tblPr>
      <w:tblGrid>
        <w:gridCol w:w="1622"/>
        <w:gridCol w:w="1621"/>
        <w:gridCol w:w="1621"/>
        <w:gridCol w:w="1820"/>
        <w:gridCol w:w="1820"/>
      </w:tblGrid>
      <w:tr w:rsidR="00277C6A" w:rsidRPr="00277C6A" w:rsidTr="0027479C">
        <w:tc>
          <w:tcPr>
            <w:tcW w:w="954" w:type="pct"/>
            <w:tcBorders>
              <w:left w:val="nil"/>
              <w:bottom w:val="single" w:sz="4" w:space="0" w:color="auto"/>
              <w:right w:val="nil"/>
            </w:tcBorders>
            <w:vAlign w:val="center"/>
          </w:tcPr>
          <w:p w:rsidR="00277C6A" w:rsidRPr="00277C6A" w:rsidRDefault="00277C6A" w:rsidP="00277C6A">
            <w:pPr>
              <w:jc w:val="both"/>
              <w:rPr>
                <w:rFonts w:cstheme="minorHAnsi"/>
                <w:b/>
                <w:sz w:val="24"/>
                <w:szCs w:val="24"/>
                <w:lang w:val="en-GB"/>
              </w:rPr>
            </w:pPr>
          </w:p>
        </w:tc>
        <w:tc>
          <w:tcPr>
            <w:tcW w:w="953" w:type="pct"/>
            <w:tcBorders>
              <w:left w:val="nil"/>
              <w:bottom w:val="single" w:sz="4" w:space="0" w:color="auto"/>
              <w:right w:val="nil"/>
            </w:tcBorders>
            <w:vAlign w:val="center"/>
          </w:tcPr>
          <w:p w:rsidR="00277C6A" w:rsidRPr="00277C6A" w:rsidRDefault="00277C6A" w:rsidP="00277C6A">
            <w:pPr>
              <w:jc w:val="center"/>
              <w:rPr>
                <w:rFonts w:cstheme="minorHAnsi"/>
                <w:b/>
                <w:sz w:val="24"/>
                <w:szCs w:val="24"/>
                <w:lang w:val="en-US"/>
              </w:rPr>
            </w:pPr>
            <w:r w:rsidRPr="00277C6A">
              <w:rPr>
                <w:rFonts w:cstheme="minorHAnsi"/>
                <w:b/>
                <w:sz w:val="24"/>
                <w:szCs w:val="24"/>
                <w:lang w:val="en-US"/>
              </w:rPr>
              <w:t>&lt;Deff&gt; 10</w:t>
            </w:r>
            <w:r w:rsidRPr="00277C6A">
              <w:rPr>
                <w:rFonts w:cstheme="minorHAnsi"/>
                <w:b/>
                <w:sz w:val="24"/>
                <w:szCs w:val="24"/>
                <w:vertAlign w:val="superscript"/>
                <w:lang w:val="en-US"/>
              </w:rPr>
              <w:t>−9</w:t>
            </w:r>
          </w:p>
          <w:p w:rsidR="00277C6A" w:rsidRPr="00277C6A" w:rsidRDefault="00277C6A" w:rsidP="00277C6A">
            <w:pPr>
              <w:jc w:val="center"/>
              <w:rPr>
                <w:rFonts w:cstheme="minorHAnsi"/>
                <w:b/>
                <w:sz w:val="24"/>
                <w:szCs w:val="24"/>
                <w:lang w:val="en-US"/>
              </w:rPr>
            </w:pPr>
            <w:r w:rsidRPr="00277C6A">
              <w:rPr>
                <w:rFonts w:cstheme="minorHAnsi"/>
                <w:b/>
                <w:sz w:val="24"/>
                <w:szCs w:val="24"/>
                <w:lang w:val="en-US"/>
              </w:rPr>
              <w:t>(cm</w:t>
            </w:r>
            <w:r w:rsidRPr="00277C6A">
              <w:rPr>
                <w:rFonts w:cstheme="minorHAnsi"/>
                <w:b/>
                <w:sz w:val="24"/>
                <w:szCs w:val="24"/>
                <w:vertAlign w:val="superscript"/>
                <w:lang w:val="en-US"/>
              </w:rPr>
              <w:t>2</w:t>
            </w:r>
            <w:r w:rsidRPr="00277C6A">
              <w:rPr>
                <w:rFonts w:cstheme="minorHAnsi"/>
                <w:b/>
                <w:sz w:val="24"/>
                <w:szCs w:val="24"/>
                <w:lang w:val="en-US"/>
              </w:rPr>
              <w:t xml:space="preserve"> · S</w:t>
            </w:r>
            <w:r w:rsidRPr="00277C6A">
              <w:rPr>
                <w:rFonts w:cstheme="minorHAnsi"/>
                <w:b/>
                <w:sz w:val="24"/>
                <w:szCs w:val="24"/>
                <w:vertAlign w:val="superscript"/>
                <w:lang w:val="en-US"/>
              </w:rPr>
              <w:t>−1</w:t>
            </w:r>
            <w:r w:rsidRPr="00277C6A">
              <w:rPr>
                <w:rFonts w:cstheme="minorHAnsi"/>
                <w:b/>
                <w:sz w:val="24"/>
                <w:szCs w:val="24"/>
                <w:lang w:val="en-US"/>
              </w:rPr>
              <w:t>)</w:t>
            </w:r>
          </w:p>
        </w:tc>
        <w:tc>
          <w:tcPr>
            <w:tcW w:w="953" w:type="pct"/>
            <w:tcBorders>
              <w:left w:val="nil"/>
              <w:bottom w:val="single" w:sz="4" w:space="0" w:color="auto"/>
              <w:right w:val="nil"/>
            </w:tcBorders>
            <w:vAlign w:val="center"/>
          </w:tcPr>
          <w:p w:rsidR="00277C6A" w:rsidRPr="00277C6A" w:rsidRDefault="00277C6A" w:rsidP="00277C6A">
            <w:pPr>
              <w:jc w:val="center"/>
              <w:rPr>
                <w:rFonts w:cstheme="minorHAnsi"/>
                <w:b/>
                <w:sz w:val="24"/>
                <w:szCs w:val="24"/>
                <w:lang w:val="en-US"/>
              </w:rPr>
            </w:pPr>
            <w:r w:rsidRPr="00277C6A">
              <w:rPr>
                <w:rFonts w:cstheme="minorHAnsi"/>
                <w:b/>
                <w:sz w:val="24"/>
                <w:szCs w:val="24"/>
                <w:lang w:val="en-US"/>
              </w:rPr>
              <w:t>D° 10</w:t>
            </w:r>
            <w:r w:rsidRPr="00277C6A">
              <w:rPr>
                <w:rFonts w:cstheme="minorHAnsi"/>
                <w:b/>
                <w:sz w:val="24"/>
                <w:szCs w:val="24"/>
                <w:vertAlign w:val="superscript"/>
                <w:lang w:val="en-US"/>
              </w:rPr>
              <w:t>−9</w:t>
            </w:r>
          </w:p>
          <w:p w:rsidR="00277C6A" w:rsidRPr="00277C6A" w:rsidRDefault="00277C6A" w:rsidP="00277C6A">
            <w:pPr>
              <w:jc w:val="center"/>
              <w:rPr>
                <w:rFonts w:cstheme="minorHAnsi"/>
                <w:b/>
                <w:sz w:val="24"/>
                <w:szCs w:val="24"/>
                <w:lang w:val="en-US"/>
              </w:rPr>
            </w:pPr>
            <w:r w:rsidRPr="00277C6A">
              <w:rPr>
                <w:rFonts w:cstheme="minorHAnsi"/>
                <w:b/>
                <w:sz w:val="24"/>
                <w:szCs w:val="24"/>
                <w:lang w:val="en-US"/>
              </w:rPr>
              <w:t>(cm</w:t>
            </w:r>
            <w:r w:rsidRPr="00277C6A">
              <w:rPr>
                <w:rFonts w:cstheme="minorHAnsi"/>
                <w:b/>
                <w:sz w:val="24"/>
                <w:szCs w:val="24"/>
                <w:vertAlign w:val="superscript"/>
                <w:lang w:val="en-US"/>
              </w:rPr>
              <w:t>2</w:t>
            </w:r>
            <w:r w:rsidRPr="00277C6A">
              <w:rPr>
                <w:rFonts w:cstheme="minorHAnsi"/>
                <w:b/>
                <w:sz w:val="24"/>
                <w:szCs w:val="24"/>
                <w:lang w:val="en-US"/>
              </w:rPr>
              <w:t xml:space="preserve"> · S</w:t>
            </w:r>
            <w:r w:rsidRPr="00277C6A">
              <w:rPr>
                <w:rFonts w:cstheme="minorHAnsi"/>
                <w:b/>
                <w:sz w:val="24"/>
                <w:szCs w:val="24"/>
                <w:vertAlign w:val="superscript"/>
                <w:lang w:val="en-US"/>
              </w:rPr>
              <w:t>−1</w:t>
            </w:r>
            <w:r w:rsidRPr="00277C6A">
              <w:rPr>
                <w:rFonts w:cstheme="minorHAnsi"/>
                <w:b/>
                <w:sz w:val="24"/>
                <w:szCs w:val="24"/>
                <w:lang w:val="en-US"/>
              </w:rPr>
              <w:t>)</w:t>
            </w:r>
          </w:p>
        </w:tc>
        <w:tc>
          <w:tcPr>
            <w:tcW w:w="1070" w:type="pct"/>
            <w:tcBorders>
              <w:left w:val="nil"/>
              <w:bottom w:val="single" w:sz="4" w:space="0" w:color="auto"/>
              <w:right w:val="nil"/>
            </w:tcBorders>
            <w:vAlign w:val="center"/>
          </w:tcPr>
          <w:p w:rsidR="00277C6A" w:rsidRPr="00277C6A" w:rsidRDefault="00277C6A" w:rsidP="00277C6A">
            <w:pPr>
              <w:jc w:val="center"/>
              <w:rPr>
                <w:rFonts w:cstheme="minorHAnsi"/>
                <w:b/>
                <w:sz w:val="24"/>
                <w:szCs w:val="24"/>
                <w:lang w:val="en-US"/>
              </w:rPr>
            </w:pPr>
            <w:r w:rsidRPr="00277C6A">
              <w:rPr>
                <w:rFonts w:cstheme="minorHAnsi"/>
                <w:b/>
                <w:sz w:val="24"/>
                <w:szCs w:val="24"/>
                <w:lang w:val="en-US"/>
              </w:rPr>
              <w:t>&lt;Deff&gt;/D°</w:t>
            </w:r>
          </w:p>
          <w:p w:rsidR="00277C6A" w:rsidRPr="00277C6A" w:rsidRDefault="00277C6A" w:rsidP="00277C6A">
            <w:pPr>
              <w:jc w:val="center"/>
              <w:rPr>
                <w:rFonts w:cstheme="minorHAnsi"/>
                <w:b/>
                <w:sz w:val="24"/>
                <w:szCs w:val="24"/>
                <w:lang w:val="en-US"/>
              </w:rPr>
            </w:pPr>
            <w:r w:rsidRPr="00277C6A">
              <w:rPr>
                <w:rFonts w:cstheme="minorHAnsi"/>
                <w:b/>
                <w:sz w:val="24"/>
                <w:szCs w:val="24"/>
                <w:lang w:val="en-US"/>
              </w:rPr>
              <w:t>(%)</w:t>
            </w:r>
          </w:p>
        </w:tc>
        <w:tc>
          <w:tcPr>
            <w:tcW w:w="1070" w:type="pct"/>
            <w:tcBorders>
              <w:left w:val="nil"/>
              <w:bottom w:val="single" w:sz="4" w:space="0" w:color="auto"/>
              <w:right w:val="nil"/>
            </w:tcBorders>
          </w:tcPr>
          <w:p w:rsidR="00277C6A" w:rsidRPr="00277C6A" w:rsidRDefault="00277C6A" w:rsidP="00277C6A">
            <w:pPr>
              <w:jc w:val="center"/>
              <w:rPr>
                <w:rFonts w:cstheme="minorHAnsi"/>
                <w:b/>
                <w:sz w:val="24"/>
                <w:szCs w:val="24"/>
                <w:lang w:val="en-US"/>
              </w:rPr>
            </w:pPr>
            <w:r w:rsidRPr="00277C6A">
              <w:rPr>
                <w:rFonts w:cstheme="minorHAnsi"/>
                <w:b/>
                <w:sz w:val="24"/>
                <w:szCs w:val="24"/>
                <w:lang w:val="en-US"/>
              </w:rPr>
              <w:t>R</w:t>
            </w:r>
          </w:p>
        </w:tc>
      </w:tr>
      <w:tr w:rsidR="00277C6A" w:rsidRPr="00277C6A" w:rsidTr="0027479C">
        <w:tc>
          <w:tcPr>
            <w:tcW w:w="954" w:type="pct"/>
            <w:tcBorders>
              <w:left w:val="nil"/>
              <w:bottom w:val="single" w:sz="4" w:space="0" w:color="auto"/>
              <w:right w:val="nil"/>
            </w:tcBorders>
            <w:vAlign w:val="center"/>
          </w:tcPr>
          <w:p w:rsidR="00277C6A" w:rsidRPr="00277C6A" w:rsidRDefault="00277C6A" w:rsidP="00277C6A">
            <w:pPr>
              <w:jc w:val="both"/>
              <w:rPr>
                <w:rFonts w:cstheme="minorHAnsi"/>
                <w:b/>
                <w:sz w:val="24"/>
                <w:szCs w:val="24"/>
                <w:lang w:val="en-US"/>
              </w:rPr>
            </w:pPr>
            <w:r w:rsidRPr="00277C6A">
              <w:rPr>
                <w:rFonts w:cstheme="minorHAnsi"/>
                <w:b/>
                <w:sz w:val="24"/>
                <w:szCs w:val="24"/>
                <w:lang w:val="en-US"/>
              </w:rPr>
              <w:t>NP-P</w:t>
            </w:r>
          </w:p>
        </w:tc>
        <w:tc>
          <w:tcPr>
            <w:tcW w:w="953" w:type="pct"/>
            <w:tcBorders>
              <w:left w:val="nil"/>
              <w:bottom w:val="single" w:sz="4" w:space="0" w:color="auto"/>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0.243 ± 0.134</w:t>
            </w:r>
          </w:p>
        </w:tc>
        <w:tc>
          <w:tcPr>
            <w:tcW w:w="953" w:type="pct"/>
            <w:tcBorders>
              <w:left w:val="nil"/>
              <w:bottom w:val="single" w:sz="4" w:space="0" w:color="auto"/>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29.960</w:t>
            </w:r>
          </w:p>
        </w:tc>
        <w:tc>
          <w:tcPr>
            <w:tcW w:w="1070" w:type="pct"/>
            <w:tcBorders>
              <w:left w:val="nil"/>
              <w:bottom w:val="single" w:sz="4" w:space="0" w:color="auto"/>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0.812 ± 0.189</w:t>
            </w:r>
          </w:p>
        </w:tc>
        <w:tc>
          <w:tcPr>
            <w:tcW w:w="1070" w:type="pct"/>
            <w:tcBorders>
              <w:left w:val="nil"/>
              <w:bottom w:val="single" w:sz="4" w:space="0" w:color="auto"/>
              <w:right w:val="nil"/>
            </w:tcBorders>
          </w:tcPr>
          <w:p w:rsidR="00277C6A" w:rsidRPr="00277C6A" w:rsidRDefault="00277C6A" w:rsidP="00277C6A">
            <w:pPr>
              <w:jc w:val="center"/>
              <w:rPr>
                <w:rFonts w:cstheme="minorHAnsi"/>
                <w:sz w:val="24"/>
                <w:szCs w:val="24"/>
                <w:lang w:val="en-US"/>
              </w:rPr>
            </w:pPr>
            <w:r w:rsidRPr="00277C6A">
              <w:rPr>
                <w:rFonts w:cstheme="minorHAnsi"/>
                <w:sz w:val="24"/>
                <w:szCs w:val="24"/>
                <w:lang w:val="en-US"/>
              </w:rPr>
              <w:t>1 ± 0.153</w:t>
            </w:r>
          </w:p>
        </w:tc>
      </w:tr>
      <w:tr w:rsidR="00277C6A" w:rsidRPr="00277C6A" w:rsidTr="0027479C">
        <w:tc>
          <w:tcPr>
            <w:tcW w:w="954" w:type="pct"/>
            <w:tcBorders>
              <w:left w:val="nil"/>
              <w:bottom w:val="single" w:sz="4" w:space="0" w:color="auto"/>
              <w:right w:val="nil"/>
            </w:tcBorders>
            <w:vAlign w:val="center"/>
          </w:tcPr>
          <w:p w:rsidR="00277C6A" w:rsidRPr="00277C6A" w:rsidRDefault="00277C6A" w:rsidP="00277C6A">
            <w:pPr>
              <w:jc w:val="both"/>
              <w:rPr>
                <w:rFonts w:cstheme="minorHAnsi"/>
                <w:b/>
                <w:sz w:val="24"/>
                <w:szCs w:val="24"/>
                <w:lang w:val="en-US"/>
              </w:rPr>
            </w:pPr>
            <w:r w:rsidRPr="00277C6A">
              <w:rPr>
                <w:rFonts w:cstheme="minorHAnsi"/>
                <w:b/>
                <w:sz w:val="24"/>
                <w:szCs w:val="24"/>
                <w:lang w:val="en-US"/>
              </w:rPr>
              <w:t>DOCU-NP-P</w:t>
            </w:r>
          </w:p>
        </w:tc>
        <w:tc>
          <w:tcPr>
            <w:tcW w:w="953" w:type="pct"/>
            <w:tcBorders>
              <w:left w:val="nil"/>
              <w:bottom w:val="single" w:sz="4" w:space="0" w:color="auto"/>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0.128 ± 0.066</w:t>
            </w:r>
          </w:p>
        </w:tc>
        <w:tc>
          <w:tcPr>
            <w:tcW w:w="953" w:type="pct"/>
            <w:tcBorders>
              <w:left w:val="nil"/>
              <w:bottom w:val="single" w:sz="4" w:space="0" w:color="auto"/>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22.358</w:t>
            </w:r>
          </w:p>
        </w:tc>
        <w:tc>
          <w:tcPr>
            <w:tcW w:w="1070" w:type="pct"/>
            <w:tcBorders>
              <w:left w:val="nil"/>
              <w:bottom w:val="single" w:sz="4" w:space="0" w:color="auto"/>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0.570 ± 0.105</w:t>
            </w:r>
          </w:p>
        </w:tc>
        <w:tc>
          <w:tcPr>
            <w:tcW w:w="1070" w:type="pct"/>
            <w:tcBorders>
              <w:left w:val="nil"/>
              <w:bottom w:val="single" w:sz="4" w:space="0" w:color="auto"/>
              <w:right w:val="nil"/>
            </w:tcBorders>
          </w:tcPr>
          <w:p w:rsidR="00277C6A" w:rsidRPr="00277C6A" w:rsidRDefault="00277C6A" w:rsidP="00277C6A">
            <w:pPr>
              <w:jc w:val="center"/>
              <w:rPr>
                <w:rFonts w:cstheme="minorHAnsi"/>
                <w:sz w:val="24"/>
                <w:szCs w:val="24"/>
                <w:lang w:val="en-US"/>
              </w:rPr>
            </w:pPr>
            <w:r w:rsidRPr="00277C6A">
              <w:rPr>
                <w:rFonts w:cstheme="minorHAnsi"/>
                <w:sz w:val="24"/>
                <w:szCs w:val="24"/>
                <w:lang w:val="en-US"/>
              </w:rPr>
              <w:t>0.702 ± 0.085</w:t>
            </w:r>
          </w:p>
        </w:tc>
      </w:tr>
      <w:tr w:rsidR="00277C6A" w:rsidRPr="00277C6A" w:rsidTr="0027479C">
        <w:tc>
          <w:tcPr>
            <w:tcW w:w="954" w:type="pct"/>
            <w:tcBorders>
              <w:left w:val="nil"/>
              <w:bottom w:val="single" w:sz="4" w:space="0" w:color="auto"/>
              <w:right w:val="nil"/>
            </w:tcBorders>
            <w:vAlign w:val="center"/>
          </w:tcPr>
          <w:p w:rsidR="00277C6A" w:rsidRPr="00277C6A" w:rsidRDefault="00277C6A" w:rsidP="00277C6A">
            <w:pPr>
              <w:jc w:val="both"/>
              <w:rPr>
                <w:rFonts w:cstheme="minorHAnsi"/>
                <w:b/>
                <w:sz w:val="24"/>
                <w:szCs w:val="24"/>
                <w:lang w:val="en-US"/>
              </w:rPr>
            </w:pPr>
            <w:r w:rsidRPr="00277C6A">
              <w:rPr>
                <w:rFonts w:cstheme="minorHAnsi"/>
                <w:b/>
                <w:sz w:val="24"/>
                <w:szCs w:val="24"/>
                <w:lang w:val="en-US"/>
              </w:rPr>
              <w:t>DS-NP</w:t>
            </w:r>
          </w:p>
        </w:tc>
        <w:tc>
          <w:tcPr>
            <w:tcW w:w="953" w:type="pct"/>
            <w:tcBorders>
              <w:left w:val="nil"/>
              <w:bottom w:val="single" w:sz="4" w:space="0" w:color="auto"/>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0.075 ± 0.043</w:t>
            </w:r>
          </w:p>
        </w:tc>
        <w:tc>
          <w:tcPr>
            <w:tcW w:w="953" w:type="pct"/>
            <w:tcBorders>
              <w:left w:val="nil"/>
              <w:bottom w:val="single" w:sz="4" w:space="0" w:color="auto"/>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28.088</w:t>
            </w:r>
          </w:p>
        </w:tc>
        <w:tc>
          <w:tcPr>
            <w:tcW w:w="1070" w:type="pct"/>
            <w:tcBorders>
              <w:left w:val="nil"/>
              <w:bottom w:val="single" w:sz="4" w:space="0" w:color="auto"/>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0.257 ± 0.072</w:t>
            </w:r>
          </w:p>
        </w:tc>
        <w:tc>
          <w:tcPr>
            <w:tcW w:w="1070" w:type="pct"/>
            <w:tcBorders>
              <w:left w:val="nil"/>
              <w:bottom w:val="single" w:sz="4" w:space="0" w:color="auto"/>
              <w:right w:val="nil"/>
            </w:tcBorders>
          </w:tcPr>
          <w:p w:rsidR="00277C6A" w:rsidRPr="00277C6A" w:rsidRDefault="00277C6A" w:rsidP="00277C6A">
            <w:pPr>
              <w:jc w:val="center"/>
              <w:rPr>
                <w:rFonts w:cstheme="minorHAnsi"/>
                <w:sz w:val="24"/>
                <w:szCs w:val="24"/>
                <w:lang w:val="en-US"/>
              </w:rPr>
            </w:pPr>
            <w:r w:rsidRPr="00277C6A">
              <w:rPr>
                <w:rFonts w:cstheme="minorHAnsi"/>
                <w:sz w:val="24"/>
                <w:szCs w:val="24"/>
                <w:lang w:val="en-US"/>
              </w:rPr>
              <w:t>0.316 ± 0.058</w:t>
            </w:r>
          </w:p>
        </w:tc>
      </w:tr>
      <w:tr w:rsidR="00277C6A" w:rsidRPr="00277C6A" w:rsidTr="0027479C">
        <w:trPr>
          <w:trHeight w:val="60"/>
        </w:trPr>
        <w:tc>
          <w:tcPr>
            <w:tcW w:w="954" w:type="pct"/>
            <w:tcBorders>
              <w:left w:val="nil"/>
              <w:right w:val="nil"/>
            </w:tcBorders>
            <w:vAlign w:val="center"/>
          </w:tcPr>
          <w:p w:rsidR="00277C6A" w:rsidRPr="00277C6A" w:rsidRDefault="00277C6A" w:rsidP="00277C6A">
            <w:pPr>
              <w:jc w:val="both"/>
              <w:rPr>
                <w:rFonts w:cstheme="minorHAnsi"/>
                <w:b/>
                <w:sz w:val="24"/>
                <w:szCs w:val="24"/>
                <w:lang w:val="en-US"/>
              </w:rPr>
            </w:pPr>
            <w:r w:rsidRPr="00277C6A">
              <w:rPr>
                <w:rFonts w:cstheme="minorHAnsi"/>
                <w:b/>
                <w:sz w:val="24"/>
                <w:szCs w:val="24"/>
                <w:lang w:val="en-US"/>
              </w:rPr>
              <w:t>DS-NP-P</w:t>
            </w:r>
          </w:p>
        </w:tc>
        <w:tc>
          <w:tcPr>
            <w:tcW w:w="953" w:type="pct"/>
            <w:tcBorders>
              <w:left w:val="nil"/>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0.305 ± 0.034</w:t>
            </w:r>
          </w:p>
        </w:tc>
        <w:tc>
          <w:tcPr>
            <w:tcW w:w="953" w:type="pct"/>
            <w:tcBorders>
              <w:left w:val="nil"/>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24.747</w:t>
            </w:r>
          </w:p>
        </w:tc>
        <w:tc>
          <w:tcPr>
            <w:tcW w:w="1070" w:type="pct"/>
            <w:tcBorders>
              <w:left w:val="nil"/>
              <w:right w:val="nil"/>
            </w:tcBorders>
            <w:vAlign w:val="center"/>
          </w:tcPr>
          <w:p w:rsidR="00277C6A" w:rsidRPr="00277C6A" w:rsidRDefault="00277C6A" w:rsidP="00277C6A">
            <w:pPr>
              <w:jc w:val="center"/>
              <w:rPr>
                <w:rFonts w:cstheme="minorHAnsi"/>
                <w:sz w:val="24"/>
                <w:szCs w:val="24"/>
                <w:lang w:val="en-US"/>
              </w:rPr>
            </w:pPr>
            <w:r w:rsidRPr="00277C6A">
              <w:rPr>
                <w:rFonts w:cstheme="minorHAnsi"/>
                <w:sz w:val="24"/>
                <w:szCs w:val="24"/>
                <w:lang w:val="en-US"/>
              </w:rPr>
              <w:t>1.221 ± 0.038**</w:t>
            </w:r>
          </w:p>
        </w:tc>
        <w:tc>
          <w:tcPr>
            <w:tcW w:w="1070" w:type="pct"/>
            <w:tcBorders>
              <w:left w:val="nil"/>
              <w:right w:val="nil"/>
            </w:tcBorders>
          </w:tcPr>
          <w:p w:rsidR="00277C6A" w:rsidRPr="00277C6A" w:rsidRDefault="00277C6A" w:rsidP="00277C6A">
            <w:pPr>
              <w:jc w:val="center"/>
              <w:rPr>
                <w:rFonts w:cstheme="minorHAnsi"/>
                <w:sz w:val="24"/>
                <w:szCs w:val="24"/>
                <w:lang w:val="en-US"/>
              </w:rPr>
            </w:pPr>
            <w:r w:rsidRPr="00277C6A">
              <w:rPr>
                <w:rFonts w:cstheme="minorHAnsi"/>
                <w:sz w:val="24"/>
                <w:szCs w:val="24"/>
                <w:lang w:val="en-US"/>
              </w:rPr>
              <w:t>1.503 ± 0.031</w:t>
            </w:r>
          </w:p>
        </w:tc>
      </w:tr>
    </w:tbl>
    <w:p w:rsidR="00277C6A" w:rsidRPr="00277C6A" w:rsidRDefault="00277C6A" w:rsidP="00277C6A">
      <w:pPr>
        <w:spacing w:after="0" w:line="240" w:lineRule="auto"/>
        <w:jc w:val="both"/>
        <w:rPr>
          <w:rFonts w:cstheme="minorHAnsi"/>
          <w:sz w:val="24"/>
          <w:szCs w:val="24"/>
          <w:lang w:val="en-US"/>
        </w:rPr>
      </w:pPr>
    </w:p>
    <w:p w:rsidR="00277C6A" w:rsidRPr="00277C6A" w:rsidRDefault="00277C6A" w:rsidP="00277C6A">
      <w:pPr>
        <w:tabs>
          <w:tab w:val="left" w:pos="567"/>
        </w:tabs>
        <w:spacing w:after="0" w:line="240" w:lineRule="auto"/>
        <w:ind w:left="426" w:hanging="426"/>
        <w:jc w:val="both"/>
        <w:outlineLvl w:val="2"/>
        <w:rPr>
          <w:rFonts w:cstheme="minorHAnsi"/>
          <w:b/>
          <w:bCs/>
          <w:sz w:val="28"/>
          <w:szCs w:val="28"/>
          <w:lang w:val="en-US"/>
        </w:rPr>
      </w:pPr>
    </w:p>
    <w:p w:rsidR="00277C6A" w:rsidRPr="00277C6A" w:rsidRDefault="00277C6A" w:rsidP="00277C6A">
      <w:pPr>
        <w:tabs>
          <w:tab w:val="left" w:pos="567"/>
        </w:tabs>
        <w:spacing w:after="0" w:line="240" w:lineRule="auto"/>
        <w:ind w:left="426" w:hanging="426"/>
        <w:jc w:val="both"/>
        <w:outlineLvl w:val="2"/>
        <w:rPr>
          <w:rFonts w:cstheme="minorHAnsi"/>
          <w:b/>
          <w:bCs/>
          <w:sz w:val="28"/>
          <w:szCs w:val="28"/>
          <w:lang w:val="en-US"/>
        </w:rPr>
      </w:pPr>
      <w:r w:rsidRPr="00277C6A">
        <w:rPr>
          <w:rFonts w:cstheme="minorHAnsi"/>
          <w:b/>
          <w:bCs/>
          <w:sz w:val="28"/>
          <w:szCs w:val="28"/>
          <w:lang w:val="en-US"/>
        </w:rPr>
        <w:t xml:space="preserve">Intake evaluation study in </w:t>
      </w:r>
      <w:r w:rsidRPr="00277C6A">
        <w:rPr>
          <w:rFonts w:cstheme="minorHAnsi"/>
          <w:b/>
          <w:bCs/>
          <w:i/>
          <w:sz w:val="28"/>
          <w:szCs w:val="28"/>
          <w:lang w:val="en-US"/>
        </w:rPr>
        <w:t>C. elegans</w:t>
      </w:r>
    </w:p>
    <w:p w:rsidR="00277C6A" w:rsidRPr="00277C6A" w:rsidRDefault="00277C6A" w:rsidP="00277C6A">
      <w:pPr>
        <w:spacing w:after="0" w:line="240" w:lineRule="auto"/>
        <w:jc w:val="both"/>
        <w:rPr>
          <w:rFonts w:cstheme="minorHAnsi"/>
          <w:sz w:val="24"/>
          <w:szCs w:val="24"/>
          <w:lang w:val="en-GB"/>
        </w:rPr>
      </w:pPr>
      <w:r w:rsidRPr="00277C6A">
        <w:rPr>
          <w:rFonts w:cstheme="minorHAnsi"/>
          <w:i/>
          <w:sz w:val="24"/>
          <w:szCs w:val="24"/>
          <w:lang w:val="en-GB"/>
        </w:rPr>
        <w:lastRenderedPageBreak/>
        <w:t>C. elegans</w:t>
      </w:r>
      <w:r w:rsidRPr="00277C6A">
        <w:rPr>
          <w:rFonts w:cstheme="minorHAnsi"/>
          <w:sz w:val="24"/>
          <w:szCs w:val="24"/>
          <w:lang w:val="en-GB"/>
        </w:rPr>
        <w:t xml:space="preserve"> transgenic strain FT63 labelled with green fluorescent protein (GFP) at the epithelial junctions (DLG::GFP) was obtained from the Caenorhabditis Genetics Centre (CGC, University of Minnesota, MN, USA). To evaluate the ingestion of nanoparticles by the worms, L4 larvae worms were cultured in NGM plates supplemented with Lumogen® Red-loaded nanoparticles for two hours. After that, worms were collected with PBST (0.01% Triton X-100 in Phosphate Buffered Saline) and placed in a 2% agarose pad with 1% of sodium azide (w/v). Samples were visualized using an Automated Microscope Zeiss Axio Imager M1 with an Axiocam MRm camera (Zeiss Microscopy, Jena, Germany), using the rhodamine filter to visualize the Lumogen® Red-loaded nanoparticles and the GFP filter to visualize the GFP fluorescence of the transgenic worms. The images were taken with ZEN software (Zeiss Microscopy, Jena, Germany) and processed with ImageJ. Figure 2S shows the intake of nanoparticles by worms. </w:t>
      </w:r>
    </w:p>
    <w:p w:rsidR="00277C6A" w:rsidRPr="00277C6A" w:rsidRDefault="00277C6A" w:rsidP="00277C6A">
      <w:pPr>
        <w:spacing w:after="0" w:line="240" w:lineRule="auto"/>
        <w:jc w:val="both"/>
        <w:rPr>
          <w:rFonts w:cstheme="minorHAnsi"/>
          <w:sz w:val="24"/>
          <w:szCs w:val="24"/>
          <w:lang w:val="en-GB"/>
        </w:rPr>
      </w:pPr>
    </w:p>
    <w:p w:rsidR="00277C6A" w:rsidRPr="00277C6A" w:rsidRDefault="00277C6A" w:rsidP="00277C6A">
      <w:pPr>
        <w:spacing w:after="0" w:line="240" w:lineRule="auto"/>
        <w:jc w:val="both"/>
        <w:rPr>
          <w:rFonts w:cstheme="minorHAnsi"/>
          <w:sz w:val="24"/>
          <w:szCs w:val="24"/>
          <w:lang w:val="en-GB"/>
        </w:rPr>
      </w:pPr>
    </w:p>
    <w:p w:rsidR="00277C6A" w:rsidRPr="00277C6A" w:rsidRDefault="00277C6A" w:rsidP="00277C6A">
      <w:pPr>
        <w:spacing w:after="0" w:line="240" w:lineRule="auto"/>
        <w:jc w:val="center"/>
        <w:rPr>
          <w:rFonts w:cstheme="minorHAnsi"/>
          <w:sz w:val="24"/>
          <w:szCs w:val="24"/>
          <w:lang w:val="en-GB"/>
        </w:rPr>
      </w:pPr>
      <w:r w:rsidRPr="00277C6A">
        <w:rPr>
          <w:rFonts w:cstheme="minorHAnsi"/>
          <w:noProof/>
          <w:sz w:val="24"/>
          <w:szCs w:val="24"/>
          <w:lang w:eastAsia="es-ES"/>
        </w:rPr>
        <w:drawing>
          <wp:inline distT="0" distB="0" distL="0" distR="0" wp14:anchorId="64A8C438" wp14:editId="397C84B1">
            <wp:extent cx="4231178" cy="3169920"/>
            <wp:effectExtent l="0" t="0" r="0" b="0"/>
            <wp:docPr id="2" name="Imagen 1" descr="Imagen que contiene gusano, escena, animal, verd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90226" name="Imagen 1" descr="Imagen que contiene gusano, escena, animal, verde&#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31178" cy="3169920"/>
                    </a:xfrm>
                    <a:prstGeom prst="rect">
                      <a:avLst/>
                    </a:prstGeom>
                  </pic:spPr>
                </pic:pic>
              </a:graphicData>
            </a:graphic>
          </wp:inline>
        </w:drawing>
      </w:r>
    </w:p>
    <w:p w:rsidR="00277C6A" w:rsidRPr="00277C6A" w:rsidRDefault="00277C6A" w:rsidP="00277C6A">
      <w:pPr>
        <w:spacing w:after="0" w:line="240" w:lineRule="auto"/>
        <w:jc w:val="both"/>
        <w:rPr>
          <w:rFonts w:cstheme="minorHAnsi"/>
          <w:sz w:val="24"/>
          <w:szCs w:val="24"/>
          <w:lang w:val="en-GB"/>
        </w:rPr>
      </w:pPr>
    </w:p>
    <w:p w:rsidR="00277C6A" w:rsidRPr="00277C6A" w:rsidRDefault="00277C6A" w:rsidP="00277C6A">
      <w:pPr>
        <w:spacing w:after="0" w:line="240" w:lineRule="auto"/>
        <w:jc w:val="both"/>
        <w:rPr>
          <w:rFonts w:cstheme="minorHAnsi"/>
          <w:sz w:val="24"/>
          <w:szCs w:val="24"/>
          <w:lang w:val="en-US"/>
        </w:rPr>
      </w:pPr>
      <w:r w:rsidRPr="00277C6A">
        <w:rPr>
          <w:rFonts w:cstheme="minorHAnsi"/>
          <w:bCs/>
          <w:sz w:val="24"/>
          <w:szCs w:val="24"/>
          <w:lang w:val="en-US"/>
        </w:rPr>
        <w:t>Figure 2S.</w:t>
      </w:r>
      <w:r w:rsidRPr="00277C6A">
        <w:rPr>
          <w:rFonts w:cstheme="minorHAnsi"/>
          <w:sz w:val="24"/>
          <w:szCs w:val="24"/>
          <w:lang w:val="en-US"/>
        </w:rPr>
        <w:t xml:space="preserve"> Fluorescent image of a FT63 </w:t>
      </w:r>
      <w:r w:rsidRPr="00277C6A">
        <w:rPr>
          <w:rFonts w:cstheme="minorHAnsi"/>
          <w:i/>
          <w:iCs/>
          <w:sz w:val="24"/>
          <w:szCs w:val="24"/>
          <w:lang w:val="en-US"/>
        </w:rPr>
        <w:t>C. elegans</w:t>
      </w:r>
      <w:r w:rsidRPr="00277C6A">
        <w:rPr>
          <w:rFonts w:cstheme="minorHAnsi"/>
          <w:sz w:val="24"/>
          <w:szCs w:val="24"/>
          <w:lang w:val="en-US"/>
        </w:rPr>
        <w:t xml:space="preserve"> worm growth in NGM supplemented with Lumogen Red-loaded nanoparticles (NP-P). The epithelial junctions of the transgenic worm, labelled with GFP, appear in green. </w:t>
      </w:r>
    </w:p>
    <w:p w:rsidR="00277C6A" w:rsidRPr="00277C6A" w:rsidRDefault="00277C6A" w:rsidP="00277C6A">
      <w:pPr>
        <w:spacing w:after="0" w:line="240" w:lineRule="auto"/>
        <w:jc w:val="both"/>
        <w:rPr>
          <w:rFonts w:cstheme="minorHAnsi"/>
          <w:sz w:val="24"/>
          <w:szCs w:val="24"/>
          <w:lang w:val="en-GB"/>
        </w:rPr>
      </w:pPr>
    </w:p>
    <w:p w:rsidR="00277C6A" w:rsidRPr="00277C6A" w:rsidRDefault="00277C6A" w:rsidP="00277C6A">
      <w:pPr>
        <w:spacing w:after="0" w:line="240" w:lineRule="auto"/>
        <w:jc w:val="both"/>
        <w:rPr>
          <w:rFonts w:cstheme="minorHAnsi"/>
          <w:sz w:val="24"/>
          <w:szCs w:val="24"/>
          <w:lang w:val="en-GB"/>
        </w:rPr>
      </w:pPr>
    </w:p>
    <w:p w:rsidR="00277C6A" w:rsidRPr="00277C6A" w:rsidRDefault="00277C6A" w:rsidP="00277C6A">
      <w:pPr>
        <w:spacing w:after="0" w:line="240" w:lineRule="auto"/>
        <w:jc w:val="both"/>
        <w:rPr>
          <w:rFonts w:cstheme="minorHAnsi"/>
          <w:sz w:val="24"/>
          <w:szCs w:val="24"/>
          <w:lang w:val="en-GB"/>
        </w:rPr>
      </w:pPr>
    </w:p>
    <w:p w:rsidR="00277C6A" w:rsidRPr="00277C6A" w:rsidRDefault="00277C6A" w:rsidP="00277C6A">
      <w:pPr>
        <w:spacing w:after="0" w:line="240" w:lineRule="auto"/>
        <w:jc w:val="both"/>
        <w:rPr>
          <w:rFonts w:cstheme="minorHAnsi"/>
          <w:b/>
          <w:sz w:val="28"/>
          <w:szCs w:val="28"/>
          <w:lang w:val="en-GB"/>
        </w:rPr>
      </w:pPr>
      <w:r w:rsidRPr="00277C6A">
        <w:rPr>
          <w:rFonts w:cstheme="minorHAnsi"/>
          <w:b/>
          <w:sz w:val="28"/>
          <w:szCs w:val="28"/>
          <w:lang w:val="en-GB"/>
        </w:rPr>
        <w:t xml:space="preserve">Life span assay in </w:t>
      </w:r>
      <w:r w:rsidRPr="00277C6A">
        <w:rPr>
          <w:rFonts w:cstheme="minorHAnsi"/>
          <w:b/>
          <w:i/>
          <w:sz w:val="28"/>
          <w:szCs w:val="28"/>
          <w:lang w:val="en-GB"/>
        </w:rPr>
        <w:t>C. elegans</w:t>
      </w:r>
    </w:p>
    <w:p w:rsidR="00277C6A" w:rsidRPr="00277C6A" w:rsidRDefault="00277C6A" w:rsidP="00277C6A">
      <w:pPr>
        <w:spacing w:after="0" w:line="240" w:lineRule="auto"/>
        <w:jc w:val="both"/>
        <w:rPr>
          <w:rFonts w:cstheme="minorHAnsi"/>
          <w:sz w:val="24"/>
          <w:szCs w:val="24"/>
          <w:lang w:val="en-GB"/>
        </w:rPr>
      </w:pPr>
      <w:r w:rsidRPr="00277C6A">
        <w:rPr>
          <w:rFonts w:cstheme="minorHAnsi"/>
          <w:sz w:val="24"/>
          <w:szCs w:val="24"/>
          <w:lang w:val="en-GB"/>
        </w:rPr>
        <w:t>The lifespan assay was conducted in L4 larvae stage seeded in NGM plates. Dead worms were counted and removed every 2 days until day 15 when the counted was daily until the end of the study. Nematodes were considered dead if they did not move after repeated mechanical stimuli. Figure 3 S shows the Kaplan-Meier representations of the percentage of worms alive over time for the different treatments tested.</w:t>
      </w:r>
    </w:p>
    <w:p w:rsidR="00277C6A" w:rsidRPr="00277C6A" w:rsidRDefault="00277C6A" w:rsidP="00277C6A">
      <w:pPr>
        <w:spacing w:after="0" w:line="240" w:lineRule="auto"/>
        <w:jc w:val="both"/>
        <w:rPr>
          <w:rFonts w:cstheme="minorHAnsi"/>
          <w:sz w:val="24"/>
          <w:szCs w:val="24"/>
          <w:lang w:val="en-GB"/>
        </w:rPr>
      </w:pPr>
      <w:r w:rsidRPr="00277C6A">
        <w:rPr>
          <w:rFonts w:cstheme="minorHAnsi"/>
          <w:noProof/>
          <w:sz w:val="24"/>
          <w:szCs w:val="24"/>
          <w:lang w:eastAsia="es-ES"/>
        </w:rPr>
        <w:lastRenderedPageBreak/>
        <w:drawing>
          <wp:inline distT="0" distB="0" distL="0" distR="0" wp14:anchorId="78FB46CD" wp14:editId="5AD811C5">
            <wp:extent cx="5041900" cy="6626860"/>
            <wp:effectExtent l="0" t="0" r="635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1900" cy="6626860"/>
                    </a:xfrm>
                    <a:prstGeom prst="rect">
                      <a:avLst/>
                    </a:prstGeom>
                    <a:noFill/>
                  </pic:spPr>
                </pic:pic>
              </a:graphicData>
            </a:graphic>
          </wp:inline>
        </w:drawing>
      </w:r>
    </w:p>
    <w:p w:rsidR="00277C6A" w:rsidRPr="00277C6A" w:rsidRDefault="00277C6A" w:rsidP="00277C6A">
      <w:pPr>
        <w:spacing w:after="0" w:line="240" w:lineRule="auto"/>
        <w:jc w:val="both"/>
        <w:rPr>
          <w:rFonts w:cstheme="minorHAnsi"/>
          <w:sz w:val="24"/>
          <w:szCs w:val="24"/>
          <w:lang w:val="en-GB"/>
        </w:rPr>
      </w:pPr>
    </w:p>
    <w:p w:rsidR="00277C6A" w:rsidRPr="00277C6A" w:rsidRDefault="00277C6A" w:rsidP="00277C6A">
      <w:pPr>
        <w:spacing w:after="0" w:line="240" w:lineRule="auto"/>
        <w:jc w:val="both"/>
        <w:rPr>
          <w:rFonts w:cstheme="minorHAnsi"/>
          <w:sz w:val="24"/>
          <w:szCs w:val="24"/>
          <w:lang w:val="en-GB"/>
        </w:rPr>
      </w:pPr>
      <w:bookmarkStart w:id="0" w:name="_GoBack"/>
      <w:r w:rsidRPr="00277C6A">
        <w:rPr>
          <w:rFonts w:cstheme="minorHAnsi"/>
          <w:sz w:val="24"/>
          <w:szCs w:val="24"/>
          <w:lang w:val="en-GB"/>
        </w:rPr>
        <w:t xml:space="preserve">Figure 3S. Effect of nanoparticles on the lifespan of </w:t>
      </w:r>
      <w:r w:rsidRPr="00277C6A">
        <w:rPr>
          <w:rFonts w:cstheme="minorHAnsi"/>
          <w:i/>
          <w:sz w:val="24"/>
          <w:szCs w:val="24"/>
          <w:lang w:val="en-GB"/>
        </w:rPr>
        <w:t>C. elegans</w:t>
      </w:r>
      <w:r w:rsidRPr="00277C6A">
        <w:rPr>
          <w:rFonts w:cstheme="minorHAnsi"/>
          <w:sz w:val="24"/>
          <w:szCs w:val="24"/>
          <w:lang w:val="en-GB"/>
        </w:rPr>
        <w:t xml:space="preserve">. Kaplan-Meier </w:t>
      </w:r>
      <w:bookmarkEnd w:id="0"/>
      <w:r w:rsidRPr="00277C6A">
        <w:rPr>
          <w:rFonts w:cstheme="minorHAnsi"/>
          <w:sz w:val="24"/>
          <w:szCs w:val="24"/>
          <w:lang w:val="en-GB"/>
        </w:rPr>
        <w:t>representation of the percentage of worms alive over time (</w:t>
      </w:r>
      <w:r w:rsidRPr="00277C6A">
        <w:rPr>
          <w:rFonts w:cstheme="minorHAnsi"/>
          <w:i/>
          <w:sz w:val="24"/>
          <w:szCs w:val="24"/>
          <w:lang w:val="en-GB"/>
        </w:rPr>
        <w:t>n</w:t>
      </w:r>
      <w:r w:rsidRPr="00277C6A">
        <w:rPr>
          <w:rFonts w:cstheme="minorHAnsi"/>
          <w:sz w:val="24"/>
          <w:szCs w:val="24"/>
          <w:lang w:val="en-GB"/>
        </w:rPr>
        <w:t xml:space="preserve"> ≥ 70 worms). (A) NGM: control; DS: free sodium deoxycholate, DOCU: free sodium docusate. (B) NGM: control; DS-NP-P: DS encapsulated into PEG-coated albumin nanoparticles, DOCU-NP-P: DOCU encapsulated into PEG-coated albumin nanoparticles. </w:t>
      </w:r>
    </w:p>
    <w:p w:rsidR="005D321E" w:rsidRPr="00277C6A" w:rsidRDefault="005D321E">
      <w:pPr>
        <w:rPr>
          <w:lang w:val="en-GB"/>
        </w:rPr>
      </w:pPr>
    </w:p>
    <w:sectPr w:rsidR="005D321E" w:rsidRPr="00277C6A" w:rsidSect="00277C6A">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914" w:rsidRDefault="00E82914" w:rsidP="00277C6A">
      <w:pPr>
        <w:spacing w:after="0" w:line="240" w:lineRule="auto"/>
      </w:pPr>
      <w:r>
        <w:separator/>
      </w:r>
    </w:p>
  </w:endnote>
  <w:endnote w:type="continuationSeparator" w:id="0">
    <w:p w:rsidR="00E82914" w:rsidRDefault="00E82914" w:rsidP="00277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661197"/>
      <w:docPartObj>
        <w:docPartGallery w:val="Page Numbers (Bottom of Page)"/>
        <w:docPartUnique/>
      </w:docPartObj>
    </w:sdtPr>
    <w:sdtContent>
      <w:p w:rsidR="00277C6A" w:rsidRDefault="00277C6A">
        <w:pPr>
          <w:pStyle w:val="Piedepgina"/>
          <w:jc w:val="center"/>
        </w:pPr>
        <w:r>
          <w:fldChar w:fldCharType="begin"/>
        </w:r>
        <w:r>
          <w:instrText>PAGE   \* MERGEFORMAT</w:instrText>
        </w:r>
        <w:r>
          <w:fldChar w:fldCharType="separate"/>
        </w:r>
        <w:r w:rsidRPr="00277C6A">
          <w:rPr>
            <w:noProof/>
            <w:lang w:val="es-ES"/>
          </w:rPr>
          <w:t>1</w:t>
        </w:r>
        <w:r>
          <w:fldChar w:fldCharType="end"/>
        </w:r>
      </w:p>
    </w:sdtContent>
  </w:sdt>
  <w:p w:rsidR="009164A1" w:rsidRDefault="00E82914" w:rsidP="00D60FC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914" w:rsidRDefault="00E82914" w:rsidP="00277C6A">
      <w:pPr>
        <w:spacing w:after="0" w:line="240" w:lineRule="auto"/>
      </w:pPr>
      <w:r>
        <w:separator/>
      </w:r>
    </w:p>
  </w:footnote>
  <w:footnote w:type="continuationSeparator" w:id="0">
    <w:p w:rsidR="00E82914" w:rsidRDefault="00E82914" w:rsidP="00277C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C6A"/>
    <w:rsid w:val="00277C6A"/>
    <w:rsid w:val="005D321E"/>
    <w:rsid w:val="00E829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20AB0E-A905-4921-8E66-D65E5726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77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277C6A"/>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77C6A"/>
    <w:pPr>
      <w:tabs>
        <w:tab w:val="center" w:pos="4252"/>
        <w:tab w:val="right" w:pos="8504"/>
      </w:tabs>
      <w:spacing w:after="0" w:line="240" w:lineRule="auto"/>
      <w:jc w:val="both"/>
    </w:pPr>
    <w:rPr>
      <w:sz w:val="24"/>
      <w:szCs w:val="24"/>
      <w:lang w:val="en-US"/>
    </w:rPr>
  </w:style>
  <w:style w:type="character" w:customStyle="1" w:styleId="PiedepginaCar">
    <w:name w:val="Pie de página Car"/>
    <w:basedOn w:val="Fuentedeprrafopredeter"/>
    <w:link w:val="Piedepgina"/>
    <w:uiPriority w:val="99"/>
    <w:rsid w:val="00277C6A"/>
    <w:rPr>
      <w:sz w:val="24"/>
      <w:szCs w:val="24"/>
      <w:lang w:val="en-US"/>
    </w:rPr>
  </w:style>
  <w:style w:type="paragraph" w:styleId="Encabezado">
    <w:name w:val="header"/>
    <w:basedOn w:val="Normal"/>
    <w:link w:val="EncabezadoCar"/>
    <w:uiPriority w:val="99"/>
    <w:unhideWhenUsed/>
    <w:rsid w:val="00277C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7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834</Words>
  <Characters>4587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2023-08-15T10:36:00Z</dcterms:created>
  <dcterms:modified xsi:type="dcterms:W3CDTF">2023-08-15T10:37:00Z</dcterms:modified>
</cp:coreProperties>
</file>