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color w:val="000000"/>
          <w:sz w:val="30"/>
          <w:szCs w:val="30"/>
        </w:rPr>
        <w:t>Supplemental Fi</w:t>
      </w:r>
      <w:r>
        <w:rPr>
          <w:rFonts w:hint="eastAsia" w:ascii="Times New Roman" w:hAnsi="Times New Roman"/>
          <w:b/>
          <w:color w:val="000000"/>
          <w:sz w:val="30"/>
          <w:szCs w:val="30"/>
          <w:lang w:val="en-US" w:eastAsia="zh-CN"/>
        </w:rPr>
        <w:t>gures</w:t>
      </w:r>
      <w:r>
        <w:rPr>
          <w:rFonts w:hint="default" w:ascii="Times New Roman" w:hAnsi="Times New Roman"/>
          <w:b/>
          <w:color w:val="000000"/>
          <w:sz w:val="30"/>
          <w:szCs w:val="30"/>
        </w:rPr>
        <w:t xml:space="preserve"> For: </w:t>
      </w:r>
      <w:r>
        <w:rPr>
          <w:rFonts w:ascii="Times New Roman" w:hAnsi="Times New Roman"/>
          <w:b/>
          <w:color w:val="000000"/>
          <w:sz w:val="30"/>
          <w:szCs w:val="30"/>
        </w:rPr>
        <w:t>Genomic Characterization Reveals Distinct Mutational Landscapes and Therapeutic Implications Between Different Molecular Subtypes of Triple</w:t>
      </w:r>
      <w:r>
        <w:rPr>
          <w:rFonts w:hint="eastAsia" w:ascii="Times New Roman" w:hAnsi="Times New Roman"/>
          <w:b/>
          <w:color w:val="000000"/>
          <w:sz w:val="30"/>
          <w:szCs w:val="30"/>
        </w:rPr>
        <w:t>-</w:t>
      </w:r>
      <w:r>
        <w:rPr>
          <w:rFonts w:ascii="Times New Roman" w:hAnsi="Times New Roman"/>
          <w:b/>
          <w:color w:val="000000"/>
          <w:sz w:val="30"/>
          <w:szCs w:val="30"/>
        </w:rPr>
        <w:t>negative Breast Cancer</w:t>
      </w:r>
      <w:bookmarkStart w:id="0" w:name="_GoBack"/>
      <w:bookmarkEnd w:id="0"/>
    </w:p>
    <w:p>
      <w:pPr>
        <w:spacing w:line="36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69230" cy="2477135"/>
            <wp:effectExtent l="0" t="0" r="3810" b="6985"/>
            <wp:docPr id="1" name="图片 1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Figure S1  Landscape of BRCA1 and AKT1 SNVs in TNBC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/>
          <w:sz w:val="24"/>
        </w:rPr>
        <w:t>Different colors indicate mutation types and domains.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br w:type="page"/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69230" cy="6511290"/>
            <wp:effectExtent l="0" t="0" r="3810" b="11430"/>
            <wp:docPr id="2" name="图片 2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S2  Characteristic mutations in different groups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Frequency of mutation in top 15 mutated cancer-related genes. (B) TMB values in TNBC subtypes. (C) Proportions of TNBC subtypes in the high TMB (TMB-H) and low TMB (TMB-L) groups. Abbreviations: LAR, luminal androgen receptor; BLIS, basal-like immune-suppressed; IM, immunomodulatory; MES, mesenchymal-like.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br w:type="page"/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69230" cy="6511290"/>
            <wp:effectExtent l="0" t="0" r="3810" b="11430"/>
            <wp:docPr id="3" name="图片 3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S3  Key signaling pathways affected by TNBC-associated somatic mutations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Mutation rates in DDR-associated pathways in TNBC subgroups. (B) Proportions of affected oncogenic pathways in TNBC subgroups. Abbreviations: NER, nucleotide excision repair; MMR, mismatch repair; HRR, homologous recombination repair; FA, fanconi anemia; BER, base excision repair; CPF, checkpoint factor.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69230" cy="6511290"/>
            <wp:effectExtent l="0" t="0" r="3810" b="11430"/>
            <wp:docPr id="4" name="图片 4" descr="figure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S4  KEGG and REACTOME enrichment analysis of mutated cancer-associated genes in TNBC subtypes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 LAR, luminal androgen receptor; BLIS, basal-like immune-suppressed; IM, immunomodulatory; MES, mesenchymal-like.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69230" cy="4490085"/>
            <wp:effectExtent l="0" t="0" r="3810" b="5715"/>
            <wp:docPr id="5" name="图片 5" descr="figur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b/>
          <w:bCs/>
          <w:sz w:val="24"/>
        </w:rPr>
        <w:t>re S5  Mutation heterogeneity and allelic mutation frequencies in TNBC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Violin plot showing MATH scores and VAF in subgroups. (B) Enriched pathways associated with clonal and subclonal genes in different immune phenotypes. Abbreviations: MATH, mutant-allele tumor heterogeneity; VAF, variant allele frequency.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69230" cy="6511290"/>
            <wp:effectExtent l="0" t="0" r="3810" b="11430"/>
            <wp:docPr id="6" name="图片 6" descr="figure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S6  The composition of mutation signatures</w:t>
      </w:r>
    </w:p>
    <w:p>
      <w:pPr>
        <w:widowControl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The composition of mutation signatures in different subgroups. (B) Frequencies of mutations in 15 top mutated cancer-associated genes in patients with or without signatures 3, 4, 7, 11, and 23.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b/>
          <w:bCs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2"/>
          <w:szCs w:val="22"/>
          <w:lang w:eastAsia="zh-CN"/>
        </w:rPr>
        <w:drawing>
          <wp:inline distT="0" distB="0" distL="114300" distR="114300">
            <wp:extent cx="5272405" cy="5217160"/>
            <wp:effectExtent l="0" t="0" r="635" b="10160"/>
            <wp:docPr id="7" name="图片 7" descr="figure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1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Figure S7  Bubble plots showing gene numbers and sample sizes in significant CNV regions in TNBC molecular subtypes. 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Abbreviations: LAR, luminal androgen receptor; BLIS, basal-like immune-suppressed; IM, immunomodulatory; MES, mesenchymal-like.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69230" cy="6511290"/>
            <wp:effectExtent l="0" t="0" r="3810" b="11430"/>
            <wp:docPr id="8" name="图片 8" descr="figure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51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S8  Relationship between TNBC subtypes and clinical subgroups and impact on prognosis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 Relationships between TNBC subtyping and clinical grouping. (B) Association of immune phenotypes (left), PD-L1-staining (middle), and growth pattern (right) with DFS. Cox regression analysis with adjustment for age was used. Hazard ratios and 95% CIs are shown. Abbreviations: LAR, luminal androgen receptor; BLIS, basal-like immune-suppressed; IM, immunomodulatory; MES, mesenchymal-like.</w:t>
      </w:r>
    </w:p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eastAsia="zh-CN"/>
        </w:rPr>
        <w:drawing>
          <wp:inline distT="0" distB="0" distL="114300" distR="114300">
            <wp:extent cx="5271135" cy="5958205"/>
            <wp:effectExtent l="0" t="0" r="1905" b="635"/>
            <wp:docPr id="9" name="图片 9" descr="figure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S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S9  Proportions of patients likely to be sensitive or insensitive to specific TNBC therapy in TNBC clinical subgroups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OTFmNmRjOTU4MGJkNjg0ZTJhNzc4MDQwZjhjZTgifQ=="/>
  </w:docVars>
  <w:rsids>
    <w:rsidRoot w:val="43A63914"/>
    <w:rsid w:val="0E313BAE"/>
    <w:rsid w:val="294812AC"/>
    <w:rsid w:val="2B5E554F"/>
    <w:rsid w:val="43A63914"/>
    <w:rsid w:val="7869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348</Words>
  <Characters>2358</Characters>
  <Lines>0</Lines>
  <Paragraphs>0</Paragraphs>
  <TotalTime>0</TotalTime>
  <ScaleCrop>false</ScaleCrop>
  <LinksUpToDate>false</LinksUpToDate>
  <CharactersWithSpaces>2696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2023-06-18T10:38:00Z</dcterms:created>
  <dc:creator>李若琪</dc:creator>
  <cp:lastModifiedBy>闫磊第四组</cp:lastModifiedBy>
  <dcterms:modified xsi:type="dcterms:W3CDTF">2023-07-12T14:47:58Z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BE37F835CFAD4C35A5165389EBC0FF05_13</vt:lpwstr>
  </property>
</Properties>
</file>