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Supporting Information</w:t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>
      <w:pPr>
        <w:adjustRightInd w:val="0"/>
        <w:snapToGrid w:val="0"/>
        <w:spacing w:line="480" w:lineRule="auto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Unraveling the adverse Impacts of Nano-scale Carbon Exposure on Nitrogen Metabolism during Early Seedling Establishment in Zea mays L. Roots</w:t>
      </w:r>
    </w:p>
    <w:p>
      <w:pPr>
        <w:adjustRightInd w:val="0"/>
        <w:snapToGrid w:val="0"/>
        <w:spacing w:line="480" w:lineRule="auto"/>
        <w:jc w:val="center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ascii="Times New Roman" w:hAnsi="Times New Roman"/>
          <w:color w:val="000000"/>
          <w:kern w:val="0"/>
          <w:sz w:val="20"/>
          <w:szCs w:val="20"/>
        </w:rPr>
        <w:t>Di Zhang</w:t>
      </w:r>
      <w:r>
        <w:rPr>
          <w:rStyle w:val="9"/>
          <w:rFonts w:ascii="Times New Roman" w:hAnsi="Times New Roman"/>
          <w:color w:val="000000"/>
          <w:kern w:val="0"/>
          <w:sz w:val="20"/>
          <w:szCs w:val="20"/>
        </w:rPr>
        <w:footnoteReference w:id="0"/>
      </w:r>
      <w:r>
        <w:rPr>
          <w:rFonts w:ascii="Times New Roman" w:hAnsi="Times New Roman"/>
          <w:color w:val="000000"/>
          <w:kern w:val="0"/>
          <w:sz w:val="20"/>
          <w:szCs w:val="20"/>
          <w:vertAlign w:val="superscript"/>
        </w:rPr>
        <w:t>,2*</w:t>
      </w:r>
      <w:r>
        <w:rPr>
          <w:rFonts w:ascii="Times New Roman" w:hAnsi="Times New Roman"/>
          <w:color w:val="000000"/>
          <w:kern w:val="0"/>
          <w:sz w:val="20"/>
          <w:szCs w:val="20"/>
        </w:rPr>
        <w:t>, Q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i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Sun</w:t>
      </w:r>
      <w:r>
        <w:rPr>
          <w:rFonts w:hint="eastAsia" w:ascii="Times New Roman" w:hAnsi="Times New Roman"/>
          <w:color w:val="000000"/>
          <w:kern w:val="0"/>
          <w:sz w:val="20"/>
          <w:szCs w:val="20"/>
          <w:vertAlign w:val="superscript"/>
          <w:lang w:val="en-US" w:eastAsia="zh-CN"/>
        </w:rPr>
        <w:t>1,</w:t>
      </w:r>
      <w:r>
        <w:rPr>
          <w:rFonts w:hint="eastAsia" w:ascii="Times New Roman" w:hAnsi="Times New Roman"/>
          <w:color w:val="000000"/>
          <w:kern w:val="0"/>
          <w:sz w:val="20"/>
          <w:szCs w:val="20"/>
          <w:vertAlign w:val="superscript"/>
        </w:rPr>
        <w:t>3</w:t>
      </w:r>
      <w:r>
        <w:rPr>
          <w:rFonts w:ascii="Times New Roman" w:hAnsi="Times New Roman"/>
          <w:color w:val="000000"/>
          <w:kern w:val="0"/>
          <w:sz w:val="20"/>
          <w:szCs w:val="20"/>
        </w:rPr>
        <w:t>,</w:t>
      </w:r>
      <w:r>
        <w:rPr>
          <w:rFonts w:hint="eastAsia" w:ascii="Times New Roman" w:hAnsi="Times New Roman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Ruixue Zhang</w:t>
      </w:r>
      <w:r>
        <w:rPr>
          <w:rFonts w:ascii="Times New Roman" w:hAnsi="Times New Roman"/>
          <w:color w:val="000000"/>
          <w:kern w:val="0"/>
          <w:sz w:val="20"/>
          <w:szCs w:val="20"/>
          <w:vertAlign w:val="superscript"/>
        </w:rPr>
        <w:t>1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,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 xml:space="preserve">Lei Lu </w:t>
      </w:r>
      <w:r>
        <w:rPr>
          <w:rFonts w:hint="eastAsia" w:ascii="Times New Roman" w:hAnsi="Times New Roman"/>
          <w:color w:val="000000"/>
          <w:kern w:val="0"/>
          <w:sz w:val="20"/>
          <w:szCs w:val="20"/>
          <w:vertAlign w:val="superscript"/>
        </w:rPr>
        <w:t>1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,  Junwei Wang</w:t>
      </w:r>
      <w:r>
        <w:rPr>
          <w:rFonts w:ascii="Times New Roman" w:hAnsi="Times New Roman"/>
          <w:color w:val="000000"/>
          <w:kern w:val="0"/>
          <w:sz w:val="20"/>
          <w:szCs w:val="20"/>
          <w:vertAlign w:val="superscript"/>
        </w:rPr>
        <w:t>1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, 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Xiaojie Fang</w:t>
      </w:r>
      <w:r>
        <w:rPr>
          <w:rFonts w:ascii="Times New Roman" w:hAnsi="Times New Roman"/>
          <w:color w:val="000000"/>
          <w:kern w:val="0"/>
          <w:sz w:val="20"/>
          <w:szCs w:val="20"/>
          <w:vertAlign w:val="superscript"/>
        </w:rPr>
        <w:t>1</w:t>
      </w:r>
    </w:p>
    <w:p>
      <w:pPr>
        <w:adjustRightInd w:val="0"/>
        <w:snapToGrid w:val="0"/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ascii="Times New Roman" w:hAnsi="Times New Roman"/>
          <w:color w:val="000000"/>
          <w:kern w:val="0"/>
          <w:sz w:val="20"/>
          <w:szCs w:val="20"/>
        </w:rPr>
        <w:t>1 Department of Resources and Environmental Science, Northeast Agricultural University, Harbin, Heilongjiang 150030, China</w:t>
      </w:r>
    </w:p>
    <w:p>
      <w:pPr>
        <w:adjustRightInd w:val="0"/>
        <w:snapToGrid w:val="0"/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ascii="Times New Roman" w:hAnsi="Times New Roman"/>
          <w:color w:val="000000"/>
          <w:kern w:val="0"/>
          <w:sz w:val="20"/>
          <w:szCs w:val="20"/>
        </w:rPr>
        <w:t>2 Key Laboratory of Black Soil Protection and Restoration, Harbin, Heilongjiang 150030, China</w:t>
      </w:r>
    </w:p>
    <w:p>
      <w:pPr>
        <w:adjustRightInd w:val="0"/>
        <w:snapToGrid w:val="0"/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hint="eastAsia" w:ascii="Times New Roman" w:hAnsi="Times New Roman"/>
          <w:color w:val="000000"/>
          <w:kern w:val="0"/>
          <w:sz w:val="20"/>
          <w:szCs w:val="20"/>
        </w:rPr>
        <w:t>3 Heilongjiang Academy of Black Soil Conservati</w:t>
      </w:r>
      <w:bookmarkStart w:id="0" w:name="_GoBack"/>
      <w:bookmarkEnd w:id="0"/>
      <w:r>
        <w:rPr>
          <w:rFonts w:hint="eastAsia" w:ascii="Times New Roman" w:hAnsi="Times New Roman"/>
          <w:color w:val="000000"/>
          <w:kern w:val="0"/>
          <w:sz w:val="20"/>
          <w:szCs w:val="20"/>
        </w:rPr>
        <w:t>on &amp; Utilization,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Harbin 150086,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China</w:t>
      </w:r>
    </w:p>
    <w:p>
      <w:pPr>
        <w:adjustRightInd w:val="0"/>
        <w:snapToGrid w:val="0"/>
        <w:spacing w:line="480" w:lineRule="auto"/>
        <w:jc w:val="left"/>
        <w:rPr>
          <w:rStyle w:val="10"/>
          <w:rFonts w:ascii="Times New Roman" w:hAnsi="Times New Roman"/>
          <w:color w:val="000000"/>
          <w:kern w:val="0"/>
          <w:sz w:val="20"/>
          <w:szCs w:val="20"/>
        </w:rPr>
      </w:pPr>
    </w:p>
    <w:p>
      <w:pPr>
        <w:adjustRightInd w:val="0"/>
        <w:snapToGrid w:val="0"/>
        <w:spacing w:line="480" w:lineRule="auto"/>
        <w:jc w:val="left"/>
        <w:rPr>
          <w:rStyle w:val="10"/>
          <w:rFonts w:ascii="Times New Roman" w:hAnsi="Times New Roman"/>
          <w:color w:val="000000"/>
          <w:kern w:val="0"/>
          <w:sz w:val="20"/>
          <w:szCs w:val="20"/>
        </w:rPr>
      </w:pPr>
    </w:p>
    <w:p>
      <w:pPr>
        <w:adjustRightInd w:val="0"/>
        <w:snapToGrid w:val="0"/>
        <w:spacing w:line="480" w:lineRule="auto"/>
        <w:jc w:val="left"/>
        <w:rPr>
          <w:rStyle w:val="10"/>
          <w:rFonts w:ascii="Times New Roman" w:hAnsi="Times New Roman"/>
          <w:color w:val="000000"/>
          <w:kern w:val="0"/>
          <w:sz w:val="20"/>
          <w:szCs w:val="20"/>
        </w:rPr>
      </w:pPr>
    </w:p>
    <w:p>
      <w:pPr>
        <w:adjustRightInd w:val="0"/>
        <w:snapToGrid w:val="0"/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Corresponding Author: </w:t>
      </w:r>
    </w:p>
    <w:p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Contact</w:t>
      </w:r>
      <w:r>
        <w:rPr>
          <w:rFonts w:ascii="Times New Roman" w:hAnsi="Times New Roman" w:cs="Times New Roman"/>
          <w:sz w:val="20"/>
          <w:szCs w:val="20"/>
        </w:rPr>
        <w:t>: Di Zhang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Author E-mail</w:t>
      </w:r>
      <w:r>
        <w:rPr>
          <w:rFonts w:ascii="Times New Roman" w:hAnsi="Times New Roman" w:cs="Times New Roman"/>
          <w:sz w:val="20"/>
          <w:szCs w:val="20"/>
        </w:rPr>
        <w:t xml:space="preserve">: zhangdi6283@neau.edu.cn     </w:t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Telephone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: 86+45155191170</w:t>
      </w:r>
    </w:p>
    <w:p>
      <w:pPr>
        <w:widowControl/>
        <w:spacing w:line="360" w:lineRule="auto"/>
        <w:jc w:val="left"/>
        <w:rPr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Correspondence Address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Department of Resources and Environmental Science, Northeast Agricultural University, Harbin, Heilongjiang 150030, China</w:t>
      </w:r>
    </w:p>
    <w:p>
      <w:pPr>
        <w:adjustRightInd w:val="0"/>
        <w:snapToGrid w:val="0"/>
        <w:spacing w:line="480" w:lineRule="auto"/>
        <w:jc w:val="left"/>
        <w:rPr>
          <w:rStyle w:val="10"/>
          <w:rFonts w:ascii="Times New Roman" w:hAnsi="Times New Roman"/>
          <w:color w:val="000000"/>
          <w:kern w:val="0"/>
          <w:sz w:val="20"/>
          <w:szCs w:val="20"/>
        </w:rPr>
      </w:pPr>
    </w:p>
    <w:p>
      <w:pPr>
        <w:adjustRightInd w:val="0"/>
        <w:snapToGrid w:val="0"/>
        <w:spacing w:line="480" w:lineRule="auto"/>
        <w:jc w:val="left"/>
        <w:rPr>
          <w:rStyle w:val="10"/>
          <w:rFonts w:ascii="Times New Roman" w:hAnsi="Times New Roman"/>
          <w:color w:val="000000"/>
          <w:kern w:val="0"/>
          <w:sz w:val="20"/>
          <w:szCs w:val="20"/>
        </w:rPr>
      </w:pPr>
    </w:p>
    <w:p>
      <w:pPr>
        <w:adjustRightInd w:val="0"/>
        <w:snapToGrid w:val="0"/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hint="eastAsia" w:ascii="Times New Roman" w:hAnsi="Times New Roman"/>
          <w:color w:val="000000"/>
          <w:kern w:val="0"/>
          <w:sz w:val="20"/>
          <w:szCs w:val="20"/>
        </w:rPr>
        <w:t>THREE FIGURES AND THREE TABLES</w:t>
      </w:r>
    </w:p>
    <w:p>
      <w:pPr>
        <w:rPr>
          <w:rFonts w:ascii="Times New Roman" w:hAnsi="Times New Roman"/>
          <w:color w:val="000000"/>
          <w:kern w:val="0"/>
          <w:sz w:val="20"/>
          <w:szCs w:val="20"/>
        </w:rPr>
        <w:sectPr>
          <w:footerReference r:id="rId4" w:type="default"/>
          <w:pgSz w:w="11906" w:h="16838"/>
          <w:pgMar w:top="720" w:right="720" w:bottom="720" w:left="72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widowControl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List of contents 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Tables: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Tab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S1.</w:t>
      </w:r>
      <w:r>
        <w:rPr>
          <w:rStyle w:val="12"/>
          <w:lang w:bidi="ar"/>
        </w:rPr>
        <w:t>Effects of graphite nanoplatelets (GN) and humic acid (HU) conditions on growth, morphological and biochemical parameters of maize plants, and the results of one-way ANOVA.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3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Tab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S2.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Effects of graphite nanoplatelets (GN) and humic acid (HU) conditions on maize root physiological activity indicators and the results of one-way ANOVA.</w:t>
      </w:r>
      <w:r>
        <w:rPr>
          <w:rStyle w:val="12"/>
          <w:lang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...........................................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4</w:t>
      </w:r>
    </w:p>
    <w:p>
      <w:pPr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Tab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S3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.Some of the critical metabolites differentially accumulated between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Graphite Nanoplatelets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Humic acid.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10-13</w:t>
      </w:r>
    </w:p>
    <w:p>
      <w:pPr>
        <w:widowControl/>
        <w:jc w:val="left"/>
        <w:rPr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Figures: 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Fig. 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Humic acid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treated maize phenotype map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.................................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.........................................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.......................................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5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Fig. 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2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raphite nanoplatelets </w:t>
      </w:r>
      <w:r>
        <w:rPr>
          <w:rFonts w:hint="eastAsia" w:ascii="Times New Roman" w:hAnsi="Times New Roman" w:cs="Times New Roman"/>
          <w:szCs w:val="21"/>
        </w:rPr>
        <w:t>treated maize phenotype map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.......................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...........................................................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5</w:t>
      </w:r>
    </w:p>
    <w:p>
      <w:pPr>
        <w:widowControl/>
        <w:jc w:val="left"/>
        <w:rPr>
          <w:rFonts w:eastAsia="宋体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Fig. 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3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The scanning electron micrograph (SEM) of graphite nanoplatelets.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........................................................................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7</w:t>
      </w:r>
    </w:p>
    <w:p>
      <w:pPr>
        <w:widowControl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Fig. 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4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Root Electron Microscopy of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Medium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Graphite Nanoplatelets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Added</w:t>
      </w:r>
      <w:r>
        <w:rPr>
          <w:rFonts w:hint="eastAsia" w:ascii="Times New Roman" w:hAnsi="Times New Roman" w:cs="Times New Roman"/>
          <w:szCs w:val="21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.............................................................8</w:t>
      </w:r>
    </w:p>
    <w:p>
      <w:pPr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Fig. 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GC-TOF-MS total ion flow map of all the tested samples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....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.....................................................................................9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br w:type="page"/>
      </w:r>
    </w:p>
    <w:p>
      <w:pPr>
        <w:jc w:val="left"/>
        <w:sectPr>
          <w:footerReference r:id="rId5" w:type="default"/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207"/>
        <w:gridCol w:w="1264"/>
        <w:gridCol w:w="1264"/>
        <w:gridCol w:w="1264"/>
        <w:gridCol w:w="1264"/>
        <w:gridCol w:w="1264"/>
        <w:gridCol w:w="1337"/>
        <w:gridCol w:w="1385"/>
        <w:gridCol w:w="1418"/>
        <w:gridCol w:w="1081"/>
        <w:gridCol w:w="1166"/>
        <w:gridCol w:w="12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Table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Style w:val="12"/>
                <w:lang w:bidi="ar"/>
              </w:rPr>
              <w:t xml:space="preserve"> Effects of graphite nanoplatelets (GN) and humic acid (HU) conditions on growth, morphological and biochemical parameters of maize plants, and the results of one-way ANOVA.</w:t>
            </w:r>
            <w:r>
              <w:rPr>
                <w:rStyle w:val="13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Parameters</w:t>
            </w:r>
          </w:p>
        </w:tc>
        <w:tc>
          <w:tcPr>
            <w:tcW w:w="1628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Graphite nanoplatelets </w:t>
            </w:r>
            <w:r>
              <w:rPr>
                <w:rStyle w:val="12"/>
                <w:lang w:bidi="ar"/>
              </w:rPr>
              <w:t>(GN)</w:t>
            </w:r>
            <w:r>
              <w:rPr>
                <w:rStyle w:val="12"/>
                <w:rFonts w:hint="eastAsia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group</w:t>
            </w:r>
          </w:p>
        </w:tc>
        <w:tc>
          <w:tcPr>
            <w:tcW w:w="1752" w:type="pct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Humic acid (HU) group</w:t>
            </w:r>
          </w:p>
        </w:tc>
        <w:tc>
          <w:tcPr>
            <w:tcW w:w="1099" w:type="pct"/>
            <w:gridSpan w:val="3"/>
            <w:tcBorders>
              <w:top w:val="single" w:color="000000" w:sz="12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 xml:space="preserve">Summary of ANOVA </w:t>
            </w:r>
            <w:r>
              <w:rPr>
                <w:rStyle w:val="15"/>
                <w:lang w:bidi="ar"/>
              </w:rPr>
              <w:t>(p</w:t>
            </w:r>
            <w:r>
              <w:rPr>
                <w:rStyle w:val="16"/>
                <w:lang w:bidi="ar"/>
              </w:rPr>
              <w:t>-values)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CK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GN</w:t>
            </w:r>
            <w:r>
              <w:rPr>
                <w:rStyle w:val="17"/>
                <w:lang w:bidi="ar"/>
              </w:rPr>
              <w:t>L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GN</w:t>
            </w:r>
            <w:r>
              <w:rPr>
                <w:rStyle w:val="17"/>
                <w:lang w:bidi="ar"/>
              </w:rPr>
              <w:t>M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GN</w:t>
            </w:r>
            <w:r>
              <w:rPr>
                <w:rStyle w:val="17"/>
                <w:lang w:bidi="ar"/>
              </w:rPr>
              <w:t>H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CK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HU</w:t>
            </w:r>
            <w:r>
              <w:rPr>
                <w:rStyle w:val="17"/>
                <w:lang w:bidi="ar"/>
              </w:rPr>
              <w:t>L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HU</w:t>
            </w:r>
            <w:r>
              <w:rPr>
                <w:rStyle w:val="17"/>
                <w:lang w:bidi="ar"/>
              </w:rPr>
              <w:t>M</w:t>
            </w: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HU</w:t>
            </w:r>
            <w:r>
              <w:rPr>
                <w:rStyle w:val="17"/>
                <w:lang w:bidi="ar"/>
              </w:rPr>
              <w:t>H</w:t>
            </w:r>
          </w:p>
        </w:tc>
        <w:tc>
          <w:tcPr>
            <w:tcW w:w="3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GN</w:t>
            </w:r>
            <w:r>
              <w:rPr>
                <w:rStyle w:val="17"/>
                <w:lang w:bidi="ar"/>
              </w:rPr>
              <w:t>L</w:t>
            </w:r>
            <w:r>
              <w:rPr>
                <w:rStyle w:val="14"/>
                <w:lang w:bidi="ar"/>
              </w:rPr>
              <w:t>-HU</w:t>
            </w:r>
            <w:r>
              <w:rPr>
                <w:rStyle w:val="17"/>
                <w:lang w:bidi="ar"/>
              </w:rPr>
              <w:t>L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GN</w:t>
            </w:r>
            <w:r>
              <w:rPr>
                <w:rStyle w:val="17"/>
                <w:lang w:bidi="ar"/>
              </w:rPr>
              <w:t>M</w:t>
            </w:r>
            <w:r>
              <w:rPr>
                <w:rStyle w:val="14"/>
                <w:lang w:bidi="ar"/>
              </w:rPr>
              <w:t>-HU</w:t>
            </w:r>
            <w:r>
              <w:rPr>
                <w:rStyle w:val="17"/>
                <w:lang w:bidi="ar"/>
              </w:rPr>
              <w:t>M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GN</w:t>
            </w:r>
            <w:r>
              <w:rPr>
                <w:rStyle w:val="17"/>
                <w:lang w:bidi="ar"/>
              </w:rPr>
              <w:t>H</w:t>
            </w:r>
            <w:r>
              <w:rPr>
                <w:rStyle w:val="14"/>
                <w:lang w:bidi="ar"/>
              </w:rPr>
              <w:t>-HU</w:t>
            </w:r>
            <w:r>
              <w:rPr>
                <w:rStyle w:val="17"/>
                <w:lang w:bidi="ar"/>
              </w:rPr>
              <w:t>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Root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RL (cm</w:t>
            </w:r>
            <w:r>
              <w:rPr>
                <w:rStyle w:val="16"/>
                <w:lang w:bidi="ar"/>
              </w:rPr>
              <w:t>)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3046.98±146.66b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3880.18±151.81a**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3911.43±44.23a*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3966.051±282.22a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3046.98±146.66a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3086.46±66.93a**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3308.14±254.16a*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3256.12±3256.12a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RAS (cm</w:t>
            </w:r>
            <w:r>
              <w:rPr>
                <w:rStyle w:val="18"/>
                <w:lang w:bidi="ar"/>
              </w:rPr>
              <w:t>2</w:t>
            </w:r>
            <w:r>
              <w:rPr>
                <w:rStyle w:val="14"/>
                <w:lang w:bidi="ar"/>
              </w:rPr>
              <w:t>)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543.66±62.49b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758.96±13.18a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768.99±60.94a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716.53±17.32a*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543.66±62.49a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704.07±46.24a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664.76±10.41a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484.46±15.35a*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0.269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Style w:val="14"/>
                <w:lang w:bidi="ar"/>
              </w:rPr>
            </w:pPr>
            <w:r>
              <w:rPr>
                <w:rStyle w:val="14"/>
                <w:lang w:bidi="ar"/>
              </w:rPr>
              <w:t>RV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(cm</w:t>
            </w:r>
            <w:r>
              <w:rPr>
                <w:rStyle w:val="19"/>
                <w:rFonts w:ascii="宋体" w:hAnsi="宋体" w:cs="宋体"/>
                <w:sz w:val="24"/>
                <w:szCs w:val="24"/>
                <w:lang w:bidi="ar"/>
              </w:rPr>
              <w:t>3</w:t>
            </w:r>
            <w:r>
              <w:rPr>
                <w:rStyle w:val="16"/>
                <w:lang w:bidi="ar"/>
              </w:rPr>
              <w:t>)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18.54±2.91b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31.10±2.95a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24.15±1.97b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23.33±2.37b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18.54±2.91c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25.35±0.71a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23.3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±0.6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ab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20.88±0.79bc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Style w:val="14"/>
                <w:lang w:bidi="ar"/>
              </w:rPr>
            </w:pPr>
            <w:r>
              <w:rPr>
                <w:rStyle w:val="14"/>
                <w:lang w:bidi="ar"/>
              </w:rPr>
              <w:t>RD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(mm</w:t>
            </w:r>
            <w:r>
              <w:rPr>
                <w:rStyle w:val="16"/>
                <w:lang w:bidi="ar"/>
              </w:rPr>
              <w:t>)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0.57±0.50a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0.63±0.04a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0.62±0.05a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0.65±0.05a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0.57±0.50a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0.66±0.04a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0.67±0.10a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0.57±0.026a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0.400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0.474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RTN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8965±923.47a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10754.67±1317.77a**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10107.33±1050.99a*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9583±375.51a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8965±923.47a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5233.67±462.17c**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7287.33±916.35b*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8538.33±801.06ab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Style w:val="14"/>
                <w:lang w:bidi="ar"/>
              </w:rPr>
            </w:pPr>
            <w:r>
              <w:rPr>
                <w:rStyle w:val="14"/>
                <w:lang w:bidi="ar"/>
              </w:rPr>
              <w:t>RDW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lang w:bidi="ar"/>
              </w:rPr>
              <w:t>(g</w:t>
            </w:r>
            <w:r>
              <w:rPr>
                <w:rStyle w:val="14"/>
                <w:rFonts w:hint="eastAsia"/>
                <w:lang w:bidi="ar"/>
              </w:rPr>
              <w:t xml:space="preserve"> </w:t>
            </w:r>
            <w:r>
              <w:rPr>
                <w:rStyle w:val="14"/>
                <w:lang w:bidi="ar"/>
              </w:rPr>
              <w:t>plant</w:t>
            </w:r>
            <w:r>
              <w:rPr>
                <w:rStyle w:val="18"/>
                <w:lang w:bidi="ar"/>
              </w:rPr>
              <w:t>-1</w:t>
            </w:r>
            <w:r>
              <w:rPr>
                <w:rStyle w:val="14"/>
                <w:lang w:bidi="ar"/>
              </w:rPr>
              <w:t>)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0.54±0.04c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0.88±0.03a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0.76±0.06b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0.75±0.034b*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0.54±0.04d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0.85±0.02a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0.733±0.02</w:t>
            </w:r>
            <w:r>
              <w:rPr>
                <w:rFonts w:hint="eastAsia"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kern w:val="0"/>
                <w:sz w:val="18"/>
                <w:szCs w:val="18"/>
                <w:lang w:bidi="ar"/>
              </w:rPr>
              <w:t>0.64±0.05c*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0.624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color="000000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R/T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0.83±0.04c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1.19±0.15b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1.43±0.22ab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1.39±0.20a</w:t>
            </w:r>
          </w:p>
        </w:tc>
        <w:tc>
          <w:tcPr>
            <w:tcW w:w="407" w:type="pct"/>
            <w:tcBorders>
              <w:top w:val="nil"/>
              <w:left w:val="single" w:color="000000" w:sz="4" w:space="0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0.83±0.04c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0.99±0.10bc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1.16±0.10b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1.72±0.19a</w:t>
            </w:r>
          </w:p>
        </w:tc>
        <w:tc>
          <w:tcPr>
            <w:tcW w:w="342" w:type="pct"/>
            <w:tcBorders>
              <w:top w:val="nil"/>
              <w:left w:val="single" w:color="000000" w:sz="4" w:space="0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0.132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4"/>
                <w:rFonts w:hint="eastAsia"/>
                <w:lang w:bidi="ar"/>
              </w:rPr>
              <w:t>Note：</w:t>
            </w:r>
            <w:r>
              <w:rPr>
                <w:rStyle w:val="14"/>
                <w:lang w:bidi="ar"/>
              </w:rPr>
              <w:t xml:space="preserve"> Values are reported as means ±SD (n = 3). CK; GN</w:t>
            </w:r>
            <w:r>
              <w:rPr>
                <w:rStyle w:val="17"/>
                <w:lang w:bidi="ar"/>
              </w:rPr>
              <w:t xml:space="preserve">L </w:t>
            </w:r>
            <w:r>
              <w:rPr>
                <w:rStyle w:val="14"/>
                <w:lang w:bidi="ar"/>
              </w:rPr>
              <w:t>and HU</w:t>
            </w:r>
            <w:r>
              <w:rPr>
                <w:rStyle w:val="17"/>
                <w:lang w:bidi="ar"/>
              </w:rPr>
              <w:t>L</w:t>
            </w:r>
            <w:r>
              <w:rPr>
                <w:rStyle w:val="14"/>
                <w:lang w:bidi="ar"/>
              </w:rPr>
              <w:t>, 0.4 mol C kg</w:t>
            </w:r>
            <w:r>
              <w:rPr>
                <w:rStyle w:val="18"/>
                <w:lang w:bidi="ar"/>
              </w:rPr>
              <w:t>−1</w:t>
            </w:r>
            <w:r>
              <w:rPr>
                <w:rStyle w:val="14"/>
                <w:lang w:bidi="ar"/>
              </w:rPr>
              <w:t>; GN</w:t>
            </w:r>
            <w:r>
              <w:rPr>
                <w:rStyle w:val="17"/>
                <w:lang w:bidi="ar"/>
              </w:rPr>
              <w:t xml:space="preserve">M </w:t>
            </w:r>
            <w:r>
              <w:rPr>
                <w:rStyle w:val="14"/>
                <w:lang w:bidi="ar"/>
              </w:rPr>
              <w:t>and HU</w:t>
            </w:r>
            <w:r>
              <w:rPr>
                <w:rStyle w:val="17"/>
                <w:lang w:bidi="ar"/>
              </w:rPr>
              <w:t>M</w:t>
            </w:r>
            <w:r>
              <w:rPr>
                <w:rStyle w:val="14"/>
                <w:lang w:bidi="ar"/>
              </w:rPr>
              <w:t>, 2 mol C kg</w:t>
            </w:r>
            <w:r>
              <w:rPr>
                <w:rStyle w:val="18"/>
                <w:lang w:bidi="ar"/>
              </w:rPr>
              <w:t>−1</w:t>
            </w:r>
            <w:r>
              <w:rPr>
                <w:rStyle w:val="14"/>
                <w:lang w:bidi="ar"/>
              </w:rPr>
              <w:t>; GN</w:t>
            </w:r>
            <w:r>
              <w:rPr>
                <w:rStyle w:val="17"/>
                <w:lang w:bidi="ar"/>
              </w:rPr>
              <w:t>H</w:t>
            </w:r>
            <w:r>
              <w:rPr>
                <w:rStyle w:val="14"/>
                <w:lang w:bidi="ar"/>
              </w:rPr>
              <w:t xml:space="preserve"> and HU</w:t>
            </w:r>
            <w:r>
              <w:rPr>
                <w:rStyle w:val="17"/>
                <w:lang w:bidi="ar"/>
              </w:rPr>
              <w:t>H</w:t>
            </w:r>
            <w:r>
              <w:rPr>
                <w:rStyle w:val="14"/>
                <w:lang w:bidi="ar"/>
              </w:rPr>
              <w:t>, 4 mol C kg</w:t>
            </w:r>
            <w:r>
              <w:rPr>
                <w:rStyle w:val="18"/>
                <w:lang w:bidi="ar"/>
              </w:rPr>
              <w:t>−1</w:t>
            </w:r>
            <w:r>
              <w:rPr>
                <w:rStyle w:val="14"/>
                <w:lang w:bidi="ar"/>
              </w:rPr>
              <w:t>. RL, total root length; RAS, total root surface area; RV, total root volume; RD, average root diameter; RTN, total root tip number; RDW, root dry weight; R/T, root/top ratio;</w:t>
            </w:r>
            <w:r>
              <w:rPr>
                <w:rStyle w:val="20"/>
                <w:lang w:bidi="ar"/>
              </w:rPr>
              <w:t xml:space="preserve"> </w:t>
            </w:r>
            <w:r>
              <w:rPr>
                <w:rStyle w:val="16"/>
                <w:lang w:bidi="ar"/>
              </w:rPr>
              <w:t>Different letters indicate significant differences (p&lt;0.05) compared with the control (CK). * indicates significant differences in graphite nanoplatelets and humic acid with equal carbon addition by using one-way ANOVA for equal amounts of carbon treatment at the P level.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1707"/>
        <w:gridCol w:w="1218"/>
        <w:gridCol w:w="1218"/>
        <w:gridCol w:w="1218"/>
        <w:gridCol w:w="1224"/>
        <w:gridCol w:w="1218"/>
        <w:gridCol w:w="1218"/>
        <w:gridCol w:w="1218"/>
        <w:gridCol w:w="1224"/>
        <w:gridCol w:w="1218"/>
        <w:gridCol w:w="1218"/>
        <w:gridCol w:w="12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Style w:val="21"/>
                <w:lang w:bidi="ar"/>
              </w:rPr>
              <w:t xml:space="preserve">Table </w:t>
            </w:r>
            <w:r>
              <w:rPr>
                <w:rStyle w:val="21"/>
                <w:rFonts w:hint="eastAsia"/>
                <w:lang w:bidi="ar"/>
              </w:rPr>
              <w:t>S</w:t>
            </w:r>
            <w:r>
              <w:rPr>
                <w:rStyle w:val="21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Effects of graphite nanoplatelets (GN) and humic acid (HU) conditions on maize root physiological activity indicators and the results of one-way ANOVA.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Parameters</w:t>
            </w:r>
          </w:p>
        </w:tc>
        <w:tc>
          <w:tcPr>
            <w:tcW w:w="1566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Graphite nanoplatelets group</w:t>
            </w:r>
          </w:p>
        </w:tc>
        <w:tc>
          <w:tcPr>
            <w:tcW w:w="1566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umic acid (HU) group</w:t>
            </w:r>
          </w:p>
        </w:tc>
        <w:tc>
          <w:tcPr>
            <w:tcW w:w="1175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Summary of ANOVA 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(p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-values)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CK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L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M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H</w:t>
            </w:r>
          </w:p>
        </w:tc>
        <w:tc>
          <w:tcPr>
            <w:tcW w:w="391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CK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L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M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H</w:t>
            </w:r>
          </w:p>
        </w:tc>
        <w:tc>
          <w:tcPr>
            <w:tcW w:w="391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L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L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M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" w:type="pct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Root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Root activity (μg·g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·h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28.07±2.00d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33.18±1.54c**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43.84±1.67a</w:t>
            </w:r>
          </w:p>
        </w:tc>
        <w:tc>
          <w:tcPr>
            <w:tcW w:w="391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40.17±0.69b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28.07±2.00d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70.96±9.05c**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109.62±3.36b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196.73±8.19a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Total absorption area (m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2.85±0.18d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5.08±0.07b**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6.55±0.35a**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4.33±0.50c*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2.85±0.18b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4.38±0.21a**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3.40±0.55b**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3.19±0.12b*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Active absorption area (m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1.40±0.15c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2.51±0.36b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2.915±0.12a**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2.12±0.06b*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1.40±0.15a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1.70±0.11a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1.67±0.27a**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1.55±0.35a*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-N (mg/g)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796.12±38.37b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858.40±59.99b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1682.95±35.84a***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990.74±0.05b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796.12±38.37a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453.75±32.90c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478.81±19.71c***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591.65±6.93b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8.850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-N (mg/g)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242.09±49.27b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248.52±6.19b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891.24±50.82a***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287.98±18.57b***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242.09±49.27b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245.49±31.32b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262.33±27.05b***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621.00±38.15a***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5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color="000000" w:sz="12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Total nitrogen content 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1" w:type="pct"/>
            <w:tcBorders>
              <w:top w:val="nil"/>
              <w:left w:val="single" w:color="000000" w:sz="8" w:space="0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1.38±0.06a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1.53±0.10a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1.78±0.10a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1.59±0.04a**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1.38±0.06c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1.51±0.07b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1.57±0.09b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1.85±0.03a**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&lt;0.05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 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Note：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 Values are reported as means ±SD (n = 3). CK; 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 xml:space="preserve">L 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and 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L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0.4 mol C kg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−1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; 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 xml:space="preserve">M 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and 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2 mol C kg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−1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; GN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 and HU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4 mol C kg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−1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. Root activity; Total absorption area; Active absorption area; NO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-N, nitrate-nitrogen accumulation; NH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-N, ammonium nitrogen accumulation; Total nitrogen accumulation; Different letters indicate significant differences (p&lt;0.05) compared with the control (CK). * indicates significant differences in graphite nanoplatelets and humic acid with equal carbon addition by using one-way ANOVA for equal amounts of carbon treatment at the P level.</w:t>
            </w:r>
          </w:p>
        </w:tc>
      </w:tr>
    </w:tbl>
    <w:p>
      <w:pPr>
        <w:jc w:val="left"/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787400</wp:posOffset>
            </wp:positionH>
            <wp:positionV relativeFrom="paragraph">
              <wp:posOffset>3175</wp:posOffset>
            </wp:positionV>
            <wp:extent cx="3698875" cy="3474720"/>
            <wp:effectExtent l="0" t="0" r="3810" b="1270"/>
            <wp:wrapTopAndBottom/>
            <wp:docPr id="5" name="图片 5" descr="微信图片_2023041600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416003103"/>
                    <pic:cNvPicPr>
                      <a:picLocks noChangeAspect="1"/>
                    </pic:cNvPicPr>
                  </pic:nvPicPr>
                  <pic:blipFill>
                    <a:blip r:embed="rId8"/>
                    <a:srcRect l="6260" t="17049"/>
                    <a:stretch>
                      <a:fillRect/>
                    </a:stretch>
                  </pic:blipFill>
                  <pic:spPr>
                    <a:xfrm>
                      <a:off x="0" y="0"/>
                      <a:ext cx="3698875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</w:rPr>
        <w:t xml:space="preserve">S1  </w:t>
      </w:r>
      <w:r>
        <w:rPr>
          <w:rFonts w:hint="eastAsia" w:ascii="Times New Roman" w:hAnsi="Times New Roman" w:eastAsia="宋体" w:cs="Times New Roman"/>
          <w:szCs w:val="21"/>
        </w:rPr>
        <w:t>Humic acid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-</w:t>
      </w:r>
      <w:r>
        <w:rPr>
          <w:rFonts w:hint="eastAsia" w:ascii="Times New Roman" w:hAnsi="Times New Roman" w:cs="Times New Roman"/>
          <w:szCs w:val="21"/>
        </w:rPr>
        <w:t>treated maize phenotype map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788035</wp:posOffset>
            </wp:positionH>
            <wp:positionV relativeFrom="paragraph">
              <wp:posOffset>26670</wp:posOffset>
            </wp:positionV>
            <wp:extent cx="3698240" cy="3474085"/>
            <wp:effectExtent l="0" t="0" r="4445" b="1905"/>
            <wp:wrapTopAndBottom/>
            <wp:docPr id="7" name="图片 6" descr="微信图片_2023041600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微信图片_20230416003108"/>
                    <pic:cNvPicPr>
                      <a:picLocks noChangeAspect="1"/>
                    </pic:cNvPicPr>
                  </pic:nvPicPr>
                  <pic:blipFill>
                    <a:blip r:embed="rId9"/>
                    <a:srcRect l="-117" t="11769" r="117" b="4619"/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</w:rPr>
        <w:t xml:space="preserve">S2  </w:t>
      </w:r>
      <w:r>
        <w:rPr>
          <w:rFonts w:hint="eastAsia" w:ascii="Times New Roman" w:hAnsi="Times New Roman" w:cs="Times New Roman"/>
          <w:szCs w:val="21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raphite nanoplatelets </w:t>
      </w:r>
      <w:r>
        <w:rPr>
          <w:rFonts w:hint="eastAsia" w:ascii="Times New Roman" w:hAnsi="Times New Roman" w:cs="Times New Roman"/>
          <w:szCs w:val="21"/>
        </w:rPr>
        <w:t>treated maize phenotype map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br w:type="page"/>
      </w:r>
    </w:p>
    <w:p>
      <w:pPr>
        <w:widowControl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Method S1：</w:t>
      </w:r>
      <w:r>
        <w:rPr>
          <w:rFonts w:ascii="Times New Roman" w:hAnsi="Times New Roman" w:cs="Times New Roman"/>
          <w:szCs w:val="21"/>
        </w:rPr>
        <w:t>Under the conditions of adding graphene and humic acid, the characteristics of the corn root system are quite different. Therefore, the two treatments and the CK-treated corn seedling roots were selected for further exploratory research for root metabolomics-related determinations.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Material selection: Select 5 corn seedlings from each treatment, take representative primary and secondary roots, take the roots 2-3 cm from the root tip at a distance of more than 0.5 cm, and freeze-dry them with liquid nitrogen. After lyophilization, sample 10±1 mg of this book into a 2 mL EP tube, add 450 μL of pre-cooled extract (methanol to water volume ratio = 3:1), then add 10 μL of ribitol, vortex for 30 s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add ceramic beads, Treat the sample with a 45 Hz grinder for 4 min, ultrasonic for 5 min (ice-water bath)</w:t>
      </w:r>
      <w:r>
        <w:rPr>
          <w:rFonts w:hint="eastAsia"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centrifuge the sample at 4 °C and centrifuge at 12000 rpm for 15 min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carefully pipette 200 μL of supernatant into a 1.5 mL EP tube, and mix 50 μL of each sample to form QC sample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dry the extract in a vacuum concentrator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add 50 μL of methoxamine salt reagent (methoxamine hydrochloride, dissolved in pyridine 20 mg/mL) to the dried metabolites, mix gently, and place Incubate in an oven at 80°C for 30 min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add 70 μL BSTFA (containing 1% TMCS, v/v) to each sample, incubate the mixture at 70°C for 1.5 h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cool to room temperature, add 5 μL FAMEs to the mixed sample (Dissolved in chloroform)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random order on the machine, using Agilent 7890 gas chromatography-time-of-flight mass spectrometer with Agilent DB-5MS capillary column (30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m×250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μm×0.25 μm, J&amp;W Scientific, Folsom, C, USA) detection, Tested by Shanghai Baiqu Biological Company.</w:t>
      </w:r>
    </w:p>
    <w:p>
      <w:pPr>
        <w:spacing w:after="120" w:line="400" w:lineRule="exact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GC-</w:t>
      </w:r>
      <w:r>
        <w:rPr>
          <w:rFonts w:hint="eastAsia" w:ascii="Times New Roman" w:hAnsi="Times New Roman" w:eastAsia="宋体" w:cs="Times New Roman"/>
          <w:b/>
          <w:bCs/>
          <w:sz w:val="24"/>
        </w:rPr>
        <w:t>TOF</w:t>
      </w:r>
      <w:r>
        <w:rPr>
          <w:rFonts w:ascii="Times New Roman" w:hAnsi="Times New Roman" w:eastAsia="宋体" w:cs="Times New Roman"/>
          <w:b/>
          <w:bCs/>
          <w:sz w:val="24"/>
        </w:rPr>
        <w:t>-MS Analysis</w:t>
      </w:r>
    </w:p>
    <w:p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GC-TOF-MS analysis was performed using an Agilent 7890 gas chromatograph coupled with a time-of-flight mass spectrometer. The system utilized a DB-5MS capillary column. 1 μL aliquot of sample was injected in splitless mode. Helium was used as the carrier gas, the front inlet purge flow was 3 mL min−1, and the gas flow rate through the column was 1 mL min−1. The initial temperature was kept at 50 °C for 1 min, then raised to 310 °C at a rate of 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0 °C min−1, then kept for </w:t>
      </w:r>
      <w:r>
        <w:rPr>
          <w:rFonts w:hint="eastAsia" w:ascii="Times New Roman" w:hAnsi="Times New Roman" w:cs="Times New Roman"/>
          <w:szCs w:val="21"/>
        </w:rPr>
        <w:t>8</w:t>
      </w:r>
      <w:r>
        <w:rPr>
          <w:rFonts w:ascii="Times New Roman" w:hAnsi="Times New Roman" w:cs="Times New Roman"/>
          <w:szCs w:val="21"/>
        </w:rPr>
        <w:t xml:space="preserve"> min at 310 °C. The injection, transfer line, and ion source temperatures were 280, 2</w:t>
      </w:r>
      <w:r>
        <w:rPr>
          <w:rFonts w:hint="eastAsia" w:ascii="Times New Roman" w:hAnsi="Times New Roman" w:cs="Times New Roman"/>
          <w:szCs w:val="21"/>
        </w:rPr>
        <w:t>8</w:t>
      </w:r>
      <w:r>
        <w:rPr>
          <w:rFonts w:ascii="Times New Roman" w:hAnsi="Times New Roman" w:cs="Times New Roman"/>
          <w:szCs w:val="21"/>
        </w:rPr>
        <w:t>0, and 2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0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°C, respectively. The energy was -70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eV in electron impact mode. The mass spectrometry data were acquired in full-scan mode with the m/z range of 50-500 at a rate of 12.5 spectra per second after a solvent delay of </w:t>
      </w:r>
      <w:r>
        <w:rPr>
          <w:rFonts w:hint="eastAsia" w:ascii="Times New Roman" w:hAnsi="Times New Roman" w:cs="Times New Roman"/>
          <w:szCs w:val="21"/>
        </w:rPr>
        <w:t xml:space="preserve">6.25 </w:t>
      </w:r>
      <w:r>
        <w:rPr>
          <w:rFonts w:ascii="Times New Roman" w:hAnsi="Times New Roman" w:cs="Times New Roman"/>
          <w:szCs w:val="21"/>
        </w:rPr>
        <w:t>min.</w:t>
      </w:r>
    </w:p>
    <w:p>
      <w:pPr>
        <w:widowControl/>
      </w:pPr>
      <w:r>
        <w:br w:type="page"/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drawing>
          <wp:inline distT="0" distB="0" distL="114300" distR="114300">
            <wp:extent cx="3687445" cy="2765425"/>
            <wp:effectExtent l="0" t="0" r="8255" b="15875"/>
            <wp:docPr id="90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8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44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</w:rPr>
        <w:t xml:space="preserve">S3 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The scanning electron micrograph (SEM) of graphite nanoplatelets</w:t>
      </w: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drawing>
          <wp:inline distT="0" distB="0" distL="114300" distR="114300">
            <wp:extent cx="3568065" cy="3333115"/>
            <wp:effectExtent l="0" t="0" r="13335" b="635"/>
            <wp:docPr id="1" name="图片 1" descr="Tv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v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</w:rPr>
        <w:t xml:space="preserve">S4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Root Electron Microscopy of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Medium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Graphite Nanoplatelets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Added</w:t>
      </w:r>
    </w:p>
    <w:p>
      <w:pPr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br w:type="page"/>
      </w:r>
    </w:p>
    <w:p>
      <w:pPr>
        <w:ind w:firstLine="420" w:firstLineChars="200"/>
        <w:jc w:val="left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 total of 761 peaks were detected in this experiment,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and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please see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data for details.</w:t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37250" cy="2901315"/>
            <wp:effectExtent l="0" t="0" r="6350" b="133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90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Fig.S5 GC-TOF-MS total ion flow map of all the tested samples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  <w:sectPr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</w:t>
      </w:r>
      <w:r>
        <w:rPr>
          <w:rFonts w:hint="eastAsia" w:ascii="Times New Roman" w:hAnsi="Times New Roman" w:cs="Times New Roman"/>
          <w:b/>
          <w:bCs/>
        </w:rPr>
        <w:t>.S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Some of the critical metabolites differentially accumulated between</w:t>
      </w:r>
      <w:r>
        <w:rPr>
          <w:rFonts w:hint="eastAsia" w:ascii="Times New Roman" w:hAnsi="Times New Roman" w:cs="Times New Roman"/>
        </w:rPr>
        <w:t xml:space="preserve"> Graphite Nanoplatelets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</w:rPr>
        <w:t>Humic acid</w:t>
      </w:r>
    </w:p>
    <w:tbl>
      <w:tblPr>
        <w:tblStyle w:val="6"/>
        <w:tblpPr w:leftFromText="180" w:rightFromText="180" w:vertAnchor="text" w:horzAnchor="page" w:tblpXSpec="center" w:tblpY="607"/>
        <w:tblOverlap w:val="never"/>
        <w:tblW w:w="4823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3324"/>
        <w:gridCol w:w="3352"/>
        <w:gridCol w:w="1461"/>
        <w:gridCol w:w="1223"/>
        <w:gridCol w:w="1524"/>
        <w:gridCol w:w="13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34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widowControl/>
              <w:spacing w:line="15" w:lineRule="auto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1215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15" w:lineRule="auto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</w:rPr>
              <w:t>Graphite Nanoplatelets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</w:rPr>
              <w:t>Humic acid</w:t>
            </w:r>
          </w:p>
        </w:tc>
        <w:tc>
          <w:tcPr>
            <w:tcW w:w="534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447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Molecular</w:t>
            </w:r>
          </w:p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557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log2 Control/</w:t>
            </w:r>
          </w:p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Graph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ite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Humic</w:t>
            </w:r>
          </w:p>
          <w:p>
            <w:pPr>
              <w:spacing w:line="15" w:lineRule="auto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15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Sugars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N-Acetyl-D-galactosamine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N-Acetyl-D-galactosamine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221.21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1.703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N-Acetyl-beta-D-mannosamine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N-Acetyl-beta-D-mannosamine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221.21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1.295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N-Acetyl-5-hydroxytryptamine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N-Acetyl-5-hydroxytryptamine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218.25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4.140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Lactose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Lactose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342.30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-17.458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Galactinol 3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Galactinol 3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342.30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-2.562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Xylitol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152.15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-0.899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2-Deoxy-D-galactose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164.16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0.931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Maltose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11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342.30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-0.575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Phosphorylated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metabolites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Beta-Mannosylglycerate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Beta-Mannosylglycerate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266.04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3.370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Methyl Phosphate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Methyl Phosphate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112.02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-1.219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Erythrose 4-phosphate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200.0821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-2.710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4-nitrophenyl phosphate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219.09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0.801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Organic acids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Toluenesulfonic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158.18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-1.470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Pyruvic acid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Pyruvic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88.02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Mucic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Mucic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210.14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-0.793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Lactic acid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90.08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1.128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Citraconic acid degr1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130.10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-0.589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Caffeic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180.16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-6.824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Aminomalonic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119.08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-1.784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Alpha-ketoisocaproic acid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Alpha-ketoisocaproic acid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130.14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-0.959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Allantoic acid 3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176.13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-2.740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6-phosphoglucose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6-phosphoglucose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NaO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300.13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-15.491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ucleosides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Adenine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135.13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-0.717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5'-methylthioadenosine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297.33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1.013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2-deoxyguanosine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267.25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-2.441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Purine riboside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252.23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0.707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6-Methylmercaptopurine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166.20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1.650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"https://fanyi.so.com/?src=onebox" \l "amino acid" \t "https://www.so.com/_blank"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Amino acid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Oxoproline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129.11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-1.061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Glutamic acid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147.13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2.022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Glucosaminic acid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195.17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2.183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Aspartic acid 1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133.10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-2.591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Nicotinamide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122.12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-3.408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Glycine 2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75.07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1.667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Glutamine 5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146.14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-1.238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Cycloleucine 1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129.16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0.937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Beta-Alanine 2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89.09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1.718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Tyramine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137.18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-21.057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Maleimide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97.07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-1.293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Alcohols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Glycerol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92.09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0.929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Phthalic acid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116.13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15.383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D-Glyceric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106.08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Sorbitol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182.17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-1.840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Terpenes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Ribonic acid, gamma-lactone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148.11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-0.366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Glutaraldehyde 2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100.12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-3.184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Arbutin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272.25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-0.514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Esters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D-erythronolactone 2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118.09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-2.605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1-Monopalmitin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330.50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0.798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Phenol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4-Hydroxy-6-methyl-2-pyrone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126.11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-1.570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Alkanes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1,3-diaminopropane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74.12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1.303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Base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5,6-dihydrouracil 2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5,6-dihydrouracil 2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114.10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-1.922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Arachidic acid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Arachidic acid</w:t>
            </w:r>
            <w:r>
              <w:rPr>
                <w:rFonts w:hint="eastAsia" w:ascii="Times New Roman" w:hAnsi="Times New Roman" w:cs="Times New Roman"/>
                <w:color w:val="0070C0"/>
                <w:kern w:val="0"/>
                <w:sz w:val="20"/>
                <w:szCs w:val="20"/>
                <w:lang w:bidi="ar"/>
              </w:rPr>
              <w:t>↓</w:t>
            </w: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40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312.53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-0.478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Fatty acid</w:t>
            </w:r>
          </w:p>
        </w:tc>
        <w:tc>
          <w:tcPr>
            <w:tcW w:w="121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Myristic acid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bidi="ar"/>
              </w:rPr>
              <w:t>↑</w:t>
            </w:r>
          </w:p>
        </w:tc>
        <w:tc>
          <w:tcPr>
            <w:tcW w:w="1225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228.37</w:t>
            </w:r>
          </w:p>
        </w:tc>
        <w:tc>
          <w:tcPr>
            <w:tcW w:w="557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-0.476 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</w:tr>
    </w:tbl>
    <w:p>
      <w:pPr>
        <w:jc w:val="left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Style w:val="9"/>
        </w:rPr>
        <w:footnoteRef/>
      </w:r>
      <w:r>
        <w:t xml:space="preserve"> </w:t>
      </w:r>
      <w:r>
        <w:rPr>
          <w:rFonts w:ascii="Times New Roman" w:hAnsi="Times New Roman"/>
          <w:color w:val="000000"/>
          <w:kern w:val="0"/>
          <w:sz w:val="20"/>
          <w:szCs w:val="20"/>
        </w:rPr>
        <w:t>Corresponding Author: Di Zhang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>,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Dr., Associate Professor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kern w:val="0"/>
          <w:sz w:val="20"/>
          <w:szCs w:val="20"/>
        </w:rPr>
        <w:t>Tel: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86+45155191170</w:t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 xml:space="preserve">, Fox: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86+45155191170</w:t>
      </w:r>
    </w:p>
    <w:p>
      <w:pPr>
        <w:pStyle w:val="4"/>
      </w:pP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E-mail: </w:t>
      </w:r>
      <w:r>
        <w:fldChar w:fldCharType="begin"/>
      </w:r>
      <w:r>
        <w:instrText xml:space="preserve"> HYPERLINK "mailto:zhangdi6283@neau.edu.cn" </w:instrText>
      </w:r>
      <w:r>
        <w:fldChar w:fldCharType="separate"/>
      </w:r>
      <w:r>
        <w:rPr>
          <w:rStyle w:val="8"/>
          <w:rFonts w:ascii="Times New Roman" w:hAnsi="Times New Roman"/>
          <w:kern w:val="0"/>
          <w:sz w:val="20"/>
          <w:szCs w:val="20"/>
        </w:rPr>
        <w:t>zhangdi6283@neau.edu.cn</w:t>
      </w:r>
      <w:r>
        <w:rPr>
          <w:rStyle w:val="8"/>
          <w:rFonts w:ascii="Times New Roman" w:hAnsi="Times New Roman"/>
          <w:kern w:val="0"/>
          <w:sz w:val="20"/>
          <w:szCs w:val="20"/>
        </w:rPr>
        <w:fldChar w:fldCharType="end"/>
      </w:r>
      <w:r>
        <w:rPr>
          <w:rFonts w:hint="eastAsia" w:ascii="Times New Roman" w:hAnsi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MDE1sDQxNjU0MzJX0lEKTi0uzszPAykwqgUAx74m9iwAAAA="/>
    <w:docVar w:name="commondata" w:val="eyJoZGlkIjoiYjQ2N2UwOTRjNjdkMmM5MTg5MDdmZDY1OTg5ZjNkYTUifQ=="/>
  </w:docVars>
  <w:rsids>
    <w:rsidRoot w:val="13AF48A3"/>
    <w:rsid w:val="003D0095"/>
    <w:rsid w:val="006F3AC2"/>
    <w:rsid w:val="008458BB"/>
    <w:rsid w:val="009C7C9C"/>
    <w:rsid w:val="00A1368A"/>
    <w:rsid w:val="00A83C29"/>
    <w:rsid w:val="00BB29A4"/>
    <w:rsid w:val="04221DEB"/>
    <w:rsid w:val="061F4399"/>
    <w:rsid w:val="0B6A2F26"/>
    <w:rsid w:val="0DFF0C5B"/>
    <w:rsid w:val="130D0D81"/>
    <w:rsid w:val="13AF48A3"/>
    <w:rsid w:val="16DB399F"/>
    <w:rsid w:val="1701605A"/>
    <w:rsid w:val="185F4181"/>
    <w:rsid w:val="1D973056"/>
    <w:rsid w:val="1EBD0FD4"/>
    <w:rsid w:val="215B4E07"/>
    <w:rsid w:val="21844071"/>
    <w:rsid w:val="29075A35"/>
    <w:rsid w:val="2B216507"/>
    <w:rsid w:val="2B9779AB"/>
    <w:rsid w:val="2E30694F"/>
    <w:rsid w:val="2E431656"/>
    <w:rsid w:val="34DC7DED"/>
    <w:rsid w:val="3ADE5922"/>
    <w:rsid w:val="3FE02C97"/>
    <w:rsid w:val="41C6259D"/>
    <w:rsid w:val="48AC5920"/>
    <w:rsid w:val="49757540"/>
    <w:rsid w:val="569F7982"/>
    <w:rsid w:val="578859AA"/>
    <w:rsid w:val="5E6F736F"/>
    <w:rsid w:val="5F50072F"/>
    <w:rsid w:val="658B3577"/>
    <w:rsid w:val="681F3D38"/>
    <w:rsid w:val="68EE5FBD"/>
    <w:rsid w:val="6D640113"/>
    <w:rsid w:val="6E4D4C53"/>
    <w:rsid w:val="6F4143B9"/>
    <w:rsid w:val="6F676817"/>
    <w:rsid w:val="7BC441BD"/>
    <w:rsid w:val="7E9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footnote reference"/>
    <w:qFormat/>
    <w:uiPriority w:val="0"/>
    <w:rPr>
      <w:vertAlign w:val="superscript"/>
    </w:rPr>
  </w:style>
  <w:style w:type="character" w:customStyle="1" w:styleId="10">
    <w:name w:val="15"/>
    <w:basedOn w:val="7"/>
    <w:qFormat/>
    <w:uiPriority w:val="0"/>
    <w:rPr>
      <w:rFonts w:hint="default" w:ascii="Calibri" w:hAnsi="Calibri" w:cs="Calibri"/>
    </w:rPr>
  </w:style>
  <w:style w:type="character" w:customStyle="1" w:styleId="1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">
    <w:name w:val="font6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0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3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81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16">
    <w:name w:val="font7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9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18">
    <w:name w:val="font10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  <w:style w:type="character" w:customStyle="1" w:styleId="19">
    <w:name w:val="font11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  <w:style w:type="character" w:customStyle="1" w:styleId="20">
    <w:name w:val="font121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1">
    <w:name w:val="font21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5.emf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1628</Words>
  <Characters>10249</Characters>
  <Lines>797</Lines>
  <Paragraphs>601</Paragraphs>
  <TotalTime>0</TotalTime>
  <ScaleCrop>false</ScaleCrop>
  <LinksUpToDate>false</LinksUpToDate>
  <CharactersWithSpaces>11403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2022-03-22T07:23:00Z</dcterms:created>
  <dc:creator>张蕊雪</dc:creator>
  <cp:lastModifiedBy>张迪</cp:lastModifiedBy>
  <dcterms:modified xsi:type="dcterms:W3CDTF">2023-08-04T06:24:41Z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BAE921A985A14E89BA58C34979A11EB4_13</vt:lpwstr>
  </property>
  <property fmtid="{D5CDD505-2E9C-101B-9397-08002B2CF9AE}" pid="4" name="GrammarlyDocumentId">
    <vt:lpwstr>f5ad0280ab52c5aee1ff73ae1d6d81aafd258a65381a9ba06069bbff88ddbbe1</vt:lpwstr>
  </property>
</Properties>
</file>