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AF91" w14:textId="16160B04" w:rsidR="00C46CCB" w:rsidRPr="00BC61F7" w:rsidRDefault="00BC61F7" w:rsidP="00C46CCB">
      <w:pPr>
        <w:tabs>
          <w:tab w:val="left" w:pos="3860"/>
        </w:tabs>
        <w:rPr>
          <w:b/>
          <w:bCs/>
          <w:sz w:val="24"/>
          <w:szCs w:val="24"/>
        </w:rPr>
      </w:pPr>
      <w:bookmarkStart w:id="0" w:name="OLE_LINK3"/>
      <w:r w:rsidRPr="00BC61F7">
        <w:rPr>
          <w:b/>
          <w:bCs/>
          <w:sz w:val="24"/>
          <w:szCs w:val="24"/>
        </w:rPr>
        <w:t>Supporting Information</w:t>
      </w:r>
    </w:p>
    <w:p w14:paraId="66B14C9A" w14:textId="77777777" w:rsidR="00BC61F7" w:rsidRDefault="00BC61F7" w:rsidP="00C46CCB">
      <w:pPr>
        <w:tabs>
          <w:tab w:val="left" w:pos="3860"/>
        </w:tabs>
        <w:rPr>
          <w:b/>
          <w:bCs/>
          <w:sz w:val="24"/>
          <w:szCs w:val="24"/>
          <w:u w:val="single"/>
        </w:rPr>
      </w:pPr>
    </w:p>
    <w:bookmarkEnd w:id="0"/>
    <w:p w14:paraId="3314B4B8" w14:textId="3C65B70F" w:rsidR="00B47A0F" w:rsidRDefault="00B47A0F" w:rsidP="00B47A0F">
      <w:pPr>
        <w:rPr>
          <w:sz w:val="24"/>
        </w:rPr>
      </w:pPr>
    </w:p>
    <w:p w14:paraId="71727BB3" w14:textId="77777777" w:rsidR="00BC61F7" w:rsidRPr="00BC61F7" w:rsidRDefault="00B47A0F" w:rsidP="00BC61F7">
      <w:pPr>
        <w:tabs>
          <w:tab w:val="left" w:pos="3860"/>
        </w:tabs>
        <w:rPr>
          <w:b/>
          <w:bCs/>
          <w:sz w:val="24"/>
          <w:szCs w:val="24"/>
        </w:rPr>
      </w:pPr>
      <w:r w:rsidRPr="00BC61F7">
        <w:rPr>
          <w:b/>
          <w:bCs/>
          <w:sz w:val="24"/>
          <w:szCs w:val="24"/>
        </w:rPr>
        <w:t xml:space="preserve">List of </w:t>
      </w:r>
      <w:r w:rsidR="00BC61F7" w:rsidRPr="00BC61F7">
        <w:rPr>
          <w:b/>
          <w:bCs/>
          <w:sz w:val="24"/>
          <w:szCs w:val="24"/>
        </w:rPr>
        <w:t>Supporting Information</w:t>
      </w:r>
    </w:p>
    <w:p w14:paraId="385622AC" w14:textId="50006814" w:rsidR="00B47A0F" w:rsidRDefault="00B47A0F" w:rsidP="00B47A0F">
      <w:pPr>
        <w:pStyle w:val="Paragraph"/>
        <w:ind w:firstLine="0"/>
        <w:rPr>
          <w:b/>
        </w:rPr>
      </w:pPr>
    </w:p>
    <w:p w14:paraId="5B7CE1AC" w14:textId="77777777" w:rsidR="00B47A0F" w:rsidRDefault="00B47A0F" w:rsidP="00B47A0F">
      <w:pPr>
        <w:rPr>
          <w:sz w:val="24"/>
        </w:rPr>
      </w:pPr>
    </w:p>
    <w:p w14:paraId="1ACA5F79" w14:textId="5B9A7469" w:rsidR="009E710E" w:rsidRPr="00BC61F7" w:rsidRDefault="00BC61F7" w:rsidP="009E710E">
      <w:pPr>
        <w:pStyle w:val="Paragraph"/>
        <w:ind w:firstLine="0"/>
        <w:rPr>
          <w:b/>
          <w:bCs/>
        </w:rPr>
      </w:pPr>
      <w:r w:rsidRPr="00BC61F7">
        <w:rPr>
          <w:b/>
          <w:bCs/>
        </w:rPr>
        <w:t>Figure S</w:t>
      </w:r>
      <w:r w:rsidR="009E710E" w:rsidRPr="00BC61F7">
        <w:rPr>
          <w:b/>
          <w:bCs/>
        </w:rPr>
        <w:t>1</w:t>
      </w:r>
    </w:p>
    <w:p w14:paraId="3519ED82" w14:textId="732B4D59" w:rsidR="00BC61F7" w:rsidRPr="00BC61F7" w:rsidRDefault="00BC61F7" w:rsidP="00BC61F7">
      <w:pPr>
        <w:pStyle w:val="Paragraph"/>
        <w:ind w:firstLine="0"/>
        <w:rPr>
          <w:b/>
          <w:bCs/>
        </w:rPr>
      </w:pPr>
      <w:r w:rsidRPr="00BC61F7">
        <w:rPr>
          <w:b/>
          <w:bCs/>
        </w:rPr>
        <w:t>Figure S2</w:t>
      </w:r>
    </w:p>
    <w:p w14:paraId="3EB97376" w14:textId="30DF7417" w:rsidR="00BC61F7" w:rsidRPr="00BC61F7" w:rsidRDefault="00BC61F7" w:rsidP="00BC61F7">
      <w:pPr>
        <w:pStyle w:val="Paragraph"/>
        <w:ind w:firstLine="0"/>
        <w:rPr>
          <w:b/>
          <w:bCs/>
        </w:rPr>
      </w:pPr>
      <w:r w:rsidRPr="00BC61F7">
        <w:rPr>
          <w:b/>
          <w:bCs/>
        </w:rPr>
        <w:t>Figure S3</w:t>
      </w:r>
    </w:p>
    <w:p w14:paraId="03E2ABA1" w14:textId="77777777" w:rsidR="00B47A0F" w:rsidRDefault="00B47A0F" w:rsidP="00B47A0F">
      <w:pPr>
        <w:rPr>
          <w:sz w:val="24"/>
        </w:rPr>
      </w:pPr>
    </w:p>
    <w:p w14:paraId="29DEF789" w14:textId="3E162BDF" w:rsidR="00B47A0F" w:rsidRDefault="0082334E" w:rsidP="00B47A0F">
      <w:pPr>
        <w:rPr>
          <w:sz w:val="24"/>
        </w:rPr>
      </w:pPr>
      <w:r>
        <w:rPr>
          <w:sz w:val="24"/>
        </w:rPr>
        <w:t xml:space="preserve"> </w:t>
      </w:r>
    </w:p>
    <w:p w14:paraId="1CCA5A56" w14:textId="19F848B8" w:rsidR="00B47A0F" w:rsidRDefault="00B47A0F" w:rsidP="00B47A0F">
      <w:pPr>
        <w:rPr>
          <w:sz w:val="24"/>
        </w:rPr>
      </w:pPr>
    </w:p>
    <w:p w14:paraId="650A8C83" w14:textId="77777777" w:rsidR="00B47A0F" w:rsidRPr="0066067C" w:rsidRDefault="00B47A0F" w:rsidP="00B47A0F">
      <w:pPr>
        <w:rPr>
          <w:sz w:val="24"/>
        </w:rPr>
      </w:pPr>
    </w:p>
    <w:p w14:paraId="69CB1783" w14:textId="640EAEB3" w:rsidR="00B47A0F" w:rsidRPr="0066067C" w:rsidRDefault="00B47A0F" w:rsidP="00B47A0F">
      <w:pPr>
        <w:rPr>
          <w:sz w:val="24"/>
        </w:rPr>
      </w:pPr>
      <w:r w:rsidRPr="0066067C">
        <w:rPr>
          <w:sz w:val="24"/>
        </w:rPr>
        <w:t xml:space="preserve"> </w:t>
      </w:r>
      <w:r w:rsidR="009E710E">
        <w:rPr>
          <w:noProof/>
        </w:rPr>
        <w:drawing>
          <wp:inline distT="0" distB="0" distL="0" distR="0" wp14:anchorId="4DFA2934" wp14:editId="131C834D">
            <wp:extent cx="4877881" cy="3556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3" cy="355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E724" w14:textId="77777777" w:rsidR="00B47A0F" w:rsidRPr="0066067C" w:rsidRDefault="00B47A0F" w:rsidP="00B47A0F">
      <w:pPr>
        <w:rPr>
          <w:sz w:val="24"/>
        </w:rPr>
      </w:pPr>
    </w:p>
    <w:p w14:paraId="3F9A5D1F" w14:textId="77777777" w:rsidR="00BC61F7" w:rsidRPr="00BC61F7" w:rsidRDefault="00BC61F7" w:rsidP="00BC61F7">
      <w:pPr>
        <w:pStyle w:val="Paragraph"/>
        <w:ind w:firstLine="0"/>
        <w:rPr>
          <w:b/>
          <w:bCs/>
        </w:rPr>
      </w:pPr>
      <w:r w:rsidRPr="00BC61F7">
        <w:rPr>
          <w:b/>
          <w:bCs/>
        </w:rPr>
        <w:t>Figure S1</w:t>
      </w:r>
    </w:p>
    <w:p w14:paraId="19CD5CDD" w14:textId="59263B9A" w:rsidR="00B47A0F" w:rsidRPr="0066067C" w:rsidRDefault="00B47A0F" w:rsidP="00B47A0F">
      <w:pPr>
        <w:tabs>
          <w:tab w:val="left" w:pos="5589"/>
        </w:tabs>
        <w:rPr>
          <w:sz w:val="24"/>
        </w:rPr>
      </w:pPr>
      <w:r>
        <w:rPr>
          <w:sz w:val="24"/>
        </w:rPr>
        <w:t>(</w:t>
      </w:r>
      <w:r w:rsidR="009E710E">
        <w:rPr>
          <w:sz w:val="24"/>
        </w:rPr>
        <w:t>a</w:t>
      </w:r>
      <w:r w:rsidRPr="0066067C">
        <w:rPr>
          <w:sz w:val="24"/>
        </w:rPr>
        <w:t>) Total KA doses administered to rats in the vehicle and DMF treatment groups (</w:t>
      </w:r>
      <w:r>
        <w:rPr>
          <w:sz w:val="24"/>
        </w:rPr>
        <w:t>about</w:t>
      </w:r>
      <w:r w:rsidRPr="0066067C">
        <w:rPr>
          <w:sz w:val="24"/>
        </w:rPr>
        <w:t xml:space="preserve"> Figure 4). No difference was detected between </w:t>
      </w:r>
      <w:r>
        <w:rPr>
          <w:sz w:val="24"/>
        </w:rPr>
        <w:t xml:space="preserve">the </w:t>
      </w:r>
      <w:r w:rsidRPr="0066067C">
        <w:rPr>
          <w:sz w:val="24"/>
        </w:rPr>
        <w:t>groups.</w:t>
      </w:r>
    </w:p>
    <w:p w14:paraId="767038F6" w14:textId="78BA0D09" w:rsidR="00B47A0F" w:rsidRDefault="00B47A0F" w:rsidP="00B47A0F">
      <w:pPr>
        <w:tabs>
          <w:tab w:val="left" w:pos="5589"/>
        </w:tabs>
        <w:jc w:val="both"/>
        <w:rPr>
          <w:sz w:val="24"/>
        </w:rPr>
      </w:pPr>
      <w:r>
        <w:rPr>
          <w:sz w:val="24"/>
        </w:rPr>
        <w:t>(</w:t>
      </w:r>
      <w:r w:rsidR="009E710E">
        <w:rPr>
          <w:sz w:val="24"/>
        </w:rPr>
        <w:t>a</w:t>
      </w:r>
      <w:r w:rsidRPr="0066067C">
        <w:rPr>
          <w:sz w:val="24"/>
        </w:rPr>
        <w:t>) The duration of SE as recorded by E</w:t>
      </w:r>
      <w:r>
        <w:rPr>
          <w:sz w:val="24"/>
        </w:rPr>
        <w:t>C</w:t>
      </w:r>
      <w:r w:rsidRPr="0066067C">
        <w:rPr>
          <w:sz w:val="24"/>
        </w:rPr>
        <w:t xml:space="preserve">oG device in animals in </w:t>
      </w:r>
      <w:r>
        <w:rPr>
          <w:sz w:val="24"/>
        </w:rPr>
        <w:t>(</w:t>
      </w:r>
      <w:r w:rsidR="009E710E">
        <w:rPr>
          <w:sz w:val="24"/>
        </w:rPr>
        <w:t>a</w:t>
      </w:r>
      <w:r>
        <w:rPr>
          <w:sz w:val="24"/>
        </w:rPr>
        <w:t>).</w:t>
      </w:r>
    </w:p>
    <w:p w14:paraId="4A463BCA" w14:textId="77777777" w:rsidR="00B47A0F" w:rsidRPr="0066067C" w:rsidRDefault="00B47A0F" w:rsidP="00B47A0F">
      <w:pPr>
        <w:jc w:val="both"/>
        <w:rPr>
          <w:sz w:val="24"/>
        </w:rPr>
      </w:pPr>
      <w:r w:rsidRPr="0066067C">
        <w:rPr>
          <w:color w:val="000000"/>
          <w:sz w:val="24"/>
        </w:rPr>
        <w:t>Data are displayed as the mean ±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SEM</w:t>
      </w:r>
      <w:r>
        <w:rPr>
          <w:color w:val="000000"/>
          <w:sz w:val="24"/>
        </w:rPr>
        <w:t xml:space="preserve">. </w:t>
      </w:r>
      <w:r>
        <w:rPr>
          <w:sz w:val="24"/>
        </w:rPr>
        <w:t xml:space="preserve">A: </w:t>
      </w:r>
      <w:r w:rsidRPr="0066067C">
        <w:rPr>
          <w:sz w:val="24"/>
        </w:rPr>
        <w:t>P=0.6435</w:t>
      </w:r>
      <w:r>
        <w:rPr>
          <w:sz w:val="24"/>
        </w:rPr>
        <w:t>; B:</w:t>
      </w:r>
      <w:r w:rsidRPr="0066067C">
        <w:rPr>
          <w:sz w:val="24"/>
        </w:rPr>
        <w:t xml:space="preserve"> P</w:t>
      </w:r>
      <w:r>
        <w:rPr>
          <w:sz w:val="24"/>
        </w:rPr>
        <w:t xml:space="preserve"> </w:t>
      </w:r>
      <w:r w:rsidRPr="0066067C">
        <w:rPr>
          <w:sz w:val="24"/>
        </w:rPr>
        <w:t>= 0.3408)</w:t>
      </w:r>
      <w:r w:rsidRPr="00B833E9"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analyzed by students’ unpaired t-test</w:t>
      </w:r>
    </w:p>
    <w:p w14:paraId="03708921" w14:textId="60BD7D57" w:rsidR="00B47A0F" w:rsidRDefault="00B47A0F" w:rsidP="00B47A0F">
      <w:pPr>
        <w:tabs>
          <w:tab w:val="left" w:pos="5589"/>
        </w:tabs>
        <w:rPr>
          <w:sz w:val="24"/>
        </w:rPr>
      </w:pPr>
    </w:p>
    <w:p w14:paraId="607E6731" w14:textId="77777777" w:rsidR="00B47A0F" w:rsidRPr="0066067C" w:rsidRDefault="00B47A0F" w:rsidP="00B47A0F">
      <w:pPr>
        <w:tabs>
          <w:tab w:val="left" w:pos="5589"/>
        </w:tabs>
        <w:rPr>
          <w:sz w:val="24"/>
        </w:rPr>
      </w:pPr>
    </w:p>
    <w:p w14:paraId="0F497B2D" w14:textId="2C73903C" w:rsidR="00B47A0F" w:rsidRPr="0066067C" w:rsidRDefault="009E710E" w:rsidP="00B47A0F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3FE1211B" wp14:editId="1F5ACC43">
            <wp:extent cx="5731510" cy="44354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72C11" w14:textId="44915DA0" w:rsidR="00B47A0F" w:rsidRPr="0066067C" w:rsidRDefault="00BC61F7" w:rsidP="00BC61F7">
      <w:pPr>
        <w:pStyle w:val="Paragraph"/>
        <w:ind w:firstLine="0"/>
        <w:rPr>
          <w:b/>
          <w:color w:val="000000"/>
        </w:rPr>
      </w:pPr>
      <w:r w:rsidRPr="00BC61F7">
        <w:rPr>
          <w:b/>
          <w:bCs/>
        </w:rPr>
        <w:t>Figure S</w:t>
      </w:r>
      <w:r>
        <w:rPr>
          <w:b/>
          <w:bCs/>
        </w:rPr>
        <w:t xml:space="preserve">2. </w:t>
      </w:r>
      <w:r w:rsidR="00B47A0F" w:rsidRPr="0066067C">
        <w:rPr>
          <w:b/>
          <w:color w:val="000000"/>
        </w:rPr>
        <w:t>Protein expression of Nrf2-related genes in the cortex</w:t>
      </w:r>
    </w:p>
    <w:p w14:paraId="5B323CED" w14:textId="321A4248" w:rsidR="00B47A0F" w:rsidRPr="0066067C" w:rsidRDefault="00B47A0F" w:rsidP="00B47A0F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</w:t>
      </w:r>
      <w:r w:rsidR="009E710E">
        <w:rPr>
          <w:color w:val="000000"/>
          <w:sz w:val="24"/>
        </w:rPr>
        <w:t>a</w:t>
      </w:r>
      <w:r w:rsidRPr="0066067C">
        <w:rPr>
          <w:color w:val="000000"/>
          <w:sz w:val="24"/>
        </w:rPr>
        <w:t>) Representative western blots of the Nrf2 downstream genes NQO1, HO-1</w:t>
      </w:r>
      <w:r>
        <w:rPr>
          <w:color w:val="000000"/>
          <w:sz w:val="24"/>
        </w:rPr>
        <w:t>,</w:t>
      </w:r>
      <w:r w:rsidRPr="0066067C">
        <w:rPr>
          <w:color w:val="000000"/>
          <w:sz w:val="24"/>
        </w:rPr>
        <w:t xml:space="preserve"> and GCLC-1 in the cortex of sham rats (n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=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6), as well as rats subjected to KA-SE and treated with either Vehicle (n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=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6) or DMF (n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=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6).</w:t>
      </w:r>
    </w:p>
    <w:p w14:paraId="31582524" w14:textId="59D97CAD" w:rsidR="00B47A0F" w:rsidRPr="0066067C" w:rsidRDefault="00B47A0F" w:rsidP="00B47A0F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</w:t>
      </w:r>
      <w:r w:rsidR="009E710E">
        <w:rPr>
          <w:color w:val="000000"/>
          <w:sz w:val="24"/>
        </w:rPr>
        <w:t>b</w:t>
      </w:r>
      <w:r>
        <w:rPr>
          <w:color w:val="000000"/>
          <w:sz w:val="24"/>
        </w:rPr>
        <w:t>-</w:t>
      </w:r>
      <w:r w:rsidR="009E710E">
        <w:rPr>
          <w:color w:val="000000"/>
          <w:sz w:val="24"/>
        </w:rPr>
        <w:t>d</w:t>
      </w:r>
      <w:r w:rsidRPr="0066067C">
        <w:rPr>
          <w:color w:val="000000"/>
          <w:sz w:val="24"/>
        </w:rPr>
        <w:t xml:space="preserve">) Quantification of western blot results in </w:t>
      </w:r>
      <w:r>
        <w:rPr>
          <w:color w:val="000000"/>
          <w:sz w:val="24"/>
        </w:rPr>
        <w:t>(A)</w:t>
      </w:r>
      <w:r w:rsidRPr="0066067C">
        <w:rPr>
          <w:color w:val="000000"/>
          <w:sz w:val="24"/>
        </w:rPr>
        <w:t xml:space="preserve">. </w:t>
      </w:r>
    </w:p>
    <w:p w14:paraId="1D95B623" w14:textId="77777777" w:rsidR="00B47A0F" w:rsidRPr="0066067C" w:rsidRDefault="00B47A0F" w:rsidP="00B47A0F">
      <w:pPr>
        <w:jc w:val="both"/>
        <w:rPr>
          <w:color w:val="000000"/>
          <w:sz w:val="24"/>
        </w:rPr>
      </w:pPr>
      <w:r w:rsidRPr="0066067C">
        <w:rPr>
          <w:color w:val="000000"/>
          <w:sz w:val="24"/>
        </w:rPr>
        <w:t>Data are displayed as the mean ±</w:t>
      </w:r>
      <w:r>
        <w:rPr>
          <w:color w:val="000000"/>
          <w:sz w:val="24"/>
        </w:rPr>
        <w:t xml:space="preserve"> </w:t>
      </w:r>
      <w:r w:rsidRPr="0066067C">
        <w:rPr>
          <w:color w:val="000000"/>
          <w:sz w:val="24"/>
        </w:rPr>
        <w:t>SEM, analyzed by one-way ANOVA followed by Tukey </w:t>
      </w:r>
      <w:proofErr w:type="spellStart"/>
      <w:r>
        <w:rPr>
          <w:color w:val="000000"/>
          <w:sz w:val="24"/>
        </w:rPr>
        <w:t>posthoc</w:t>
      </w:r>
      <w:proofErr w:type="spellEnd"/>
      <w:r w:rsidRPr="0066067C">
        <w:rPr>
          <w:color w:val="000000"/>
          <w:sz w:val="24"/>
        </w:rPr>
        <w:t> test.</w:t>
      </w:r>
      <w:r>
        <w:rPr>
          <w:color w:val="000000"/>
          <w:sz w:val="24"/>
        </w:rPr>
        <w:t xml:space="preserve"> </w:t>
      </w:r>
      <w:r w:rsidRPr="00F30BB0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P </w:t>
      </w:r>
      <w:r w:rsidRPr="00F30BB0">
        <w:rPr>
          <w:sz w:val="24"/>
          <w:szCs w:val="24"/>
        </w:rPr>
        <w:t>&lt; 0.05</w:t>
      </w:r>
      <w:r>
        <w:rPr>
          <w:sz w:val="24"/>
          <w:szCs w:val="24"/>
        </w:rPr>
        <w:t xml:space="preserve">; </w:t>
      </w:r>
      <w:r w:rsidRPr="00F30BB0">
        <w:rPr>
          <w:sz w:val="24"/>
          <w:szCs w:val="24"/>
        </w:rPr>
        <w:t>**</w:t>
      </w:r>
      <w:r>
        <w:rPr>
          <w:sz w:val="24"/>
          <w:szCs w:val="24"/>
        </w:rPr>
        <w:t xml:space="preserve"> P</w:t>
      </w:r>
      <w:r w:rsidRPr="00F30BB0">
        <w:rPr>
          <w:sz w:val="24"/>
          <w:szCs w:val="24"/>
        </w:rPr>
        <w:t xml:space="preserve"> &lt; 0.0</w:t>
      </w:r>
      <w:r>
        <w:rPr>
          <w:sz w:val="24"/>
          <w:szCs w:val="24"/>
        </w:rPr>
        <w:t xml:space="preserve">1; </w:t>
      </w:r>
      <w:r w:rsidRPr="00F30BB0">
        <w:rPr>
          <w:sz w:val="24"/>
          <w:szCs w:val="24"/>
        </w:rPr>
        <w:t>*** &lt; 0.0</w:t>
      </w:r>
      <w:r>
        <w:rPr>
          <w:sz w:val="24"/>
          <w:szCs w:val="24"/>
        </w:rPr>
        <w:t>01.</w:t>
      </w:r>
      <w:r w:rsidRPr="0066067C">
        <w:rPr>
          <w:color w:val="000000"/>
          <w:sz w:val="24"/>
        </w:rPr>
        <w:t xml:space="preserve">  </w:t>
      </w:r>
    </w:p>
    <w:p w14:paraId="13793150" w14:textId="5DE62DF5" w:rsidR="00B47A0F" w:rsidRDefault="00B47A0F" w:rsidP="00B47A0F">
      <w:pPr>
        <w:rPr>
          <w:noProof/>
        </w:rPr>
      </w:pPr>
    </w:p>
    <w:p w14:paraId="627DEC77" w14:textId="176E09A2" w:rsidR="009E710E" w:rsidRPr="0066067C" w:rsidRDefault="009E710E" w:rsidP="00B47A0F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0932637E" wp14:editId="2A50281D">
            <wp:extent cx="5731510" cy="44119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58050" w14:textId="4300A884" w:rsidR="00B47A0F" w:rsidRPr="00BC61F7" w:rsidRDefault="00BC61F7" w:rsidP="00BC61F7">
      <w:pPr>
        <w:pStyle w:val="Paragraph"/>
        <w:ind w:firstLine="0"/>
        <w:rPr>
          <w:b/>
          <w:bCs/>
        </w:rPr>
      </w:pPr>
      <w:r w:rsidRPr="00BC61F7">
        <w:rPr>
          <w:b/>
          <w:bCs/>
        </w:rPr>
        <w:t>Figure S</w:t>
      </w:r>
      <w:r>
        <w:rPr>
          <w:b/>
          <w:bCs/>
        </w:rPr>
        <w:t>3</w:t>
      </w:r>
      <w:r w:rsidR="00B47A0F" w:rsidRPr="0066067C">
        <w:rPr>
          <w:b/>
          <w:color w:val="000000"/>
        </w:rPr>
        <w:t>. Protein expression of Nrf2-related genes in the hippocampus.</w:t>
      </w:r>
    </w:p>
    <w:p w14:paraId="6FF84404" w14:textId="3A357DF5" w:rsidR="00B47A0F" w:rsidRPr="0066067C" w:rsidRDefault="00B47A0F" w:rsidP="00B47A0F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</w:t>
      </w:r>
      <w:r w:rsidR="009E710E">
        <w:rPr>
          <w:color w:val="000000"/>
          <w:sz w:val="24"/>
        </w:rPr>
        <w:t>a</w:t>
      </w:r>
      <w:r w:rsidRPr="0066067C">
        <w:rPr>
          <w:color w:val="000000"/>
          <w:sz w:val="24"/>
        </w:rPr>
        <w:t>) Representative western blots of the Nrf2 downstream genes NQO1, HO-1, and GCLC-1 in the hippocampus of sham rats (n=6), as well as rats subjected to KA-SE and treated with either Vehicle (n=6) or DMF (n=6).</w:t>
      </w:r>
    </w:p>
    <w:p w14:paraId="22564E2F" w14:textId="048CB1D1" w:rsidR="00B47A0F" w:rsidRPr="0066067C" w:rsidRDefault="00B47A0F" w:rsidP="00B47A0F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</w:t>
      </w:r>
      <w:r w:rsidR="009E710E">
        <w:rPr>
          <w:color w:val="000000"/>
          <w:sz w:val="24"/>
        </w:rPr>
        <w:t>b</w:t>
      </w:r>
      <w:r>
        <w:rPr>
          <w:color w:val="000000"/>
          <w:sz w:val="24"/>
        </w:rPr>
        <w:t>-</w:t>
      </w:r>
      <w:r w:rsidR="009E710E">
        <w:rPr>
          <w:color w:val="000000"/>
          <w:sz w:val="24"/>
        </w:rPr>
        <w:t>d</w:t>
      </w:r>
      <w:r w:rsidRPr="0066067C">
        <w:rPr>
          <w:color w:val="000000"/>
          <w:sz w:val="24"/>
        </w:rPr>
        <w:t xml:space="preserve">) Quantification of western blot results in </w:t>
      </w:r>
      <w:r>
        <w:rPr>
          <w:color w:val="000000"/>
          <w:sz w:val="24"/>
        </w:rPr>
        <w:t>(A)</w:t>
      </w:r>
      <w:r w:rsidRPr="0066067C">
        <w:rPr>
          <w:color w:val="000000"/>
          <w:sz w:val="24"/>
        </w:rPr>
        <w:t xml:space="preserve">. </w:t>
      </w:r>
    </w:p>
    <w:p w14:paraId="640216F2" w14:textId="77777777" w:rsidR="00B47A0F" w:rsidRPr="0066067C" w:rsidRDefault="00B47A0F" w:rsidP="00B47A0F">
      <w:pPr>
        <w:jc w:val="both"/>
        <w:rPr>
          <w:color w:val="000000"/>
          <w:sz w:val="24"/>
        </w:rPr>
      </w:pPr>
      <w:r w:rsidRPr="0066067C">
        <w:rPr>
          <w:color w:val="000000"/>
          <w:sz w:val="24"/>
        </w:rPr>
        <w:t>Data are displayed as the mean ±SEM, analyzed by one-way ANOVA followed by Tukey </w:t>
      </w:r>
      <w:proofErr w:type="spellStart"/>
      <w:r>
        <w:rPr>
          <w:color w:val="000000"/>
          <w:sz w:val="24"/>
        </w:rPr>
        <w:t>posthoc</w:t>
      </w:r>
      <w:proofErr w:type="spellEnd"/>
      <w:r w:rsidRPr="0066067C">
        <w:rPr>
          <w:color w:val="000000"/>
          <w:sz w:val="24"/>
        </w:rPr>
        <w:t> test.</w:t>
      </w:r>
      <w:r>
        <w:rPr>
          <w:color w:val="000000"/>
          <w:sz w:val="24"/>
        </w:rPr>
        <w:t xml:space="preserve"> </w:t>
      </w:r>
      <w:r w:rsidRPr="00F30BB0">
        <w:rPr>
          <w:sz w:val="24"/>
          <w:szCs w:val="24"/>
        </w:rPr>
        <w:t>**</w:t>
      </w:r>
      <w:r>
        <w:rPr>
          <w:sz w:val="24"/>
          <w:szCs w:val="24"/>
        </w:rPr>
        <w:t xml:space="preserve"> P</w:t>
      </w:r>
      <w:r w:rsidRPr="00F30BB0">
        <w:rPr>
          <w:sz w:val="24"/>
          <w:szCs w:val="24"/>
        </w:rPr>
        <w:t xml:space="preserve"> &lt; 0.0</w:t>
      </w:r>
      <w:r>
        <w:rPr>
          <w:sz w:val="24"/>
          <w:szCs w:val="24"/>
        </w:rPr>
        <w:t>1.</w:t>
      </w:r>
      <w:r w:rsidRPr="0066067C">
        <w:rPr>
          <w:color w:val="000000"/>
          <w:sz w:val="24"/>
        </w:rPr>
        <w:t xml:space="preserve">   </w:t>
      </w:r>
    </w:p>
    <w:p w14:paraId="252C877A" w14:textId="77777777" w:rsidR="00B47A0F" w:rsidRPr="0066067C" w:rsidRDefault="00B47A0F" w:rsidP="00B47A0F">
      <w:pPr>
        <w:rPr>
          <w:color w:val="000000"/>
          <w:sz w:val="24"/>
        </w:rPr>
      </w:pPr>
    </w:p>
    <w:p w14:paraId="63D3FEA5" w14:textId="77777777" w:rsidR="00C46CCB" w:rsidRDefault="00C46CCB"/>
    <w:sectPr w:rsidR="00C46C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436B" w14:textId="77777777" w:rsidR="00F02C10" w:rsidRDefault="00F02C10" w:rsidP="00C46CCB">
      <w:r>
        <w:separator/>
      </w:r>
    </w:p>
  </w:endnote>
  <w:endnote w:type="continuationSeparator" w:id="0">
    <w:p w14:paraId="39FA42D9" w14:textId="77777777" w:rsidR="00F02C10" w:rsidRDefault="00F02C10" w:rsidP="00C4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F1D9" w14:textId="77777777" w:rsidR="00F02C10" w:rsidRDefault="00F02C10" w:rsidP="00C46CCB">
      <w:r>
        <w:separator/>
      </w:r>
    </w:p>
  </w:footnote>
  <w:footnote w:type="continuationSeparator" w:id="0">
    <w:p w14:paraId="1A37173B" w14:textId="77777777" w:rsidR="00F02C10" w:rsidRDefault="00F02C10" w:rsidP="00C46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CB"/>
    <w:rsid w:val="00107006"/>
    <w:rsid w:val="002D107A"/>
    <w:rsid w:val="005F054A"/>
    <w:rsid w:val="00662D7C"/>
    <w:rsid w:val="008163A0"/>
    <w:rsid w:val="0082334E"/>
    <w:rsid w:val="009E710E"/>
    <w:rsid w:val="00B47A0F"/>
    <w:rsid w:val="00BC61F7"/>
    <w:rsid w:val="00BD733B"/>
    <w:rsid w:val="00C46CCB"/>
    <w:rsid w:val="00CB112C"/>
    <w:rsid w:val="00F02C10"/>
    <w:rsid w:val="00F1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FC7D"/>
  <w15:chartTrackingRefBased/>
  <w15:docId w15:val="{5A358FE3-CF44-41E2-97D4-13DD5DF0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C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C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6C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CCB"/>
    <w:rPr>
      <w:rFonts w:ascii="Times New Roman" w:eastAsia="Calibri" w:hAnsi="Times New Roman" w:cs="Times New Roman"/>
      <w:sz w:val="20"/>
      <w:szCs w:val="20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C46C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CCB"/>
    <w:rPr>
      <w:rFonts w:ascii="Times New Roman" w:eastAsia="Calibri" w:hAnsi="Times New Roman" w:cs="Times New Roman"/>
      <w:sz w:val="20"/>
      <w:szCs w:val="20"/>
      <w:lang w:val="en-US" w:bidi="ar-SA"/>
    </w:rPr>
  </w:style>
  <w:style w:type="paragraph" w:customStyle="1" w:styleId="Paragraph">
    <w:name w:val="Paragraph"/>
    <w:basedOn w:val="Normal"/>
    <w:rsid w:val="00C46CCB"/>
    <w:pPr>
      <w:spacing w:before="120"/>
      <w:ind w:firstLine="720"/>
    </w:pPr>
    <w:rPr>
      <w:rFonts w:eastAsia="Times New Roman"/>
      <w:sz w:val="24"/>
      <w:szCs w:val="24"/>
    </w:rPr>
  </w:style>
  <w:style w:type="character" w:styleId="Hyperlink">
    <w:name w:val="Hyperlink"/>
    <w:uiPriority w:val="99"/>
    <w:rsid w:val="00C46CCB"/>
    <w:rPr>
      <w:color w:val="0000FF"/>
      <w:u w:val="single"/>
    </w:rPr>
  </w:style>
  <w:style w:type="paragraph" w:customStyle="1" w:styleId="MDPI13authornames">
    <w:name w:val="MDPI_1.3_authornames"/>
    <w:basedOn w:val="Normal"/>
    <w:next w:val="Normal"/>
    <w:qFormat/>
    <w:rsid w:val="00C46CCB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225</Words>
  <Characters>1125</Characters>
  <Application>Microsoft Office Word</Application>
  <DocSecurity>0</DocSecurity>
  <Lines>9</Lines>
  <Paragraphs>2</Paragraphs>
  <ScaleCrop>false</ScaleCrop>
  <Company>Hebrew University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Tawfeeq Shekh-Ahmad</dc:creator>
  <cp:keywords/>
  <dc:description/>
  <cp:lastModifiedBy>Tawfeeq Shekh-Ahmad</cp:lastModifiedBy>
  <cp:revision>6</cp:revision>
  <dcterms:created xsi:type="dcterms:W3CDTF">2023-05-26T19:29:00Z</dcterms:created>
  <dcterms:modified xsi:type="dcterms:W3CDTF">2023-08-16T20:46:00Z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5eb5b8c6-d79e-4441-8a1d-928cc123022f</vt:lpwstr>
  </property>
</Properties>
</file>