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6AC" w:rsidRDefault="001816AC" w:rsidP="001816AC">
      <w:pPr>
        <w:widowControl/>
        <w:wordWrap/>
        <w:autoSpaceDE/>
        <w:autoSpaceDN/>
        <w:spacing w:line="480" w:lineRule="auto"/>
        <w:rPr>
          <w:rFonts w:ascii="Times New Roman" w:hAnsi="Times New Roman" w:cs="Times New Roman"/>
          <w:b/>
          <w:sz w:val="24"/>
          <w:szCs w:val="24"/>
        </w:rPr>
      </w:pPr>
      <w:r w:rsidRPr="00CF2196">
        <w:rPr>
          <w:rFonts w:ascii="Times New Roman" w:hAnsi="Times New Roman" w:cs="Times New Roman"/>
          <w:b/>
          <w:sz w:val="24"/>
          <w:szCs w:val="24"/>
        </w:rPr>
        <w:t>ABSTRACT</w:t>
      </w:r>
    </w:p>
    <w:p w:rsidR="001816AC" w:rsidRPr="00CF2196" w:rsidRDefault="001816AC" w:rsidP="001816AC">
      <w:pPr>
        <w:widowControl/>
        <w:wordWrap/>
        <w:autoSpaceDE/>
        <w:autoSpaceDN/>
        <w:spacing w:line="480" w:lineRule="auto"/>
        <w:rPr>
          <w:rFonts w:ascii="Times New Roman" w:hAnsi="Times New Roman" w:cs="Times New Roman"/>
          <w:b/>
          <w:sz w:val="24"/>
          <w:szCs w:val="24"/>
        </w:rPr>
      </w:pPr>
      <w:r>
        <w:rPr>
          <w:rFonts w:ascii="Times New Roman" w:hAnsi="Times New Roman" w:cs="Times New Roman" w:hint="eastAsia"/>
          <w:b/>
          <w:sz w:val="24"/>
          <w:szCs w:val="24"/>
        </w:rPr>
        <w:t>Background</w:t>
      </w:r>
    </w:p>
    <w:p w:rsidR="001816AC" w:rsidRDefault="001816AC" w:rsidP="001816AC">
      <w:pPr>
        <w:wordWrap/>
        <w:spacing w:line="480" w:lineRule="auto"/>
        <w:rPr>
          <w:rFonts w:ascii="Times New Roman" w:hAnsi="Times New Roman" w:cs="Times New Roman"/>
          <w:sz w:val="24"/>
          <w:szCs w:val="24"/>
        </w:rPr>
      </w:pPr>
      <w:proofErr w:type="spellStart"/>
      <w:r w:rsidRPr="00CF2196">
        <w:rPr>
          <w:rFonts w:ascii="Times New Roman" w:hAnsi="Times New Roman" w:cs="Times New Roman"/>
          <w:sz w:val="24"/>
          <w:szCs w:val="24"/>
        </w:rPr>
        <w:t>Infliximab</w:t>
      </w:r>
      <w:proofErr w:type="spellEnd"/>
      <w:r w:rsidRPr="00CF2196">
        <w:rPr>
          <w:rFonts w:ascii="Times New Roman" w:hAnsi="Times New Roman" w:cs="Times New Roman"/>
          <w:sz w:val="24"/>
          <w:szCs w:val="24"/>
        </w:rPr>
        <w:t xml:space="preserve"> (IFX), a TNF-α blocking </w:t>
      </w:r>
      <w:proofErr w:type="spellStart"/>
      <w:r w:rsidRPr="00CF2196">
        <w:rPr>
          <w:rFonts w:ascii="Times New Roman" w:hAnsi="Times New Roman" w:cs="Times New Roman"/>
          <w:sz w:val="24"/>
          <w:szCs w:val="24"/>
        </w:rPr>
        <w:t>chimeric</w:t>
      </w:r>
      <w:proofErr w:type="spellEnd"/>
      <w:r w:rsidRPr="00CF2196">
        <w:rPr>
          <w:rFonts w:ascii="Times New Roman" w:hAnsi="Times New Roman" w:cs="Times New Roman"/>
          <w:sz w:val="24"/>
          <w:szCs w:val="24"/>
        </w:rPr>
        <w:t xml:space="preserve"> monoclonal antibody, induces clinical response and mucosal healing in patients with inflammatory bowel disease (IBD). However, systemic administration of this agent causes unwanted side effects. Oral delivery of antibody therapeutics might be an effective treatment strategy for IBD compared to intravenous administration. </w:t>
      </w:r>
    </w:p>
    <w:p w:rsidR="001816AC" w:rsidRPr="001816AC" w:rsidRDefault="001816AC" w:rsidP="001816AC">
      <w:pPr>
        <w:wordWrap/>
        <w:spacing w:line="480" w:lineRule="auto"/>
        <w:rPr>
          <w:rFonts w:ascii="Times New Roman" w:hAnsi="Times New Roman" w:cs="Times New Roman"/>
          <w:b/>
          <w:sz w:val="24"/>
          <w:szCs w:val="24"/>
        </w:rPr>
      </w:pPr>
      <w:r w:rsidRPr="001816AC">
        <w:rPr>
          <w:rFonts w:ascii="Times New Roman" w:hAnsi="Times New Roman" w:cs="Times New Roman" w:hint="eastAsia"/>
          <w:b/>
          <w:sz w:val="24"/>
          <w:szCs w:val="24"/>
        </w:rPr>
        <w:t>Results</w:t>
      </w:r>
    </w:p>
    <w:p w:rsidR="001816AC" w:rsidRDefault="001816AC" w:rsidP="001816AC">
      <w:pPr>
        <w:wordWrap/>
        <w:spacing w:line="480" w:lineRule="auto"/>
        <w:rPr>
          <w:rFonts w:ascii="Times New Roman" w:hAnsi="Times New Roman" w:cs="Times New Roman"/>
          <w:sz w:val="24"/>
          <w:szCs w:val="24"/>
        </w:rPr>
      </w:pPr>
      <w:r w:rsidRPr="00CF2196">
        <w:rPr>
          <w:rFonts w:ascii="Times New Roman" w:hAnsi="Times New Roman" w:cs="Times New Roman"/>
          <w:sz w:val="24"/>
          <w:szCs w:val="24"/>
        </w:rPr>
        <w:t xml:space="preserve">All three carriers had a high encapsulation efficiency, narrow size distribution, and minimal systemic exposure. There was a higher interaction between </w:t>
      </w:r>
      <w:proofErr w:type="spellStart"/>
      <w:r w:rsidRPr="00CF2196">
        <w:rPr>
          <w:rFonts w:ascii="Times New Roman" w:hAnsi="Times New Roman" w:cs="Times New Roman"/>
          <w:sz w:val="24"/>
          <w:szCs w:val="24"/>
        </w:rPr>
        <w:t>nanocomposite</w:t>
      </w:r>
      <w:proofErr w:type="spellEnd"/>
      <w:r w:rsidRPr="00CF2196">
        <w:rPr>
          <w:rFonts w:ascii="Times New Roman" w:hAnsi="Times New Roman" w:cs="Times New Roman"/>
          <w:sz w:val="24"/>
          <w:szCs w:val="24"/>
        </w:rPr>
        <w:t xml:space="preserve"> carriers and </w:t>
      </w:r>
      <w:proofErr w:type="spellStart"/>
      <w:r w:rsidRPr="00CF2196">
        <w:rPr>
          <w:rFonts w:ascii="Times New Roman" w:hAnsi="Times New Roman" w:cs="Times New Roman"/>
          <w:sz w:val="24"/>
          <w:szCs w:val="24"/>
        </w:rPr>
        <w:t>monocytes</w:t>
      </w:r>
      <w:proofErr w:type="spellEnd"/>
      <w:r w:rsidRPr="00CF2196">
        <w:rPr>
          <w:rFonts w:ascii="Times New Roman" w:hAnsi="Times New Roman" w:cs="Times New Roman"/>
          <w:sz w:val="24"/>
          <w:szCs w:val="24"/>
        </w:rPr>
        <w:t xml:space="preserve"> compared to lymphocytes in the PBMC of IBD patients. Orally administered </w:t>
      </w:r>
      <w:proofErr w:type="spellStart"/>
      <w:r w:rsidRPr="00CF2196">
        <w:rPr>
          <w:rFonts w:ascii="Times New Roman" w:hAnsi="Times New Roman" w:cs="Times New Roman"/>
          <w:sz w:val="24"/>
          <w:szCs w:val="24"/>
        </w:rPr>
        <w:t>nanocomposite</w:t>
      </w:r>
      <w:proofErr w:type="spellEnd"/>
      <w:r w:rsidRPr="00CF2196">
        <w:rPr>
          <w:rFonts w:ascii="Times New Roman" w:hAnsi="Times New Roman" w:cs="Times New Roman"/>
          <w:sz w:val="24"/>
          <w:szCs w:val="24"/>
        </w:rPr>
        <w:t xml:space="preserve"> carriers targeted to inflamed colitis minimized systemic exposure. All IFX delivery formulations with </w:t>
      </w:r>
      <w:proofErr w:type="spellStart"/>
      <w:r w:rsidRPr="00CF2196">
        <w:rPr>
          <w:rFonts w:ascii="Times New Roman" w:hAnsi="Times New Roman" w:cs="Times New Roman"/>
          <w:sz w:val="24"/>
          <w:szCs w:val="24"/>
        </w:rPr>
        <w:t>nanocomposite</w:t>
      </w:r>
      <w:proofErr w:type="spellEnd"/>
      <w:r w:rsidRPr="00CF2196">
        <w:rPr>
          <w:rFonts w:ascii="Times New Roman" w:hAnsi="Times New Roman" w:cs="Times New Roman"/>
          <w:sz w:val="24"/>
          <w:szCs w:val="24"/>
        </w:rPr>
        <w:t xml:space="preserve"> carriers had a significantly less colitis-induced body weight loss, colon shortening and </w:t>
      </w:r>
      <w:proofErr w:type="spellStart"/>
      <w:r w:rsidRPr="00CF2196">
        <w:rPr>
          <w:rFonts w:ascii="Times New Roman" w:hAnsi="Times New Roman" w:cs="Times New Roman"/>
          <w:sz w:val="24"/>
          <w:szCs w:val="24"/>
        </w:rPr>
        <w:t>histomorphological</w:t>
      </w:r>
      <w:proofErr w:type="spellEnd"/>
      <w:r w:rsidRPr="00CF2196">
        <w:rPr>
          <w:rFonts w:ascii="Times New Roman" w:hAnsi="Times New Roman" w:cs="Times New Roman"/>
          <w:sz w:val="24"/>
          <w:szCs w:val="24"/>
        </w:rPr>
        <w:t xml:space="preserve"> score, compared to the DSS-treated group. AC-IFX-L and EAC-IFX-L groups showed significantly higher improvement of the disease activity index, compared to the DSS-treated group. In addition, AC-IFX-L and EAC-IFX-L alleviated pro-inflammatory cytokine expressions (</w:t>
      </w:r>
      <w:proofErr w:type="spellStart"/>
      <w:r w:rsidRPr="00CF2196">
        <w:rPr>
          <w:rFonts w:ascii="Times New Roman" w:hAnsi="Times New Roman" w:cs="Times New Roman"/>
          <w:i/>
          <w:sz w:val="24"/>
          <w:szCs w:val="24"/>
        </w:rPr>
        <w:t>Tnfa</w:t>
      </w:r>
      <w:proofErr w:type="spellEnd"/>
      <w:r w:rsidRPr="00CF2196">
        <w:rPr>
          <w:rFonts w:ascii="Times New Roman" w:hAnsi="Times New Roman" w:cs="Times New Roman"/>
          <w:sz w:val="24"/>
          <w:szCs w:val="24"/>
        </w:rPr>
        <w:t xml:space="preserve">, </w:t>
      </w:r>
      <w:r w:rsidRPr="00CF2196">
        <w:rPr>
          <w:rFonts w:ascii="Times New Roman" w:hAnsi="Times New Roman" w:cs="Times New Roman"/>
          <w:i/>
          <w:sz w:val="24"/>
          <w:szCs w:val="24"/>
        </w:rPr>
        <w:t>Il1b</w:t>
      </w:r>
      <w:r w:rsidRPr="00CF2196">
        <w:rPr>
          <w:rFonts w:ascii="Times New Roman" w:hAnsi="Times New Roman" w:cs="Times New Roman"/>
          <w:sz w:val="24"/>
          <w:szCs w:val="24"/>
        </w:rPr>
        <w:t>,</w:t>
      </w:r>
      <w:r w:rsidRPr="00CF2196">
        <w:rPr>
          <w:rFonts w:ascii="Times New Roman" w:hAnsi="Times New Roman" w:cs="Times New Roman"/>
          <w:i/>
          <w:sz w:val="24"/>
          <w:szCs w:val="24"/>
        </w:rPr>
        <w:t xml:space="preserve"> </w:t>
      </w:r>
      <w:r w:rsidRPr="00CF2196">
        <w:rPr>
          <w:rFonts w:ascii="Times New Roman" w:hAnsi="Times New Roman" w:cs="Times New Roman"/>
          <w:sz w:val="24"/>
          <w:szCs w:val="24"/>
        </w:rPr>
        <w:t xml:space="preserve">and </w:t>
      </w:r>
      <w:r w:rsidRPr="00CF2196">
        <w:rPr>
          <w:rFonts w:ascii="Times New Roman" w:hAnsi="Times New Roman" w:cs="Times New Roman"/>
          <w:i/>
          <w:sz w:val="24"/>
          <w:szCs w:val="24"/>
        </w:rPr>
        <w:t>Il17</w:t>
      </w:r>
      <w:r w:rsidRPr="00CF2196">
        <w:rPr>
          <w:rFonts w:ascii="Times New Roman" w:hAnsi="Times New Roman" w:cs="Times New Roman"/>
          <w:sz w:val="24"/>
          <w:szCs w:val="24"/>
        </w:rPr>
        <w:t xml:space="preserve">). </w:t>
      </w:r>
    </w:p>
    <w:p w:rsidR="001816AC" w:rsidRPr="001816AC" w:rsidRDefault="001816AC" w:rsidP="001816AC">
      <w:pPr>
        <w:wordWrap/>
        <w:spacing w:line="480" w:lineRule="auto"/>
        <w:rPr>
          <w:rFonts w:ascii="Times New Roman" w:hAnsi="Times New Roman" w:cs="Times New Roman"/>
          <w:b/>
          <w:sz w:val="24"/>
          <w:szCs w:val="24"/>
        </w:rPr>
      </w:pPr>
      <w:r w:rsidRPr="001816AC">
        <w:rPr>
          <w:rFonts w:ascii="Times New Roman" w:hAnsi="Times New Roman" w:cs="Times New Roman" w:hint="eastAsia"/>
          <w:b/>
          <w:sz w:val="24"/>
          <w:szCs w:val="24"/>
        </w:rPr>
        <w:t>Conclusion</w:t>
      </w:r>
    </w:p>
    <w:p w:rsidR="001816AC" w:rsidRPr="00CF2196" w:rsidRDefault="001816AC" w:rsidP="001816AC">
      <w:pPr>
        <w:wordWrap/>
        <w:spacing w:line="480" w:lineRule="auto"/>
        <w:rPr>
          <w:rFonts w:ascii="Times New Roman" w:hAnsi="Times New Roman" w:cs="Times New Roman"/>
          <w:sz w:val="24"/>
          <w:szCs w:val="24"/>
        </w:rPr>
      </w:pPr>
      <w:r w:rsidRPr="00CF2196">
        <w:rPr>
          <w:rFonts w:ascii="Times New Roman" w:hAnsi="Times New Roman" w:cs="Times New Roman"/>
          <w:sz w:val="24"/>
          <w:szCs w:val="24"/>
        </w:rPr>
        <w:t xml:space="preserve">We present orally administered antibody delivery systems which improved efficacy in </w:t>
      </w:r>
      <w:proofErr w:type="spellStart"/>
      <w:r w:rsidRPr="00CF2196">
        <w:rPr>
          <w:rFonts w:ascii="Times New Roman" w:hAnsi="Times New Roman" w:cs="Times New Roman"/>
          <w:sz w:val="24"/>
          <w:szCs w:val="24"/>
        </w:rPr>
        <w:t>murine</w:t>
      </w:r>
      <w:proofErr w:type="spellEnd"/>
      <w:r w:rsidRPr="00CF2196">
        <w:rPr>
          <w:rFonts w:ascii="Times New Roman" w:hAnsi="Times New Roman" w:cs="Times New Roman"/>
          <w:sz w:val="24"/>
          <w:szCs w:val="24"/>
        </w:rPr>
        <w:t xml:space="preserve"> colitis while reducing systemic exposure. These oral delivery systems suggest a promising therapeutic approach for treating IBD.</w:t>
      </w:r>
    </w:p>
    <w:p w:rsidR="001816AC" w:rsidRPr="00CF2196" w:rsidRDefault="001816AC" w:rsidP="001816AC">
      <w:pPr>
        <w:wordWrap/>
        <w:spacing w:line="480" w:lineRule="auto"/>
        <w:rPr>
          <w:rFonts w:ascii="Times New Roman" w:hAnsi="Times New Roman" w:cs="Times New Roman"/>
          <w:sz w:val="24"/>
          <w:szCs w:val="24"/>
        </w:rPr>
      </w:pPr>
      <w:r w:rsidRPr="00CF2196">
        <w:rPr>
          <w:rFonts w:ascii="Times New Roman" w:hAnsi="Times New Roman" w:cs="Times New Roman"/>
          <w:sz w:val="24"/>
          <w:szCs w:val="24"/>
        </w:rPr>
        <w:t xml:space="preserve"> </w:t>
      </w:r>
    </w:p>
    <w:p w:rsidR="001816AC" w:rsidRPr="00CF2196" w:rsidRDefault="001816AC" w:rsidP="001816AC">
      <w:pPr>
        <w:wordWrap/>
        <w:spacing w:line="480" w:lineRule="auto"/>
        <w:rPr>
          <w:rFonts w:ascii="Times New Roman" w:hAnsi="Times New Roman" w:cs="Times New Roman"/>
          <w:sz w:val="24"/>
          <w:szCs w:val="24"/>
        </w:rPr>
      </w:pPr>
      <w:r w:rsidRPr="00CF2196">
        <w:rPr>
          <w:rFonts w:ascii="Times New Roman" w:hAnsi="Times New Roman" w:cs="Times New Roman"/>
          <w:b/>
          <w:sz w:val="24"/>
          <w:szCs w:val="24"/>
        </w:rPr>
        <w:t>Key Words:</w:t>
      </w:r>
      <w:r w:rsidRPr="00CF2196">
        <w:rPr>
          <w:rFonts w:ascii="Times New Roman" w:hAnsi="Times New Roman" w:cs="Times New Roman"/>
          <w:sz w:val="24"/>
          <w:szCs w:val="24"/>
        </w:rPr>
        <w:t xml:space="preserve"> Inflammatory bowel disease, </w:t>
      </w:r>
      <w:proofErr w:type="spellStart"/>
      <w:r w:rsidRPr="00CF2196">
        <w:rPr>
          <w:rFonts w:ascii="Times New Roman" w:hAnsi="Times New Roman" w:cs="Times New Roman"/>
          <w:sz w:val="24"/>
          <w:szCs w:val="24"/>
        </w:rPr>
        <w:t>Infliximab</w:t>
      </w:r>
      <w:proofErr w:type="spellEnd"/>
      <w:r w:rsidRPr="00CF2196">
        <w:rPr>
          <w:rFonts w:ascii="Times New Roman" w:hAnsi="Times New Roman" w:cs="Times New Roman"/>
          <w:sz w:val="24"/>
          <w:szCs w:val="24"/>
        </w:rPr>
        <w:t xml:space="preserve">, </w:t>
      </w:r>
      <w:proofErr w:type="spellStart"/>
      <w:r w:rsidRPr="00CF2196">
        <w:rPr>
          <w:rFonts w:ascii="Times New Roman" w:hAnsi="Times New Roman" w:cs="Times New Roman"/>
          <w:sz w:val="24"/>
          <w:szCs w:val="24"/>
        </w:rPr>
        <w:t>Nanocomposite</w:t>
      </w:r>
      <w:proofErr w:type="spellEnd"/>
      <w:r w:rsidRPr="00CF2196">
        <w:rPr>
          <w:rFonts w:ascii="Times New Roman" w:hAnsi="Times New Roman" w:cs="Times New Roman"/>
          <w:sz w:val="24"/>
          <w:szCs w:val="24"/>
        </w:rPr>
        <w:t xml:space="preserve"> carrier, Oral delivery system</w:t>
      </w:r>
    </w:p>
    <w:p w:rsidR="0060715A" w:rsidRDefault="0070670C"/>
    <w:p w:rsidR="001816AC" w:rsidRPr="001816AC" w:rsidRDefault="001816AC">
      <w:r w:rsidRPr="001816AC">
        <w:rPr>
          <w:noProof/>
        </w:rPr>
        <w:lastRenderedPageBreak/>
        <w:drawing>
          <wp:inline distT="0" distB="0" distL="0" distR="0">
            <wp:extent cx="5731510" cy="4094723"/>
            <wp:effectExtent l="19050" t="0" r="2540" b="0"/>
            <wp:docPr id="1" name="그림 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6"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a:xfrm>
                      <a:off x="0" y="0"/>
                      <a:ext cx="5731510" cy="4094723"/>
                    </a:xfrm>
                    <a:prstGeom prst="rect">
                      <a:avLst/>
                    </a:prstGeom>
                  </pic:spPr>
                </pic:pic>
              </a:graphicData>
            </a:graphic>
          </wp:inline>
        </w:drawing>
      </w:r>
    </w:p>
    <w:sectPr w:rsidR="001816AC" w:rsidRPr="001816AC" w:rsidSect="003E49E6">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670C" w:rsidRDefault="0070670C" w:rsidP="00B32DB5">
      <w:r>
        <w:separator/>
      </w:r>
    </w:p>
  </w:endnote>
  <w:endnote w:type="continuationSeparator" w:id="0">
    <w:p w:rsidR="0070670C" w:rsidRDefault="0070670C" w:rsidP="00B32DB5">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670C" w:rsidRDefault="0070670C" w:rsidP="00B32DB5">
      <w:r>
        <w:separator/>
      </w:r>
    </w:p>
  </w:footnote>
  <w:footnote w:type="continuationSeparator" w:id="0">
    <w:p w:rsidR="0070670C" w:rsidRDefault="0070670C" w:rsidP="00B32D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816AC"/>
    <w:rsid w:val="001816AC"/>
    <w:rsid w:val="0029403B"/>
    <w:rsid w:val="00332466"/>
    <w:rsid w:val="003E49E6"/>
    <w:rsid w:val="00520B99"/>
    <w:rsid w:val="0070670C"/>
    <w:rsid w:val="00B32DB5"/>
    <w:rsid w:val="00BD2726"/>
    <w:rsid w:val="00CE7212"/>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16AC"/>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816AC"/>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1816AC"/>
    <w:rPr>
      <w:rFonts w:asciiTheme="majorHAnsi" w:eastAsiaTheme="majorEastAsia" w:hAnsiTheme="majorHAnsi" w:cstheme="majorBidi"/>
      <w:sz w:val="18"/>
      <w:szCs w:val="18"/>
    </w:rPr>
  </w:style>
  <w:style w:type="paragraph" w:styleId="a4">
    <w:name w:val="header"/>
    <w:basedOn w:val="a"/>
    <w:link w:val="Char0"/>
    <w:uiPriority w:val="99"/>
    <w:semiHidden/>
    <w:unhideWhenUsed/>
    <w:rsid w:val="00B32DB5"/>
    <w:pPr>
      <w:tabs>
        <w:tab w:val="center" w:pos="4513"/>
        <w:tab w:val="right" w:pos="9026"/>
      </w:tabs>
      <w:snapToGrid w:val="0"/>
    </w:pPr>
  </w:style>
  <w:style w:type="character" w:customStyle="1" w:styleId="Char0">
    <w:name w:val="머리글 Char"/>
    <w:basedOn w:val="a0"/>
    <w:link w:val="a4"/>
    <w:uiPriority w:val="99"/>
    <w:semiHidden/>
    <w:rsid w:val="00B32DB5"/>
  </w:style>
  <w:style w:type="paragraph" w:styleId="a5">
    <w:name w:val="footer"/>
    <w:basedOn w:val="a"/>
    <w:link w:val="Char1"/>
    <w:uiPriority w:val="99"/>
    <w:semiHidden/>
    <w:unhideWhenUsed/>
    <w:rsid w:val="00B32DB5"/>
    <w:pPr>
      <w:tabs>
        <w:tab w:val="center" w:pos="4513"/>
        <w:tab w:val="right" w:pos="9026"/>
      </w:tabs>
      <w:snapToGrid w:val="0"/>
    </w:pPr>
  </w:style>
  <w:style w:type="character" w:customStyle="1" w:styleId="Char1">
    <w:name w:val="바닥글 Char"/>
    <w:basedOn w:val="a0"/>
    <w:link w:val="a5"/>
    <w:uiPriority w:val="99"/>
    <w:semiHidden/>
    <w:rsid w:val="00B32DB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226</Words>
  <Characters>1289</Characters>
  <Application>Microsoft Office Word</Application>
  <DocSecurity>0</DocSecurity>
  <Lines>10</Lines>
  <Paragraphs>3</Paragraphs>
  <ScaleCrop>false</ScaleCrop>
  <Company/>
  <LinksUpToDate>false</LinksUpToDate>
  <CharactersWithSpaces>1512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2020-07-29T07:18:00Z</dcterms:created>
  <dcterms:modified xsi:type="dcterms:W3CDTF">2020-07-29T08:23:00Z</dcterms:modified>
</cp:coreProperties>
</file>