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Appendix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 Bold" w:hAnsi="Times New Roman Bold" w:cs="Times New Roman Bold"/>
          <w:b/>
          <w:bCs/>
          <w:sz w:val="21"/>
          <w:szCs w:val="21"/>
        </w:rPr>
      </w:pPr>
      <w:r>
        <w:rPr>
          <w:rFonts w:hint="default" w:ascii="Times New Roman Bold" w:hAnsi="Times New Roman Bold" w:cs="Times New Roman Bold"/>
          <w:b/>
          <w:bCs/>
          <w:sz w:val="21"/>
          <w:szCs w:val="21"/>
        </w:rPr>
        <w:t>SGLT-2 inhibitors in patients with heart failure and a preserved ejection fraction: a systematic review and meta-analysis of five randomized controlled trials</w:t>
      </w:r>
    </w:p>
    <w:p>
      <w:pPr>
        <w:jc w:val="left"/>
        <w:rPr>
          <w:rFonts w:ascii="Times New Roman" w:hAnsi="Times New Roman" w:cs="Times New Roman"/>
          <w:b/>
          <w:bCs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Search strings/MesH terms</w:t>
      </w:r>
    </w:p>
    <w:p>
      <w:pPr>
        <w:jc w:val="left"/>
        <w:rPr>
          <w:rFonts w:ascii="Times New Roman" w:hAnsi="Times New Roman" w:cs="Times New Roman"/>
          <w:b/>
          <w:bCs/>
        </w:rPr>
      </w:pPr>
    </w:p>
    <w:p>
      <w:pPr>
        <w:jc w:val="left"/>
        <w:rPr>
          <w:rFonts w:hint="default" w:ascii="Times New Roman Bold" w:hAnsi="Times New Roman Bold" w:cs="Times New Roman Bold"/>
          <w:b/>
          <w:bCs/>
          <w:sz w:val="24"/>
          <w:szCs w:val="24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>Pubmed Search:</w:t>
      </w:r>
    </w:p>
    <w:p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(("heart failure"[MeSH]) OR (((cardiac failure) OR (Heart Decompensation)) OR (HF))) AND (("Sodium-Glucose Transporter 2 Inhibitors"[MeSH]) OR ((((((((((SGLT2 inhibitors) OR (canagliflozin)) OR (dapagliflozin)) OR (empagliflozin)) OR (ertugliflozin)) OR (sotagliflozin)) OR (ipragliflozin)) OR (remogliflozin)) OR (sergliflozin)) OR (tofogliflozin)))Filters: Randomized Controlled Trial</w:t>
      </w:r>
    </w:p>
    <w:p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Risk of bias table</w:t>
      </w: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drawing>
          <wp:inline distT="0" distB="0" distL="114300" distR="114300">
            <wp:extent cx="5269230" cy="2165350"/>
            <wp:effectExtent l="0" t="0" r="13970" b="19050"/>
            <wp:docPr id="1" name="图片 1" descr="Risk of bias 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Risk of bias graph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drawing>
          <wp:inline distT="0" distB="0" distL="114300" distR="114300">
            <wp:extent cx="3695700" cy="5095875"/>
            <wp:effectExtent l="0" t="0" r="12700" b="9525"/>
            <wp:docPr id="2" name="图片 2" descr="Risk of bias summ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Risk of bias summary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Characteristics of included trials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Style w:val="5"/>
        <w:tblW w:w="0" w:type="auto"/>
        <w:tblInd w:w="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34"/>
        <w:gridCol w:w="793"/>
        <w:gridCol w:w="1014"/>
        <w:gridCol w:w="1185"/>
        <w:gridCol w:w="944"/>
        <w:gridCol w:w="1172"/>
        <w:gridCol w:w="1043"/>
        <w:gridCol w:w="1128"/>
        <w:gridCol w:w="1543"/>
        <w:gridCol w:w="2461"/>
      </w:tblGrid>
      <w:tr>
        <w:trPr>
          <w:trHeight w:val="846" w:hRule="atLeast"/>
        </w:trPr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Trial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Author</w:t>
            </w:r>
          </w:p>
        </w:tc>
        <w:tc>
          <w:tcPr>
            <w:tcW w:w="7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Year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SGLT2 inhibitor tested</w:t>
            </w:r>
          </w:p>
        </w:tc>
        <w:tc>
          <w:tcPr>
            <w:tcW w:w="9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Sample</w:t>
            </w:r>
          </w:p>
        </w:tc>
        <w:tc>
          <w:tcPr>
            <w:tcW w:w="1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EF at baseline</w:t>
            </w:r>
          </w:p>
        </w:tc>
        <w:tc>
          <w:tcPr>
            <w:tcW w:w="10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Median follow-up</w:t>
            </w:r>
          </w:p>
        </w:tc>
        <w:tc>
          <w:tcPr>
            <w:tcW w:w="11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Diabetes mellitus (DM) status of participants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Renal function at baseline</w:t>
            </w:r>
          </w:p>
        </w:tc>
        <w:tc>
          <w:tcPr>
            <w:tcW w:w="24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Primary outcome</w:t>
            </w:r>
          </w:p>
        </w:tc>
      </w:tr>
      <w:tr>
        <w:trPr>
          <w:trHeight w:val="1244" w:hRule="atLeast"/>
        </w:trPr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EMPEROR-Preserved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Stefan D. Anker</w:t>
            </w:r>
          </w:p>
        </w:tc>
        <w:tc>
          <w:tcPr>
            <w:tcW w:w="7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2021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international;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multicenter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Empagliflozin</w:t>
            </w:r>
          </w:p>
        </w:tc>
        <w:tc>
          <w:tcPr>
            <w:tcW w:w="9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5988</w:t>
            </w:r>
          </w:p>
        </w:tc>
        <w:tc>
          <w:tcPr>
            <w:tcW w:w="1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EF</w:t>
            </w:r>
            <w:r>
              <w:rPr>
                <w:rStyle w:val="7"/>
                <w:b w:val="0"/>
                <w:bCs w:val="0"/>
                <w:sz w:val="10"/>
                <w:szCs w:val="10"/>
                <w:lang w:val="en-US" w:eastAsia="zh-CN" w:bidi="ar"/>
              </w:rPr>
              <w:t>≧</w:t>
            </w:r>
            <w:r>
              <w:rPr>
                <w:rStyle w:val="8"/>
                <w:b w:val="0"/>
                <w:bCs w:val="0"/>
                <w:sz w:val="10"/>
                <w:szCs w:val="10"/>
                <w:lang w:val="en-US" w:eastAsia="zh-CN" w:bidi="ar"/>
              </w:rPr>
              <w:t>40%;</w:t>
            </w:r>
            <w:r>
              <w:rPr>
                <w:rStyle w:val="8"/>
                <w:b w:val="0"/>
                <w:bCs w:val="0"/>
                <w:sz w:val="10"/>
                <w:szCs w:val="10"/>
                <w:lang w:val="en-US" w:eastAsia="zh-CN" w:bidi="ar"/>
              </w:rPr>
              <w:br w:type="textWrapping"/>
            </w:r>
            <w:r>
              <w:rPr>
                <w:rStyle w:val="8"/>
                <w:b w:val="0"/>
                <w:bCs w:val="0"/>
                <w:sz w:val="10"/>
                <w:szCs w:val="10"/>
                <w:lang w:val="en-US" w:eastAsia="zh-CN" w:bidi="ar"/>
              </w:rPr>
              <w:t>IG=54.3±8.8;</w:t>
            </w:r>
            <w:r>
              <w:rPr>
                <w:rStyle w:val="8"/>
                <w:b w:val="0"/>
                <w:bCs w:val="0"/>
                <w:sz w:val="10"/>
                <w:szCs w:val="10"/>
                <w:lang w:val="en-US" w:eastAsia="zh-CN" w:bidi="ar"/>
              </w:rPr>
              <w:br w:type="textWrapping"/>
            </w:r>
            <w:r>
              <w:rPr>
                <w:rStyle w:val="8"/>
                <w:b w:val="0"/>
                <w:bCs w:val="0"/>
                <w:sz w:val="10"/>
                <w:szCs w:val="10"/>
                <w:lang w:val="en-US" w:eastAsia="zh-CN" w:bidi="ar"/>
              </w:rPr>
              <w:t>CG=54.3±8.8</w:t>
            </w:r>
          </w:p>
        </w:tc>
        <w:tc>
          <w:tcPr>
            <w:tcW w:w="10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26.2  months</w:t>
            </w:r>
          </w:p>
        </w:tc>
        <w:tc>
          <w:tcPr>
            <w:tcW w:w="11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 DM </w:t>
            </w:r>
            <w:r>
              <w:rPr>
                <w:rStyle w:val="7"/>
                <w:b w:val="0"/>
                <w:bCs w:val="0"/>
                <w:sz w:val="10"/>
                <w:szCs w:val="10"/>
                <w:lang w:val="en-US" w:eastAsia="zh-CN" w:bidi="ar"/>
              </w:rPr>
              <w:t>＋</w:t>
            </w:r>
            <w:r>
              <w:rPr>
                <w:rStyle w:val="8"/>
                <w:b w:val="0"/>
                <w:bCs w:val="0"/>
                <w:sz w:val="10"/>
                <w:szCs w:val="10"/>
                <w:lang w:val="en-US" w:eastAsia="zh-CN" w:bidi="ar"/>
              </w:rPr>
              <w:t xml:space="preserve"> non-DM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IG=60.6±19.8mL/min/1.73 m2;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CG=60.6±19.9mL/min/1.73 m2</w:t>
            </w:r>
          </w:p>
        </w:tc>
        <w:tc>
          <w:tcPr>
            <w:tcW w:w="24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  composite of adjudicated cardiovascular death  or hospitalization for heart failure</w:t>
            </w:r>
          </w:p>
        </w:tc>
      </w:tr>
      <w:tr>
        <w:trPr>
          <w:trHeight w:val="1727" w:hRule="atLeast"/>
        </w:trPr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OTNEJMQuadraat" w:hAnsi="OTNEJMQuadraat" w:eastAsia="OTNEJMQuadraat" w:cs="OTNEJMQuadraat"/>
                <w:b w:val="0"/>
                <w:bCs w:val="0"/>
                <w:i w:val="0"/>
                <w:iCs w:val="0"/>
                <w:color w:val="231F20"/>
                <w:sz w:val="10"/>
                <w:szCs w:val="10"/>
                <w:u w:val="none"/>
              </w:rPr>
            </w:pPr>
            <w:r>
              <w:rPr>
                <w:rFonts w:hint="default" w:ascii="OTNEJMQuadraat" w:hAnsi="OTNEJMQuadraat" w:eastAsia="OTNEJMQuadraat" w:cs="OTNEJMQuadraat"/>
                <w:b w:val="0"/>
                <w:bCs w:val="0"/>
                <w:i w:val="0"/>
                <w:iCs w:val="0"/>
                <w:color w:val="231F20"/>
                <w:kern w:val="0"/>
                <w:sz w:val="10"/>
                <w:szCs w:val="10"/>
                <w:u w:val="none"/>
                <w:lang w:val="en-US" w:eastAsia="zh-CN" w:bidi="ar"/>
              </w:rPr>
              <w:t>DELIVER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Scott D. Solomon</w:t>
            </w:r>
          </w:p>
        </w:tc>
        <w:tc>
          <w:tcPr>
            <w:tcW w:w="7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2022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international;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multicenter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Dapagliflozin</w:t>
            </w:r>
          </w:p>
        </w:tc>
        <w:tc>
          <w:tcPr>
            <w:tcW w:w="9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6263</w:t>
            </w:r>
          </w:p>
        </w:tc>
        <w:tc>
          <w:tcPr>
            <w:tcW w:w="1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EF</w:t>
            </w:r>
            <w:r>
              <w:rPr>
                <w:rStyle w:val="9"/>
                <w:rFonts w:eastAsia="宋体"/>
                <w:b w:val="0"/>
                <w:bCs w:val="0"/>
                <w:sz w:val="10"/>
                <w:szCs w:val="10"/>
                <w:lang w:val="en-US" w:eastAsia="zh-CN" w:bidi="ar"/>
              </w:rPr>
              <w:t>≥</w:t>
            </w:r>
            <w:r>
              <w:rPr>
                <w:rStyle w:val="8"/>
                <w:b w:val="0"/>
                <w:bCs w:val="0"/>
                <w:sz w:val="10"/>
                <w:szCs w:val="10"/>
                <w:lang w:val="en-US" w:eastAsia="zh-CN" w:bidi="ar"/>
              </w:rPr>
              <w:t>40%;</w:t>
            </w:r>
            <w:r>
              <w:rPr>
                <w:rStyle w:val="8"/>
                <w:b w:val="0"/>
                <w:bCs w:val="0"/>
                <w:sz w:val="10"/>
                <w:szCs w:val="10"/>
                <w:lang w:val="en-US" w:eastAsia="zh-CN" w:bidi="ar"/>
              </w:rPr>
              <w:br w:type="textWrapping"/>
            </w:r>
            <w:r>
              <w:rPr>
                <w:rStyle w:val="8"/>
                <w:b w:val="0"/>
                <w:bCs w:val="0"/>
                <w:sz w:val="10"/>
                <w:szCs w:val="10"/>
                <w:lang w:val="en-US" w:eastAsia="zh-CN" w:bidi="ar"/>
              </w:rPr>
              <w:t>IG=54.0±8.6;</w:t>
            </w:r>
            <w:r>
              <w:rPr>
                <w:rStyle w:val="8"/>
                <w:b w:val="0"/>
                <w:bCs w:val="0"/>
                <w:sz w:val="10"/>
                <w:szCs w:val="10"/>
                <w:lang w:val="en-US" w:eastAsia="zh-CN" w:bidi="ar"/>
              </w:rPr>
              <w:br w:type="textWrapping"/>
            </w:r>
            <w:r>
              <w:rPr>
                <w:rStyle w:val="8"/>
                <w:b w:val="0"/>
                <w:bCs w:val="0"/>
                <w:sz w:val="10"/>
                <w:szCs w:val="10"/>
                <w:lang w:val="en-US" w:eastAsia="zh-CN" w:bidi="ar"/>
              </w:rPr>
              <w:t>CG=54.3±8.9</w:t>
            </w:r>
          </w:p>
        </w:tc>
        <w:tc>
          <w:tcPr>
            <w:tcW w:w="10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OTNEJMQuadraat" w:hAnsi="OTNEJMQuadraat" w:eastAsia="OTNEJMQuadraat" w:cs="OTNEJMQuadraat"/>
                <w:b w:val="0"/>
                <w:bCs w:val="0"/>
                <w:i w:val="0"/>
                <w:iCs w:val="0"/>
                <w:color w:val="231F20"/>
                <w:sz w:val="10"/>
                <w:szCs w:val="10"/>
                <w:u w:val="none"/>
              </w:rPr>
            </w:pPr>
            <w:r>
              <w:rPr>
                <w:rFonts w:hint="default" w:ascii="OTNEJMQuadraat" w:hAnsi="OTNEJMQuadraat" w:eastAsia="OTNEJMQuadraat" w:cs="OTNEJMQuadraat"/>
                <w:b w:val="0"/>
                <w:bCs w:val="0"/>
                <w:i w:val="0"/>
                <w:iCs w:val="0"/>
                <w:color w:val="231F20"/>
                <w:kern w:val="0"/>
                <w:sz w:val="10"/>
                <w:szCs w:val="10"/>
                <w:u w:val="none"/>
                <w:lang w:val="en-US" w:eastAsia="zh-CN" w:bidi="ar"/>
              </w:rPr>
              <w:t>2.3 years</w:t>
            </w:r>
          </w:p>
        </w:tc>
        <w:tc>
          <w:tcPr>
            <w:tcW w:w="11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 DM </w:t>
            </w:r>
            <w:r>
              <w:rPr>
                <w:rStyle w:val="7"/>
                <w:b w:val="0"/>
                <w:bCs w:val="0"/>
                <w:sz w:val="10"/>
                <w:szCs w:val="10"/>
                <w:lang w:val="en-US" w:eastAsia="zh-CN" w:bidi="ar"/>
              </w:rPr>
              <w:t>＋</w:t>
            </w:r>
            <w:r>
              <w:rPr>
                <w:rStyle w:val="8"/>
                <w:b w:val="0"/>
                <w:bCs w:val="0"/>
                <w:sz w:val="10"/>
                <w:szCs w:val="10"/>
                <w:lang w:val="en-US" w:eastAsia="zh-CN" w:bidi="ar"/>
              </w:rPr>
              <w:t xml:space="preserve"> non-DM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IG=61±19mL/min/1.73 m2;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CG=61±19mL/min/1.73 m2</w:t>
            </w:r>
          </w:p>
        </w:tc>
        <w:tc>
          <w:tcPr>
            <w:tcW w:w="24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a composite of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worsening heart failure, which was defined as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either an unplanned hospitalization for heart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failure or an urgent visit for heart failure, or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cardiovascular death.</w:t>
            </w:r>
          </w:p>
        </w:tc>
      </w:tr>
      <w:tr>
        <w:trPr>
          <w:trHeight w:val="671" w:hRule="atLeast"/>
        </w:trPr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VERTIS CV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Francesco Cosentino</w:t>
            </w:r>
          </w:p>
        </w:tc>
        <w:tc>
          <w:tcPr>
            <w:tcW w:w="7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2020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multicenter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Ertugliflozin </w:t>
            </w:r>
          </w:p>
        </w:tc>
        <w:tc>
          <w:tcPr>
            <w:tcW w:w="9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1007</w:t>
            </w:r>
          </w:p>
        </w:tc>
        <w:tc>
          <w:tcPr>
            <w:tcW w:w="1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 EF &gt;45%;</w:t>
            </w:r>
          </w:p>
        </w:tc>
        <w:tc>
          <w:tcPr>
            <w:tcW w:w="10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OTNEJMQuadraat" w:hAnsi="OTNEJMQuadraat" w:eastAsia="OTNEJMQuadraat" w:cs="OTNEJMQuadraat"/>
                <w:b w:val="0"/>
                <w:bCs w:val="0"/>
                <w:i w:val="0"/>
                <w:iCs w:val="0"/>
                <w:color w:val="231F20"/>
                <w:sz w:val="10"/>
                <w:szCs w:val="10"/>
                <w:u w:val="none"/>
              </w:rPr>
            </w:pPr>
            <w:r>
              <w:rPr>
                <w:rFonts w:hint="default" w:ascii="OTNEJMQuadraat" w:hAnsi="OTNEJMQuadraat" w:eastAsia="OTNEJMQuadraat" w:cs="OTNEJMQuadraat"/>
                <w:b w:val="0"/>
                <w:bCs w:val="0"/>
                <w:i w:val="0"/>
                <w:iCs w:val="0"/>
                <w:color w:val="231F20"/>
                <w:kern w:val="0"/>
                <w:sz w:val="10"/>
                <w:szCs w:val="10"/>
                <w:u w:val="none"/>
                <w:lang w:val="en-US" w:eastAsia="zh-CN" w:bidi="ar"/>
              </w:rPr>
              <w:t>3.0 years</w:t>
            </w:r>
          </w:p>
        </w:tc>
        <w:tc>
          <w:tcPr>
            <w:tcW w:w="11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DM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 eGFR &lt;60 and &gt;_60 mL/min/1.73 m</w:t>
            </w:r>
            <w:r>
              <w:rPr>
                <w:rStyle w:val="10"/>
                <w:b w:val="0"/>
                <w:bCs w:val="0"/>
                <w:sz w:val="10"/>
                <w:szCs w:val="10"/>
                <w:lang w:val="en-US" w:eastAsia="zh-CN" w:bidi="ar"/>
              </w:rPr>
              <w:t>2</w:t>
            </w:r>
          </w:p>
        </w:tc>
        <w:tc>
          <w:tcPr>
            <w:tcW w:w="24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the time to first major adverse cardiovascular event</w:t>
            </w:r>
          </w:p>
        </w:tc>
      </w:tr>
      <w:tr>
        <w:trPr>
          <w:trHeight w:val="1238" w:hRule="atLeast"/>
        </w:trPr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FrutigerLTStd-Light" w:hAnsi="FrutigerLTStd-Light" w:eastAsia="FrutigerLTStd-Light" w:cs="FrutigerLTStd-Light"/>
                <w:b w:val="0"/>
                <w:bCs w:val="0"/>
                <w:i w:val="0"/>
                <w:iCs w:val="0"/>
                <w:color w:val="231F20"/>
                <w:sz w:val="10"/>
                <w:szCs w:val="10"/>
                <w:u w:val="none"/>
              </w:rPr>
            </w:pPr>
            <w:r>
              <w:rPr>
                <w:rFonts w:hint="default" w:ascii="FrutigerLTStd-Light" w:hAnsi="FrutigerLTStd-Light" w:eastAsia="FrutigerLTStd-Light" w:cs="FrutigerLTStd-Light"/>
                <w:b w:val="0"/>
                <w:bCs w:val="0"/>
                <w:i w:val="0"/>
                <w:iCs w:val="0"/>
                <w:color w:val="231F20"/>
                <w:kern w:val="0"/>
                <w:sz w:val="10"/>
                <w:szCs w:val="10"/>
                <w:u w:val="none"/>
                <w:lang w:val="en-US" w:eastAsia="zh-CN" w:bidi="ar"/>
              </w:rPr>
              <w:t>DECLARE-TIMI 58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Eri T Kato</w:t>
            </w:r>
          </w:p>
        </w:tc>
        <w:tc>
          <w:tcPr>
            <w:tcW w:w="7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2019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multicenter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Dapagliflozin</w:t>
            </w:r>
          </w:p>
        </w:tc>
        <w:tc>
          <w:tcPr>
            <w:tcW w:w="9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808</w:t>
            </w:r>
          </w:p>
        </w:tc>
        <w:tc>
          <w:tcPr>
            <w:tcW w:w="1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 EF &gt;45%;</w:t>
            </w:r>
          </w:p>
        </w:tc>
        <w:tc>
          <w:tcPr>
            <w:tcW w:w="10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FrutigerLTStd-Light" w:hAnsi="FrutigerLTStd-Light" w:eastAsia="FrutigerLTStd-Light" w:cs="FrutigerLTStd-Light"/>
                <w:b w:val="0"/>
                <w:bCs w:val="0"/>
                <w:i w:val="0"/>
                <w:iCs w:val="0"/>
                <w:color w:val="231F20"/>
                <w:sz w:val="10"/>
                <w:szCs w:val="10"/>
                <w:u w:val="none"/>
              </w:rPr>
            </w:pPr>
            <w:r>
              <w:rPr>
                <w:rFonts w:hint="default" w:ascii="FrutigerLTStd-Light" w:hAnsi="FrutigerLTStd-Light" w:eastAsia="FrutigerLTStd-Light" w:cs="FrutigerLTStd-Light"/>
                <w:b w:val="0"/>
                <w:bCs w:val="0"/>
                <w:i w:val="0"/>
                <w:iCs w:val="0"/>
                <w:color w:val="231F20"/>
                <w:kern w:val="0"/>
                <w:sz w:val="10"/>
                <w:szCs w:val="10"/>
                <w:u w:val="none"/>
                <w:lang w:val="en-US" w:eastAsia="zh-CN" w:bidi="ar"/>
              </w:rPr>
              <w:t>4.2 years</w:t>
            </w:r>
          </w:p>
        </w:tc>
        <w:tc>
          <w:tcPr>
            <w:tcW w:w="11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DM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 eGFR &gt;60 mL/min/1.73 m2</w:t>
            </w:r>
          </w:p>
        </w:tc>
        <w:tc>
          <w:tcPr>
            <w:tcW w:w="24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the dual primary composite end point of the trial of cardiovascular death or HHF, its individual components, and all-cause mortality (ACM).</w:t>
            </w:r>
          </w:p>
        </w:tc>
      </w:tr>
      <w:tr>
        <w:trPr>
          <w:trHeight w:val="1685" w:hRule="atLeast"/>
        </w:trPr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SCORED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Deepak L. Bhatt</w:t>
            </w:r>
          </w:p>
        </w:tc>
        <w:tc>
          <w:tcPr>
            <w:tcW w:w="7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2021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multicenter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Sotagliflozin</w:t>
            </w:r>
          </w:p>
        </w:tc>
        <w:tc>
          <w:tcPr>
            <w:tcW w:w="9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1667</w:t>
            </w:r>
          </w:p>
        </w:tc>
        <w:tc>
          <w:tcPr>
            <w:tcW w:w="1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EF </w:t>
            </w:r>
            <w:r>
              <w:rPr>
                <w:rStyle w:val="11"/>
                <w:rFonts w:eastAsia="宋体"/>
                <w:b w:val="0"/>
                <w:bCs w:val="0"/>
                <w:sz w:val="10"/>
                <w:szCs w:val="10"/>
                <w:lang w:val="en-US" w:eastAsia="zh-CN" w:bidi="ar"/>
              </w:rPr>
              <w:t>≥</w:t>
            </w:r>
            <w:r>
              <w:rPr>
                <w:rStyle w:val="12"/>
                <w:b w:val="0"/>
                <w:bCs w:val="0"/>
                <w:sz w:val="10"/>
                <w:szCs w:val="10"/>
                <w:lang w:val="en-US" w:eastAsia="zh-CN" w:bidi="ar"/>
              </w:rPr>
              <w:t>50%</w:t>
            </w:r>
          </w:p>
        </w:tc>
        <w:tc>
          <w:tcPr>
            <w:tcW w:w="10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 months</w:t>
            </w:r>
          </w:p>
        </w:tc>
        <w:tc>
          <w:tcPr>
            <w:tcW w:w="11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DM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eGFR 25–60 mL/min/1.73 m2</w:t>
            </w:r>
          </w:p>
        </w:tc>
        <w:tc>
          <w:tcPr>
            <w:tcW w:w="24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the composite of the total number of deaths from cardiovascular causes, hospitalizations for heart failure, and urgent visits for heart failure.</w:t>
            </w:r>
          </w:p>
        </w:tc>
      </w:tr>
    </w:tbl>
    <w:p>
      <w:pPr>
        <w:rPr>
          <w:rFonts w:hint="default" w:ascii="Times New Roman" w:hAnsi="Times New Roman" w:cs="Times New Roman"/>
          <w:b/>
          <w:bCs/>
          <w:sz w:val="24"/>
          <w:szCs w:val="24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Search strategy and source of included studies</w:t>
      </w: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drawing>
          <wp:inline distT="0" distB="0" distL="114300" distR="114300">
            <wp:extent cx="5269865" cy="4083050"/>
            <wp:effectExtent l="0" t="0" r="13335" b="6350"/>
            <wp:docPr id="3" name="图片 3" descr="Search strategy and sources of included stud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earch strategy and sources of included studi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08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r>
        <w:drawing>
          <wp:inline distT="0" distB="0" distL="114300" distR="114300">
            <wp:extent cx="3323590" cy="2402205"/>
            <wp:effectExtent l="0" t="0" r="3810" b="1079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23590" cy="240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 Bold Italic" w:hAnsi="Times New Roman Bold Italic" w:cs="Times New Roman Bold Italic"/>
          <w:b/>
          <w:bCs w:val="0"/>
          <w:i/>
          <w:iCs/>
          <w:sz w:val="15"/>
          <w:szCs w:val="15"/>
          <w:lang w:val="en-US" w:eastAsia="zh-CN"/>
        </w:rPr>
      </w:pPr>
      <w:r>
        <w:rPr>
          <w:rFonts w:hint="default" w:ascii="Times New Roman Bold Italic" w:hAnsi="Times New Roman Bold Italic" w:cs="Times New Roman Bold Italic"/>
          <w:b/>
          <w:bCs w:val="0"/>
          <w:i/>
          <w:iCs/>
          <w:sz w:val="15"/>
          <w:szCs w:val="15"/>
          <w:lang w:val="en-US" w:eastAsia="zh-CN"/>
        </w:rPr>
        <w:t>Subgroup analyses on the gender</w:t>
      </w:r>
      <w:r>
        <w:rPr>
          <w:rFonts w:hint="default" w:ascii="Times New Roman Bold Italic" w:hAnsi="Times New Roman Bold Italic" w:cs="Times New Roman Bold Italic"/>
          <w:b/>
          <w:bCs w:val="0"/>
          <w:i/>
          <w:iCs/>
          <w:sz w:val="15"/>
          <w:szCs w:val="15"/>
          <w:lang w:eastAsia="zh-CN"/>
        </w:rPr>
        <w:t xml:space="preserve"> </w:t>
      </w:r>
      <w:r>
        <w:rPr>
          <w:rFonts w:hint="default" w:ascii="Times New Roman Bold Italic" w:hAnsi="Times New Roman Bold Italic" w:cs="Times New Roman Bold Italic"/>
          <w:b/>
          <w:bCs w:val="0"/>
          <w:i/>
          <w:iCs/>
          <w:sz w:val="15"/>
          <w:szCs w:val="15"/>
          <w:lang w:val="en-US" w:eastAsia="zh-CN"/>
        </w:rPr>
        <w:t>according to primary composite endpoint</w:t>
      </w:r>
      <w:r>
        <w:rPr>
          <w:rFonts w:hint="default" w:ascii="Times New Roman Bold Italic" w:hAnsi="Times New Roman Bold Italic" w:cs="Times New Roman Bold Italic"/>
          <w:b/>
          <w:bCs w:val="0"/>
          <w:i/>
          <w:iCs/>
          <w:sz w:val="15"/>
          <w:szCs w:val="15"/>
          <w:lang w:eastAsia="zh-CN"/>
        </w:rPr>
        <w:t xml:space="preserve"> </w:t>
      </w:r>
      <w:r>
        <w:rPr>
          <w:rFonts w:hint="default" w:ascii="Times New Roman Bold Italic" w:hAnsi="Times New Roman Bold Italic" w:cs="Times New Roman Bold Italic"/>
          <w:b/>
          <w:bCs w:val="0"/>
          <w:i/>
          <w:iCs/>
          <w:sz w:val="15"/>
          <w:szCs w:val="15"/>
          <w:lang w:val="en-US" w:eastAsia="zh-CN"/>
        </w:rPr>
        <w:t>when analyzed by fixed effect</w:t>
      </w:r>
    </w:p>
    <w:p>
      <w:r>
        <w:drawing>
          <wp:inline distT="0" distB="0" distL="114300" distR="114300">
            <wp:extent cx="3344545" cy="2368550"/>
            <wp:effectExtent l="0" t="0" r="8255" b="1905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44545" cy="236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 Bold Italic" w:hAnsi="Times New Roman Bold Italic" w:cs="Times New Roman Bold Italic"/>
          <w:b/>
          <w:bCs w:val="0"/>
          <w:i/>
          <w:iCs/>
          <w:sz w:val="15"/>
          <w:szCs w:val="15"/>
        </w:rPr>
      </w:pPr>
      <w:r>
        <w:rPr>
          <w:rFonts w:hint="default" w:ascii="Times New Roman Bold Italic" w:hAnsi="Times New Roman Bold Italic" w:cs="Times New Roman Bold Italic"/>
          <w:b/>
          <w:bCs w:val="0"/>
          <w:i/>
          <w:iCs/>
          <w:sz w:val="15"/>
          <w:szCs w:val="15"/>
          <w:lang w:val="en-US" w:eastAsia="zh-CN"/>
        </w:rPr>
        <w:t xml:space="preserve">Subgroup analyses on the </w:t>
      </w:r>
      <w:r>
        <w:rPr>
          <w:rFonts w:hint="default" w:ascii="Times New Roman Bold Italic" w:hAnsi="Times New Roman Bold Italic" w:cs="Times New Roman Bold Italic"/>
          <w:b/>
          <w:bCs w:val="0"/>
          <w:i/>
          <w:iCs/>
          <w:sz w:val="15"/>
          <w:szCs w:val="15"/>
          <w:lang w:eastAsia="zh-CN"/>
        </w:rPr>
        <w:t xml:space="preserve">BMI </w:t>
      </w:r>
      <w:r>
        <w:rPr>
          <w:rFonts w:hint="default" w:ascii="Times New Roman Bold Italic" w:hAnsi="Times New Roman Bold Italic" w:cs="Times New Roman Bold Italic"/>
          <w:b/>
          <w:bCs w:val="0"/>
          <w:i/>
          <w:iCs/>
          <w:sz w:val="15"/>
          <w:szCs w:val="15"/>
          <w:lang w:val="en-US" w:eastAsia="zh-CN"/>
        </w:rPr>
        <w:t>according to primary composite endpoint</w:t>
      </w:r>
      <w:r>
        <w:rPr>
          <w:rFonts w:hint="default" w:ascii="Times New Roman Bold Italic" w:hAnsi="Times New Roman Bold Italic" w:cs="Times New Roman Bold Italic"/>
          <w:b/>
          <w:bCs w:val="0"/>
          <w:i/>
          <w:iCs/>
          <w:sz w:val="15"/>
          <w:szCs w:val="15"/>
          <w:lang w:eastAsia="zh-CN"/>
        </w:rPr>
        <w:t xml:space="preserve"> </w:t>
      </w:r>
      <w:r>
        <w:rPr>
          <w:rFonts w:hint="default" w:ascii="Times New Roman Bold Italic" w:hAnsi="Times New Roman Bold Italic" w:cs="Times New Roman Bold Italic"/>
          <w:b/>
          <w:bCs w:val="0"/>
          <w:i/>
          <w:iCs/>
          <w:sz w:val="15"/>
          <w:szCs w:val="15"/>
        </w:rPr>
        <w:t>when analyzed by random effect</w:t>
      </w:r>
    </w:p>
    <w:p>
      <w:pPr>
        <w:rPr>
          <w:rFonts w:hint="default" w:ascii="Times New Roman Bold" w:hAnsi="Times New Roman Bold" w:cs="Times New Roman Bold"/>
          <w:b/>
          <w:bCs w:val="0"/>
          <w:sz w:val="18"/>
          <w:szCs w:val="18"/>
        </w:rPr>
      </w:pPr>
      <w:r>
        <w:drawing>
          <wp:inline distT="0" distB="0" distL="114300" distR="114300">
            <wp:extent cx="3386455" cy="2521585"/>
            <wp:effectExtent l="0" t="0" r="17145" b="1841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86455" cy="252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 Bold Italic" w:hAnsi="Times New Roman Bold Italic" w:cs="Times New Roman Bold Italic"/>
          <w:b/>
          <w:bCs w:val="0"/>
          <w:i/>
          <w:iCs/>
          <w:sz w:val="15"/>
          <w:szCs w:val="15"/>
          <w:lang w:val="en-US" w:eastAsia="zh-CN"/>
        </w:rPr>
      </w:pPr>
      <w:r>
        <w:rPr>
          <w:rFonts w:hint="default" w:ascii="Times New Roman Bold Italic" w:hAnsi="Times New Roman Bold Italic" w:cs="Times New Roman Bold Italic"/>
          <w:b/>
          <w:bCs w:val="0"/>
          <w:i/>
          <w:iCs/>
          <w:sz w:val="15"/>
          <w:szCs w:val="15"/>
          <w:lang w:val="en-US" w:eastAsia="zh-CN"/>
        </w:rPr>
        <w:t>Subgroup analyses on the</w:t>
      </w:r>
      <w:r>
        <w:rPr>
          <w:rFonts w:hint="default" w:ascii="Times New Roman Bold Italic" w:hAnsi="Times New Roman Bold Italic" w:cs="Times New Roman Bold Italic"/>
          <w:b/>
          <w:bCs w:val="0"/>
          <w:i/>
          <w:iCs/>
          <w:sz w:val="15"/>
          <w:szCs w:val="15"/>
          <w:lang w:eastAsia="zh-CN"/>
        </w:rPr>
        <w:t xml:space="preserve"> LVEF</w:t>
      </w:r>
      <w:r>
        <w:rPr>
          <w:rFonts w:hint="default" w:ascii="Times New Roman Bold Italic" w:hAnsi="Times New Roman Bold Italic" w:cs="Times New Roman Bold Italic"/>
          <w:b/>
          <w:bCs w:val="0"/>
          <w:i/>
          <w:iCs/>
          <w:sz w:val="15"/>
          <w:szCs w:val="15"/>
          <w:lang w:val="en-US" w:eastAsia="zh-CN"/>
        </w:rPr>
        <w:t xml:space="preserve"> according to primary composite endpoint when analyzed by random effect</w:t>
      </w:r>
    </w:p>
    <w:p>
      <w:pPr>
        <w:rPr>
          <w:rFonts w:hint="default" w:ascii="Times New Roman Bold" w:hAnsi="Times New Roman Bold" w:cs="Times New Roman Bold"/>
          <w:b/>
          <w:bCs w:val="0"/>
          <w:sz w:val="18"/>
          <w:szCs w:val="18"/>
        </w:rPr>
      </w:pPr>
    </w:p>
    <w:p>
      <w:pPr>
        <w:rPr>
          <w:rFonts w:hint="default" w:ascii="Times New Roman Bold" w:hAnsi="Times New Roman Bold" w:cs="Times New Roman Bold"/>
          <w:b/>
          <w:bCs w:val="0"/>
          <w:sz w:val="18"/>
          <w:szCs w:val="18"/>
        </w:rPr>
      </w:pPr>
    </w:p>
    <w:p>
      <w:pPr>
        <w:rPr>
          <w:rFonts w:hint="default" w:ascii="Times New Roman Bold" w:hAnsi="Times New Roman Bold" w:cs="Times New Roman Bold"/>
          <w:b/>
          <w:bCs w:val="0"/>
          <w:sz w:val="18"/>
          <w:szCs w:val="18"/>
        </w:rPr>
      </w:pPr>
      <w:r>
        <w:drawing>
          <wp:inline distT="0" distB="0" distL="114300" distR="114300">
            <wp:extent cx="3347720" cy="2415540"/>
            <wp:effectExtent l="0" t="0" r="5080" b="2286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4772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 Bold" w:hAnsi="Times New Roman Bold" w:cs="Times New Roman Bold"/>
          <w:b/>
          <w:bCs w:val="0"/>
          <w:sz w:val="18"/>
          <w:szCs w:val="18"/>
        </w:rPr>
      </w:pPr>
      <w:r>
        <w:rPr>
          <w:rFonts w:hint="default" w:ascii="Times New Roman Bold Italic" w:hAnsi="Times New Roman Bold Italic" w:cs="Times New Roman Bold Italic"/>
          <w:b/>
          <w:bCs w:val="0"/>
          <w:i/>
          <w:iCs/>
          <w:sz w:val="15"/>
          <w:szCs w:val="15"/>
          <w:lang w:val="en-US" w:eastAsia="zh-CN"/>
        </w:rPr>
        <w:t xml:space="preserve">Subgroup analyses on the </w:t>
      </w:r>
      <w:r>
        <w:rPr>
          <w:rFonts w:hint="default" w:ascii="Times New Roman Bold Italic" w:hAnsi="Times New Roman Bold Italic" w:cs="Times New Roman Bold Italic"/>
          <w:b/>
          <w:bCs w:val="0"/>
          <w:i/>
          <w:iCs/>
          <w:sz w:val="15"/>
          <w:szCs w:val="15"/>
          <w:lang w:eastAsia="zh-CN"/>
        </w:rPr>
        <w:t>NYHA</w:t>
      </w:r>
      <w:r>
        <w:rPr>
          <w:rFonts w:hint="default" w:ascii="Times New Roman Bold Italic" w:hAnsi="Times New Roman Bold Italic" w:cs="Times New Roman Bold Italic"/>
          <w:b/>
          <w:bCs w:val="0"/>
          <w:i/>
          <w:iCs/>
          <w:sz w:val="15"/>
          <w:szCs w:val="15"/>
          <w:lang w:val="en-US" w:eastAsia="zh-CN"/>
        </w:rPr>
        <w:t xml:space="preserve"> </w:t>
      </w:r>
      <w:r>
        <w:rPr>
          <w:rFonts w:hint="default" w:ascii="Times New Roman Bold Italic" w:hAnsi="Times New Roman Bold Italic" w:cs="Times New Roman Bold Italic"/>
          <w:b/>
          <w:bCs w:val="0"/>
          <w:i/>
          <w:iCs/>
          <w:sz w:val="15"/>
          <w:szCs w:val="15"/>
          <w:lang w:eastAsia="zh-CN"/>
        </w:rPr>
        <w:t xml:space="preserve">class </w:t>
      </w:r>
      <w:r>
        <w:rPr>
          <w:rFonts w:hint="default" w:ascii="Times New Roman Bold Italic" w:hAnsi="Times New Roman Bold Italic" w:cs="Times New Roman Bold Italic"/>
          <w:b/>
          <w:bCs w:val="0"/>
          <w:i/>
          <w:iCs/>
          <w:sz w:val="15"/>
          <w:szCs w:val="15"/>
          <w:lang w:val="en-US" w:eastAsia="zh-CN"/>
        </w:rPr>
        <w:t>according to primary composite endpoint when analyzed by fixed effect</w:t>
      </w:r>
    </w:p>
    <w:p>
      <w:pPr>
        <w:rPr>
          <w:rFonts w:hint="default" w:ascii="Times New Roman Bold" w:hAnsi="Times New Roman Bold" w:cs="Times New Roman Bold"/>
          <w:b/>
          <w:bCs w:val="0"/>
          <w:sz w:val="18"/>
          <w:szCs w:val="18"/>
        </w:rPr>
      </w:pPr>
      <w:bookmarkStart w:id="0" w:name="_GoBack"/>
      <w:bookmarkEnd w:id="0"/>
    </w:p>
    <w:p>
      <w:r>
        <w:drawing>
          <wp:inline distT="0" distB="0" distL="114300" distR="114300">
            <wp:extent cx="3326130" cy="2510790"/>
            <wp:effectExtent l="0" t="0" r="1270" b="3810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26130" cy="251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</w:rPr>
      </w:pPr>
      <w:r>
        <w:rPr>
          <w:rFonts w:hint="default" w:ascii="Times New Roman Bold Italic" w:hAnsi="Times New Roman Bold Italic" w:cs="Times New Roman Bold Italic"/>
          <w:b/>
          <w:bCs w:val="0"/>
          <w:i/>
          <w:iCs/>
          <w:sz w:val="15"/>
          <w:szCs w:val="15"/>
          <w:lang w:val="en-US" w:eastAsia="zh-CN"/>
        </w:rPr>
        <w:t xml:space="preserve">Subgroup analyses on the </w:t>
      </w:r>
      <w:r>
        <w:rPr>
          <w:rFonts w:hint="default" w:ascii="Times New Roman Bold Italic" w:hAnsi="Times New Roman Bold Italic" w:cs="Times New Roman Bold Italic"/>
          <w:b/>
          <w:bCs w:val="0"/>
          <w:i/>
          <w:iCs/>
          <w:sz w:val="15"/>
          <w:szCs w:val="15"/>
          <w:lang w:eastAsia="zh-CN"/>
        </w:rPr>
        <w:t xml:space="preserve">eGFR </w:t>
      </w:r>
      <w:r>
        <w:rPr>
          <w:rFonts w:hint="default" w:ascii="Times New Roman Bold Italic" w:hAnsi="Times New Roman Bold Italic" w:cs="Times New Roman Bold Italic"/>
          <w:b/>
          <w:bCs w:val="0"/>
          <w:i/>
          <w:iCs/>
          <w:sz w:val="15"/>
          <w:szCs w:val="15"/>
          <w:lang w:val="en-US" w:eastAsia="zh-CN"/>
        </w:rPr>
        <w:t>according to primary composite endpoint when analyzed by fixed effect</w:t>
      </w:r>
    </w:p>
    <w:p>
      <w:r>
        <w:drawing>
          <wp:inline distT="0" distB="0" distL="114300" distR="114300">
            <wp:extent cx="3342640" cy="2409825"/>
            <wp:effectExtent l="0" t="0" r="10160" b="3175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4264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 Bold" w:hAnsi="Times New Roman Bold" w:cs="Times New Roman Bold"/>
          <w:b/>
          <w:bCs w:val="0"/>
          <w:sz w:val="18"/>
          <w:szCs w:val="18"/>
        </w:rPr>
      </w:pPr>
      <w:r>
        <w:rPr>
          <w:rFonts w:hint="default" w:ascii="Times New Roman Bold Italic" w:hAnsi="Times New Roman Bold Italic" w:cs="Times New Roman Bold Italic"/>
          <w:b/>
          <w:bCs w:val="0"/>
          <w:i/>
          <w:iCs/>
          <w:sz w:val="15"/>
          <w:szCs w:val="15"/>
          <w:lang w:val="en-US" w:eastAsia="zh-CN"/>
        </w:rPr>
        <w:t xml:space="preserve">Subgroup analyses on the </w:t>
      </w:r>
      <w:r>
        <w:rPr>
          <w:rFonts w:hint="eastAsia" w:ascii="Times New Roman Bold Italic" w:hAnsi="Times New Roman Bold Italic" w:cs="Times New Roman Bold Italic"/>
          <w:b/>
          <w:bCs w:val="0"/>
          <w:i/>
          <w:iCs/>
          <w:sz w:val="15"/>
          <w:szCs w:val="15"/>
          <w:lang w:val="en-US" w:eastAsia="zh-CN"/>
        </w:rPr>
        <w:t>history of atrial fibrillation or atrial flutter</w:t>
      </w:r>
      <w:r>
        <w:rPr>
          <w:rFonts w:hint="default" w:ascii="Times New Roman Bold Italic" w:hAnsi="Times New Roman Bold Italic" w:cs="Times New Roman Bold Italic"/>
          <w:b/>
          <w:bCs w:val="0"/>
          <w:i/>
          <w:iCs/>
          <w:sz w:val="15"/>
          <w:szCs w:val="15"/>
          <w:lang w:val="en-US" w:eastAsia="zh-CN"/>
        </w:rPr>
        <w:t xml:space="preserve"> according to primary composite endpoint when analyzed by fixed effect</w:t>
      </w:r>
    </w:p>
    <w:p>
      <w:pPr>
        <w:rPr>
          <w:rFonts w:hint="default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AdvOTb7819099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OTNEJMQuadraa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rutigerLTStd-Ligh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Bold Italic">
    <w:panose1 w:val="020206030504050203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7FFCEB"/>
    <w:rsid w:val="7F3F1BB5"/>
    <w:rsid w:val="D3CE2F04"/>
    <w:rsid w:val="D5FF2EB5"/>
    <w:rsid w:val="F9CF13F6"/>
    <w:rsid w:val="FD7FF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font61"/>
    <w:basedOn w:val="6"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91"/>
    <w:basedOn w:val="6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51"/>
    <w:basedOn w:val="6"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10">
    <w:name w:val="font81"/>
    <w:basedOn w:val="6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31"/>
    <w:basedOn w:val="6"/>
    <w:uiPriority w:val="0"/>
    <w:rPr>
      <w:rFonts w:hint="default" w:ascii="Arial" w:hAnsi="Arial" w:cs="Arial"/>
      <w:color w:val="000000"/>
      <w:sz w:val="16"/>
      <w:szCs w:val="16"/>
      <w:u w:val="none"/>
    </w:rPr>
  </w:style>
  <w:style w:type="character" w:customStyle="1" w:styleId="12">
    <w:name w:val="font21"/>
    <w:basedOn w:val="6"/>
    <w:uiPriority w:val="0"/>
    <w:rPr>
      <w:rFonts w:ascii="AdvOTb7819099" w:hAnsi="AdvOTb7819099" w:eastAsia="AdvOTb7819099" w:cs="AdvOTb7819099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Office_5.2.1.7798_F1E327BC-269C-435d-A152-05C5408002CA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2023-03-31T22:20:00Z</dcterms:created>
  <dc:creator>智齿</dc:creator>
  <cp:lastModifiedBy>智齿</cp:lastModifiedBy>
  <dcterms:modified xsi:type="dcterms:W3CDTF">2023-04-14T08:53:22Z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2052-5.2.1.7798</vt:lpwstr>
  </property>
  <property fmtid="{D5CDD505-2E9C-101B-9397-08002B2CF9AE}" pid="3" name="ICV">
    <vt:lpwstr>6637ACABAC4C14489D7B2664E32A0D89_41</vt:lpwstr>
  </property>
</Properties>
</file>