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46D6B" w14:textId="77777777" w:rsidR="00BF4413" w:rsidRPr="00105D4D" w:rsidRDefault="002B677F">
      <w:pPr>
        <w:pStyle w:val="NoSpacing"/>
        <w:jc w:val="center"/>
        <w:rPr>
          <w:szCs w:val="32"/>
        </w:rPr>
      </w:pPr>
      <w:r w:rsidRPr="00105D4D">
        <w:rPr>
          <w:szCs w:val="32"/>
        </w:rPr>
        <w:t>Supporting Information</w:t>
      </w:r>
    </w:p>
    <w:p w14:paraId="738063C7" w14:textId="77777777" w:rsidR="005C3BD3" w:rsidRPr="005C3BD3" w:rsidRDefault="005C3BD3" w:rsidP="005C3BD3">
      <w:pPr>
        <w:pStyle w:val="Heading1"/>
        <w:jc w:val="both"/>
        <w:rPr>
          <w:rFonts w:cs="Times New Roman"/>
          <w:b/>
          <w:bCs/>
          <w:sz w:val="32"/>
          <w:szCs w:val="36"/>
        </w:rPr>
      </w:pPr>
      <w:r w:rsidRPr="005C3BD3">
        <w:rPr>
          <w:rFonts w:cs="Times New Roman"/>
          <w:b/>
          <w:bCs/>
          <w:sz w:val="32"/>
          <w:szCs w:val="36"/>
        </w:rPr>
        <w:t>Unveiling cell metabolic bioprocess of programmed cell death ligand 1 (PD-L1) expression through nutrients-driven cancer immunomarker progression using SERS technique</w:t>
      </w:r>
    </w:p>
    <w:p w14:paraId="248CCDEA" w14:textId="77777777" w:rsidR="001A71CC" w:rsidRPr="005573BF" w:rsidRDefault="001A71CC" w:rsidP="00105D4D">
      <w:pPr>
        <w:spacing w:before="240"/>
        <w:jc w:val="both"/>
        <w:rPr>
          <w:color w:val="000000" w:themeColor="text1"/>
          <w:szCs w:val="24"/>
        </w:rPr>
      </w:pPr>
      <w:r>
        <w:rPr>
          <w:rFonts w:cs="Times New Roman"/>
          <w:color w:val="000000" w:themeColor="text1"/>
          <w:szCs w:val="24"/>
        </w:rPr>
        <w:t xml:space="preserve">Muhammad Muhammad </w:t>
      </w:r>
      <w:r>
        <w:rPr>
          <w:rFonts w:cs="Times New Roman"/>
          <w:color w:val="000000" w:themeColor="text1"/>
          <w:szCs w:val="24"/>
          <w:vertAlign w:val="superscript"/>
        </w:rPr>
        <w:t>a</w:t>
      </w:r>
      <w:r>
        <w:rPr>
          <w:rFonts w:eastAsia="SimSun" w:cs="Times New Roman" w:hint="eastAsia"/>
          <w:color w:val="000000" w:themeColor="text1"/>
          <w:szCs w:val="24"/>
          <w:vertAlign w:val="superscript"/>
        </w:rPr>
        <w:t>,b</w:t>
      </w:r>
      <w:r>
        <w:rPr>
          <w:rFonts w:cs="Times New Roman"/>
          <w:color w:val="000000" w:themeColor="text1"/>
          <w:szCs w:val="24"/>
        </w:rPr>
        <w:t xml:space="preserve">, Chang-Sheng Shao </w:t>
      </w:r>
      <w:r>
        <w:rPr>
          <w:rFonts w:cs="Times New Roman"/>
          <w:color w:val="000000" w:themeColor="text1"/>
          <w:szCs w:val="24"/>
          <w:vertAlign w:val="superscript"/>
        </w:rPr>
        <w:t>a,</w:t>
      </w:r>
      <w:r>
        <w:rPr>
          <w:rFonts w:cs="Times New Roman" w:hint="eastAsia"/>
          <w:color w:val="000000" w:themeColor="text1"/>
          <w:szCs w:val="24"/>
          <w:vertAlign w:val="superscript"/>
        </w:rPr>
        <w:t>c</w:t>
      </w:r>
      <w:r>
        <w:rPr>
          <w:rFonts w:cs="Times New Roman"/>
          <w:color w:val="000000" w:themeColor="text1"/>
          <w:szCs w:val="24"/>
        </w:rPr>
        <w:t xml:space="preserve">, </w:t>
      </w:r>
      <w:r>
        <w:rPr>
          <w:color w:val="000000" w:themeColor="text1"/>
          <w:szCs w:val="24"/>
        </w:rPr>
        <w:t>Mona Alrasheed Bashir</w:t>
      </w:r>
      <w:r>
        <w:rPr>
          <w:rFonts w:cs="Times New Roman"/>
          <w:color w:val="000000" w:themeColor="text1"/>
          <w:szCs w:val="24"/>
        </w:rPr>
        <w:t xml:space="preserve"> </w:t>
      </w:r>
      <w:r>
        <w:rPr>
          <w:rFonts w:cs="Times New Roman"/>
          <w:color w:val="000000" w:themeColor="text1"/>
          <w:szCs w:val="24"/>
          <w:vertAlign w:val="superscript"/>
        </w:rPr>
        <w:t>a,</w:t>
      </w:r>
      <w:r>
        <w:rPr>
          <w:rFonts w:cs="Times New Roman" w:hint="eastAsia"/>
          <w:color w:val="000000" w:themeColor="text1"/>
          <w:szCs w:val="24"/>
          <w:vertAlign w:val="superscript"/>
        </w:rPr>
        <w:t>d</w:t>
      </w:r>
      <w:r>
        <w:rPr>
          <w:rFonts w:cs="Times New Roman"/>
          <w:color w:val="000000" w:themeColor="text1"/>
          <w:szCs w:val="24"/>
        </w:rPr>
        <w:t xml:space="preserve">, </w:t>
      </w:r>
      <w:r>
        <w:rPr>
          <w:color w:val="000000" w:themeColor="text1"/>
          <w:szCs w:val="24"/>
        </w:rPr>
        <w:t xml:space="preserve">Yahui Wu </w:t>
      </w:r>
      <w:r>
        <w:rPr>
          <w:rFonts w:cs="Times New Roman"/>
          <w:color w:val="000000" w:themeColor="text1"/>
          <w:szCs w:val="24"/>
          <w:vertAlign w:val="superscript"/>
        </w:rPr>
        <w:t>a</w:t>
      </w:r>
      <w:r>
        <w:rPr>
          <w:rFonts w:eastAsia="SimSun" w:cs="Times New Roman" w:hint="eastAsia"/>
          <w:color w:val="000000" w:themeColor="text1"/>
          <w:szCs w:val="24"/>
          <w:vertAlign w:val="superscript"/>
        </w:rPr>
        <w:t>,d</w:t>
      </w:r>
      <w:r>
        <w:rPr>
          <w:color w:val="000000" w:themeColor="text1"/>
          <w:szCs w:val="24"/>
        </w:rPr>
        <w:t xml:space="preserve">, </w:t>
      </w:r>
      <w:r>
        <w:rPr>
          <w:rFonts w:cs="Times New Roman"/>
          <w:color w:val="000000" w:themeColor="text1"/>
          <w:szCs w:val="24"/>
        </w:rPr>
        <w:t xml:space="preserve">Jie Zhan </w:t>
      </w:r>
      <w:r>
        <w:rPr>
          <w:rFonts w:cs="Times New Roman" w:hint="eastAsia"/>
          <w:color w:val="000000" w:themeColor="text1"/>
          <w:szCs w:val="24"/>
          <w:vertAlign w:val="superscript"/>
        </w:rPr>
        <w:t>b</w:t>
      </w:r>
      <w:r>
        <w:rPr>
          <w:rFonts w:cs="Times New Roman"/>
          <w:color w:val="000000" w:themeColor="text1"/>
          <w:szCs w:val="24"/>
        </w:rPr>
        <w:t xml:space="preserve">, </w:t>
      </w:r>
      <w:r>
        <w:rPr>
          <w:rFonts w:cs="Times New Roman" w:hint="eastAsia"/>
          <w:color w:val="000000" w:themeColor="text1"/>
          <w:szCs w:val="24"/>
        </w:rPr>
        <w:t>Leisheng Zhang</w:t>
      </w:r>
      <w:r>
        <w:rPr>
          <w:rFonts w:cs="Times New Roman"/>
          <w:color w:val="000000" w:themeColor="text1"/>
          <w:szCs w:val="24"/>
          <w:vertAlign w:val="superscript"/>
        </w:rPr>
        <w:t>a,</w:t>
      </w:r>
      <w:r>
        <w:rPr>
          <w:rFonts w:cs="Times New Roman" w:hint="eastAsia"/>
          <w:color w:val="000000" w:themeColor="text1"/>
          <w:szCs w:val="24"/>
          <w:vertAlign w:val="superscript"/>
        </w:rPr>
        <w:t xml:space="preserve"> </w:t>
      </w:r>
      <w:r>
        <w:rPr>
          <w:rFonts w:cs="Times New Roman"/>
          <w:color w:val="000000" w:themeColor="text1"/>
          <w:szCs w:val="24"/>
          <w:vertAlign w:val="superscript"/>
        </w:rPr>
        <w:t>e</w:t>
      </w:r>
      <w:r>
        <w:rPr>
          <w:rFonts w:cs="Times New Roman" w:hint="eastAsia"/>
          <w:color w:val="000000" w:themeColor="text1"/>
          <w:szCs w:val="24"/>
          <w:vertAlign w:val="superscript"/>
        </w:rPr>
        <w:t xml:space="preserve"> </w:t>
      </w:r>
      <w:r>
        <w:rPr>
          <w:rFonts w:cs="Times New Roman"/>
          <w:color w:val="000000" w:themeColor="text1"/>
          <w:szCs w:val="24"/>
          <w:vertAlign w:val="superscript"/>
        </w:rPr>
        <w:t>*</w:t>
      </w:r>
      <w:r>
        <w:rPr>
          <w:rFonts w:cs="Times New Roman" w:hint="eastAsia"/>
          <w:color w:val="000000" w:themeColor="text1"/>
          <w:szCs w:val="24"/>
        </w:rPr>
        <w:t xml:space="preserve">, </w:t>
      </w:r>
      <w:r>
        <w:rPr>
          <w:rFonts w:cs="Times New Roman"/>
          <w:color w:val="000000" w:themeColor="text1"/>
          <w:szCs w:val="24"/>
        </w:rPr>
        <w:t xml:space="preserve">Qing Huang </w:t>
      </w:r>
      <w:r>
        <w:rPr>
          <w:rFonts w:cs="Times New Roman"/>
          <w:color w:val="000000" w:themeColor="text1"/>
          <w:szCs w:val="24"/>
          <w:vertAlign w:val="superscript"/>
        </w:rPr>
        <w:t>a,</w:t>
      </w:r>
      <w:r>
        <w:rPr>
          <w:rFonts w:cs="Times New Roman" w:hint="eastAsia"/>
          <w:color w:val="000000" w:themeColor="text1"/>
          <w:szCs w:val="24"/>
          <w:vertAlign w:val="superscript"/>
        </w:rPr>
        <w:t>d</w:t>
      </w:r>
      <w:r>
        <w:rPr>
          <w:rFonts w:cs="Times New Roman"/>
          <w:color w:val="000000" w:themeColor="text1"/>
          <w:szCs w:val="24"/>
          <w:vertAlign w:val="superscript"/>
        </w:rPr>
        <w:t>*</w:t>
      </w:r>
    </w:p>
    <w:p w14:paraId="48C44966" w14:textId="77777777" w:rsidR="001A71CC" w:rsidRDefault="001A71CC" w:rsidP="001A71CC">
      <w:pPr>
        <w:spacing w:before="240"/>
        <w:jc w:val="both"/>
        <w:rPr>
          <w:rFonts w:eastAsia="Times New Roman" w:cs="Times New Roman"/>
          <w:color w:val="000000" w:themeColor="text1"/>
          <w:szCs w:val="24"/>
        </w:rPr>
      </w:pPr>
      <w:r>
        <w:rPr>
          <w:rFonts w:cs="Times New Roman"/>
          <w:color w:val="000000" w:themeColor="text1"/>
          <w:szCs w:val="24"/>
          <w:vertAlign w:val="superscript"/>
        </w:rPr>
        <w:t xml:space="preserve">a </w:t>
      </w:r>
      <w:r>
        <w:rPr>
          <w:rFonts w:eastAsia="Times New Roman" w:cs="Times New Roman"/>
          <w:color w:val="000000" w:themeColor="text1"/>
          <w:szCs w:val="24"/>
        </w:rPr>
        <w:t>CAS Key Laboratory of Ion-beam Bioengineering, Institute of Intelligent Machines, Hefei Institutes of Physical Science, Chinese Academy of Sciences, Hefei 230031</w:t>
      </w:r>
      <w:r>
        <w:rPr>
          <w:rFonts w:eastAsia="MS Gothic" w:cs="Times New Roman"/>
          <w:color w:val="000000" w:themeColor="text1"/>
          <w:szCs w:val="24"/>
        </w:rPr>
        <w:t xml:space="preserve">, </w:t>
      </w:r>
      <w:r>
        <w:rPr>
          <w:rFonts w:eastAsia="Times New Roman" w:cs="Times New Roman"/>
          <w:color w:val="000000" w:themeColor="text1"/>
          <w:szCs w:val="24"/>
        </w:rPr>
        <w:t>China</w:t>
      </w:r>
    </w:p>
    <w:p w14:paraId="2D409B28" w14:textId="77777777" w:rsidR="001A71CC" w:rsidRDefault="001A71CC" w:rsidP="001A71CC">
      <w:pPr>
        <w:jc w:val="both"/>
        <w:rPr>
          <w:rFonts w:eastAsia="Times New Roman" w:cs="Times New Roman"/>
          <w:color w:val="000000" w:themeColor="text1"/>
          <w:szCs w:val="24"/>
        </w:rPr>
      </w:pPr>
      <w:r>
        <w:rPr>
          <w:rFonts w:cs="Times New Roman" w:hint="eastAsia"/>
          <w:color w:val="000000" w:themeColor="text1"/>
          <w:szCs w:val="24"/>
          <w:vertAlign w:val="superscript"/>
        </w:rPr>
        <w:t>b</w:t>
      </w:r>
      <w:r>
        <w:rPr>
          <w:rFonts w:cs="Times New Roman"/>
          <w:color w:val="000000" w:themeColor="text1"/>
          <w:szCs w:val="24"/>
          <w:vertAlign w:val="superscript"/>
        </w:rPr>
        <w:t xml:space="preserve"> </w:t>
      </w:r>
      <w:r>
        <w:rPr>
          <w:rFonts w:eastAsia="Times New Roman" w:cs="Times New Roman"/>
          <w:color w:val="000000" w:themeColor="text1"/>
          <w:szCs w:val="24"/>
        </w:rPr>
        <w:t>CAS Key Laboratory of Atmospheric Optics, Anhui Institute of Optics and Fine Mechanics, Chinese Academy of Sciences, Hefei 230031</w:t>
      </w:r>
      <w:r>
        <w:rPr>
          <w:rFonts w:eastAsia="MS Gothic" w:cs="Times New Roman"/>
          <w:color w:val="000000" w:themeColor="text1"/>
          <w:szCs w:val="24"/>
        </w:rPr>
        <w:t xml:space="preserve">, </w:t>
      </w:r>
      <w:r>
        <w:rPr>
          <w:rFonts w:eastAsia="Times New Roman" w:cs="Times New Roman"/>
          <w:color w:val="000000" w:themeColor="text1"/>
          <w:szCs w:val="24"/>
        </w:rPr>
        <w:t>China</w:t>
      </w:r>
    </w:p>
    <w:p w14:paraId="228D23DA" w14:textId="77777777" w:rsidR="001A71CC" w:rsidRDefault="001A71CC" w:rsidP="001A71CC">
      <w:pPr>
        <w:spacing w:before="240"/>
        <w:jc w:val="both"/>
        <w:rPr>
          <w:rFonts w:eastAsia="Times New Roman" w:cs="Times New Roman"/>
          <w:color w:val="000000" w:themeColor="text1"/>
          <w:szCs w:val="24"/>
        </w:rPr>
      </w:pPr>
      <w:r>
        <w:rPr>
          <w:rFonts w:cs="Times New Roman" w:hint="eastAsia"/>
          <w:color w:val="000000" w:themeColor="text1"/>
          <w:szCs w:val="24"/>
          <w:vertAlign w:val="superscript"/>
        </w:rPr>
        <w:t>c</w:t>
      </w:r>
      <w:r>
        <w:rPr>
          <w:rFonts w:eastAsia="Times New Roman" w:cs="Times New Roman"/>
          <w:color w:val="000000" w:themeColor="text1"/>
          <w:szCs w:val="24"/>
        </w:rPr>
        <w:t xml:space="preserve"> </w:t>
      </w:r>
      <w:r>
        <w:rPr>
          <w:rFonts w:cs="Times New Roman"/>
          <w:color w:val="000000" w:themeColor="text1"/>
          <w:szCs w:val="24"/>
        </w:rPr>
        <w:t xml:space="preserve">CAS High Magnetic Field Laboratory, </w:t>
      </w:r>
      <w:r>
        <w:rPr>
          <w:rFonts w:eastAsia="Times New Roman" w:cs="Times New Roman"/>
          <w:color w:val="000000" w:themeColor="text1"/>
          <w:szCs w:val="24"/>
        </w:rPr>
        <w:t>Hefei Institutes of Physical Science, Chinese Academy of Sciences, Hefei 230031</w:t>
      </w:r>
      <w:r>
        <w:rPr>
          <w:rFonts w:eastAsia="MS Gothic" w:cs="Times New Roman"/>
          <w:color w:val="000000" w:themeColor="text1"/>
          <w:szCs w:val="24"/>
        </w:rPr>
        <w:t xml:space="preserve">, </w:t>
      </w:r>
      <w:r>
        <w:rPr>
          <w:rFonts w:eastAsia="Times New Roman" w:cs="Times New Roman"/>
          <w:color w:val="000000" w:themeColor="text1"/>
          <w:szCs w:val="24"/>
        </w:rPr>
        <w:t>China</w:t>
      </w:r>
      <w:r>
        <w:rPr>
          <w:rFonts w:cs="Times New Roman"/>
          <w:color w:val="000000" w:themeColor="text1"/>
          <w:szCs w:val="24"/>
        </w:rPr>
        <w:t xml:space="preserve"> </w:t>
      </w:r>
    </w:p>
    <w:p w14:paraId="1BA51F44" w14:textId="77777777" w:rsidR="001A71CC" w:rsidRDefault="001A71CC" w:rsidP="001A71CC">
      <w:pPr>
        <w:jc w:val="both"/>
        <w:rPr>
          <w:rFonts w:eastAsia="Times New Roman" w:cs="Times New Roman"/>
          <w:color w:val="000000" w:themeColor="text1"/>
          <w:szCs w:val="24"/>
        </w:rPr>
      </w:pPr>
      <w:r>
        <w:rPr>
          <w:rFonts w:cs="Times New Roman" w:hint="eastAsia"/>
          <w:color w:val="000000" w:themeColor="text1"/>
          <w:szCs w:val="24"/>
          <w:vertAlign w:val="superscript"/>
        </w:rPr>
        <w:t>d</w:t>
      </w:r>
      <w:r>
        <w:rPr>
          <w:rFonts w:eastAsia="Times New Roman" w:cs="Times New Roman"/>
          <w:color w:val="000000" w:themeColor="text1"/>
          <w:szCs w:val="24"/>
        </w:rPr>
        <w:t xml:space="preserve"> </w:t>
      </w:r>
      <w:r>
        <w:rPr>
          <w:rFonts w:cs="Times New Roman"/>
          <w:color w:val="000000" w:themeColor="text1"/>
          <w:szCs w:val="24"/>
        </w:rPr>
        <w:t xml:space="preserve">Science Island Branch of Graduate School, </w:t>
      </w:r>
      <w:r>
        <w:rPr>
          <w:rFonts w:eastAsia="Times New Roman" w:cs="Times New Roman"/>
          <w:color w:val="000000" w:themeColor="text1"/>
          <w:szCs w:val="24"/>
        </w:rPr>
        <w:t>University of Science and Technology of China, Hefei 230026, China</w:t>
      </w:r>
    </w:p>
    <w:p w14:paraId="28AD289B" w14:textId="77777777" w:rsidR="001A71CC" w:rsidRDefault="001A71CC" w:rsidP="001A71CC">
      <w:pPr>
        <w:jc w:val="both"/>
        <w:rPr>
          <w:rFonts w:cs="Times New Roman"/>
          <w:color w:val="000000" w:themeColor="text1"/>
          <w:szCs w:val="24"/>
        </w:rPr>
      </w:pPr>
      <w:r>
        <w:rPr>
          <w:rFonts w:cs="Times New Roman"/>
          <w:color w:val="000000" w:themeColor="text1"/>
          <w:szCs w:val="24"/>
          <w:vertAlign w:val="superscript"/>
        </w:rPr>
        <w:t>e</w:t>
      </w:r>
      <w:r>
        <w:rPr>
          <w:rFonts w:cs="Times New Roman" w:hint="eastAsia"/>
          <w:color w:val="000000" w:themeColor="text1"/>
          <w:szCs w:val="24"/>
          <w:vertAlign w:val="superscript"/>
        </w:rPr>
        <w:t xml:space="preserve"> </w:t>
      </w:r>
      <w:r>
        <w:rPr>
          <w:rFonts w:cs="Times New Roman"/>
          <w:color w:val="000000" w:themeColor="text1"/>
          <w:szCs w:val="24"/>
        </w:rPr>
        <w:t>NHC Key Laboratory of Diagnosis and Therapy of Gastrointestinal T</w:t>
      </w:r>
      <w:r>
        <w:rPr>
          <w:rFonts w:cs="Times New Roman" w:hint="eastAsia"/>
          <w:color w:val="000000" w:themeColor="text1"/>
          <w:szCs w:val="24"/>
        </w:rPr>
        <w:t xml:space="preserve">umor </w:t>
      </w:r>
      <w:r>
        <w:rPr>
          <w:rFonts w:cs="Times New Roman"/>
          <w:color w:val="000000" w:themeColor="text1"/>
          <w:szCs w:val="24"/>
        </w:rPr>
        <w:t>&amp; Key Laboratory of Molecular Diagnostics and Precision Medicine for Surgical Oncology, Gansu Provincial Hospital, Lanzhou 730000, China</w:t>
      </w:r>
    </w:p>
    <w:p w14:paraId="15FB7EEE" w14:textId="77777777" w:rsidR="001A71CC" w:rsidRDefault="001A71CC" w:rsidP="001A71CC">
      <w:pPr>
        <w:jc w:val="both"/>
        <w:rPr>
          <w:rFonts w:eastAsia="SimSun" w:cs="Times New Roman"/>
          <w:color w:val="000000" w:themeColor="text1"/>
          <w:szCs w:val="24"/>
        </w:rPr>
      </w:pPr>
    </w:p>
    <w:p w14:paraId="6C4121E9" w14:textId="77777777" w:rsidR="001A71CC" w:rsidRDefault="001A71CC" w:rsidP="001A71CC">
      <w:pPr>
        <w:jc w:val="both"/>
        <w:rPr>
          <w:rFonts w:eastAsia="SimSun" w:cs="Times New Roman"/>
          <w:color w:val="000000" w:themeColor="text1"/>
          <w:szCs w:val="24"/>
        </w:rPr>
      </w:pPr>
    </w:p>
    <w:p w14:paraId="19BEE35B" w14:textId="77777777" w:rsidR="001A71CC" w:rsidRDefault="001A71CC" w:rsidP="001A71CC">
      <w:pPr>
        <w:rPr>
          <w:rFonts w:cs="Times New Roman"/>
          <w:bCs/>
          <w:color w:val="000000" w:themeColor="text1"/>
          <w:szCs w:val="24"/>
        </w:rPr>
      </w:pPr>
      <w:r>
        <w:rPr>
          <w:rFonts w:cs="Times New Roman"/>
          <w:bCs/>
          <w:color w:val="000000" w:themeColor="text1"/>
          <w:szCs w:val="24"/>
        </w:rPr>
        <w:t xml:space="preserve">* </w:t>
      </w:r>
      <w:r>
        <w:rPr>
          <w:rFonts w:cs="Times New Roman"/>
          <w:b/>
          <w:bCs/>
          <w:color w:val="000000" w:themeColor="text1"/>
          <w:szCs w:val="24"/>
        </w:rPr>
        <w:t>Corresponding authors:</w:t>
      </w:r>
      <w:r>
        <w:rPr>
          <w:rFonts w:cs="Times New Roman"/>
          <w:bCs/>
          <w:color w:val="000000" w:themeColor="text1"/>
          <w:szCs w:val="24"/>
        </w:rPr>
        <w:t xml:space="preserve"> </w:t>
      </w:r>
    </w:p>
    <w:p w14:paraId="4B24C957" w14:textId="77777777" w:rsidR="001A71CC" w:rsidRDefault="001A71CC" w:rsidP="001A71CC">
      <w:pPr>
        <w:rPr>
          <w:rFonts w:cs="Times New Roman"/>
          <w:bCs/>
          <w:color w:val="000000" w:themeColor="text1"/>
          <w:szCs w:val="24"/>
        </w:rPr>
      </w:pPr>
      <w:r>
        <w:rPr>
          <w:rFonts w:cs="Times New Roman" w:hint="eastAsia"/>
          <w:bCs/>
          <w:color w:val="000000" w:themeColor="text1"/>
          <w:szCs w:val="24"/>
        </w:rPr>
        <w:t>Prof</w:t>
      </w:r>
      <w:r>
        <w:rPr>
          <w:rFonts w:cs="Times New Roman"/>
          <w:bCs/>
          <w:color w:val="000000" w:themeColor="text1"/>
          <w:szCs w:val="24"/>
        </w:rPr>
        <w:t>.</w:t>
      </w:r>
      <w:r>
        <w:rPr>
          <w:rFonts w:cs="Times New Roman" w:hint="eastAsia"/>
          <w:bCs/>
          <w:color w:val="000000" w:themeColor="text1"/>
          <w:szCs w:val="24"/>
        </w:rPr>
        <w:t xml:space="preserve"> Qing Huang, </w:t>
      </w:r>
      <w:r>
        <w:rPr>
          <w:rFonts w:cs="Times New Roman"/>
          <w:bCs/>
          <w:color w:val="000000" w:themeColor="text1"/>
          <w:szCs w:val="24"/>
        </w:rPr>
        <w:t>huangq@ipp.ac.cn</w:t>
      </w:r>
      <w:r>
        <w:rPr>
          <w:rFonts w:cs="Times New Roman" w:hint="eastAsia"/>
          <w:bCs/>
          <w:szCs w:val="24"/>
        </w:rPr>
        <w:t>,</w:t>
      </w:r>
      <w:r>
        <w:rPr>
          <w:rFonts w:cs="Times New Roman"/>
          <w:bCs/>
          <w:color w:val="000000" w:themeColor="text1"/>
          <w:szCs w:val="24"/>
        </w:rPr>
        <w:t xml:space="preserve"> ORCID: 0000-0002-8884-2064</w:t>
      </w:r>
    </w:p>
    <w:p w14:paraId="5D4CD9AF" w14:textId="77777777" w:rsidR="001A71CC" w:rsidRDefault="001A71CC" w:rsidP="001A71CC">
      <w:pPr>
        <w:rPr>
          <w:rFonts w:cs="Times New Roman"/>
          <w:bCs/>
          <w:color w:val="000000" w:themeColor="text1"/>
          <w:szCs w:val="24"/>
        </w:rPr>
      </w:pPr>
      <w:r>
        <w:rPr>
          <w:rFonts w:cs="Times New Roman" w:hint="eastAsia"/>
          <w:bCs/>
          <w:color w:val="000000" w:themeColor="text1"/>
          <w:szCs w:val="24"/>
        </w:rPr>
        <w:t>Prof</w:t>
      </w:r>
      <w:r>
        <w:rPr>
          <w:rFonts w:cs="Times New Roman"/>
          <w:bCs/>
          <w:color w:val="000000" w:themeColor="text1"/>
          <w:szCs w:val="24"/>
        </w:rPr>
        <w:t xml:space="preserve">. </w:t>
      </w:r>
      <w:r>
        <w:rPr>
          <w:rFonts w:cs="Times New Roman" w:hint="eastAsia"/>
          <w:bCs/>
          <w:color w:val="000000" w:themeColor="text1"/>
          <w:szCs w:val="24"/>
        </w:rPr>
        <w:t xml:space="preserve">Leisheng Zhang, </w:t>
      </w:r>
      <w:r>
        <w:rPr>
          <w:rFonts w:cs="Times New Roman"/>
          <w:bCs/>
          <w:color w:val="000000" w:themeColor="text1"/>
          <w:szCs w:val="24"/>
        </w:rPr>
        <w:t>leisheng_zhang@163.com</w:t>
      </w:r>
      <w:r>
        <w:rPr>
          <w:rFonts w:cs="Times New Roman" w:hint="eastAsia"/>
          <w:bCs/>
          <w:color w:val="000000" w:themeColor="text1"/>
          <w:szCs w:val="24"/>
        </w:rPr>
        <w:t xml:space="preserve">, </w:t>
      </w:r>
      <w:r>
        <w:rPr>
          <w:rFonts w:cs="Times New Roman"/>
          <w:bCs/>
          <w:color w:val="000000" w:themeColor="text1"/>
          <w:szCs w:val="24"/>
        </w:rPr>
        <w:t>ORCID: 0000-0001-6540-0943</w:t>
      </w:r>
    </w:p>
    <w:p w14:paraId="6847E890" w14:textId="77777777" w:rsidR="001A71CC" w:rsidRDefault="001A71CC" w:rsidP="001A71CC">
      <w:pPr>
        <w:rPr>
          <w:rFonts w:cs="Times New Roman"/>
          <w:bCs/>
          <w:color w:val="000000" w:themeColor="text1"/>
          <w:szCs w:val="24"/>
        </w:rPr>
      </w:pPr>
    </w:p>
    <w:p w14:paraId="24F6D973" w14:textId="1B1E3614" w:rsidR="00BF4413" w:rsidRDefault="00BF4413">
      <w:pPr>
        <w:pStyle w:val="NoSpacing"/>
      </w:pPr>
    </w:p>
    <w:p w14:paraId="710D61F9" w14:textId="77777777" w:rsidR="001A71CC" w:rsidRDefault="001A71CC">
      <w:pPr>
        <w:pStyle w:val="NoSpacing"/>
      </w:pPr>
    </w:p>
    <w:p w14:paraId="2D00DA49" w14:textId="77777777" w:rsidR="00BF4413" w:rsidRDefault="00BF4413">
      <w:pPr>
        <w:pStyle w:val="NoSpacing"/>
      </w:pPr>
    </w:p>
    <w:p w14:paraId="0800AA32" w14:textId="1319DAB2" w:rsidR="00C75D61" w:rsidRDefault="00C75D61">
      <w:pPr>
        <w:pStyle w:val="Heading4"/>
        <w:spacing w:after="0"/>
      </w:pPr>
      <w:r>
        <w:lastRenderedPageBreak/>
        <w:t>Nanoparticle characterization</w:t>
      </w:r>
    </w:p>
    <w:p w14:paraId="61E7A193" w14:textId="5D29EE7B" w:rsidR="00C75D61" w:rsidRPr="00C75D61" w:rsidRDefault="00C75D61" w:rsidP="00C75D61">
      <w:pPr>
        <w:jc w:val="both"/>
        <w:rPr>
          <w:rStyle w:val="Emphasis"/>
        </w:rPr>
      </w:pPr>
      <w:r w:rsidRPr="00C75D61">
        <w:rPr>
          <w:rStyle w:val="Emphasis"/>
        </w:rPr>
        <w:t>The DNA sequences were synthesized and supplied by Gene Universal Inc. (Delaware, USA). The verification of structural integrity and elemental distribution was conducted using High-Resolution Transmission Electron Microscopy (HR-TEM) with the FEI TECNAI G2 transmission electron microscope, as well as Field Emission Scanning Electron Microscopy (FE-SEM) using the Hitachi S4800 instrument. Light absorption spectroscopy analyses were carried out utilizing the SHIMADZU UV-2550 instrument.</w:t>
      </w:r>
    </w:p>
    <w:p w14:paraId="14C2DD44" w14:textId="19AFCAB8" w:rsidR="00BF4413" w:rsidRDefault="002B677F">
      <w:pPr>
        <w:pStyle w:val="Heading4"/>
        <w:spacing w:after="0"/>
      </w:pPr>
      <w:r>
        <w:t>PD-L1 aptamer modified Au/4-ATP/Ag nanotags</w:t>
      </w:r>
    </w:p>
    <w:p w14:paraId="12AF3CC4" w14:textId="39E5D130" w:rsidR="00BF4413" w:rsidRDefault="002B677F">
      <w:pPr>
        <w:jc w:val="both"/>
        <w:rPr>
          <w:rFonts w:eastAsia="Calibri"/>
          <w:color w:val="000000"/>
          <w:szCs w:val="24"/>
        </w:rPr>
      </w:pPr>
      <w:r>
        <w:rPr>
          <w:rStyle w:val="Emphasis"/>
        </w:rPr>
        <w:t xml:space="preserve">Nanotags were prepared and utilized according </w:t>
      </w:r>
      <w:r w:rsidR="0064090E">
        <w:rPr>
          <w:rStyle w:val="Emphasis"/>
        </w:rPr>
        <w:t>core/shell method</w:t>
      </w:r>
      <w:r w:rsidR="00C9244E">
        <w:rPr>
          <w:rStyle w:val="Emphasis"/>
        </w:rPr>
        <w:fldChar w:fldCharType="begin" w:fldLock="1"/>
      </w:r>
      <w:r w:rsidR="00DE4843">
        <w:rPr>
          <w:rStyle w:val="Emphasis"/>
        </w:rPr>
        <w:instrText>ADDIN CSL_CITATION {"citationItems":[{"id":"ITEM-1","itemData":{"DOI":"10.1016/j.biosx.2022.100177","ISSN":"25901370","abstract":"The exosomal programmed death ligand (PD-L1) and its combination with receptor PD-1 is pivotal in microtumor environment which favors the metastasis and impairs the natural immune system. We proposed a SERS-aptasensing techniques through which PD-L1 could be measured on circulating malignant exosomes by making it “sandwich” between CD63 targeting magnetic probes and PD-L1 targeting SERS tags. Accordingly, the aptasensor could quantify the PD-L1 with limit of detection (LOD) reaching 4.31 ag/mL. Interestingly, the SERS-aptasensor demonstrated much higher sensitivity than standard ELISA method in quantifying time-dependent PD-L1 variations in MC38 treated mice model. The viability of the SERS-aptasensor was further validated by analyzing raw serum samples using confocal and portable Raman systems which indicated 98% diagnostic accuracy. Collectively, our study reveals the ability of using aptamer-SERS method to quantify the PD-L1 in serum, suggesting an alternative promising strategy to monitor the efficacy of PD-L1/PD-1 immunotherapies.","author":[{"dropping-particle":"","family":"Muhammad","given":"Muhammad","non-dropping-particle":"","parse-names":false,"suffix":""},{"dropping-particle":"","family":"Shao","given":"Chang-Sheng","non-dropping-particle":"","parse-names":false,"suffix":""},{"dropping-particle":"","family":"Liu","given":"Chao","non-dropping-particle":"","parse-names":false,"suffix":""},{"dropping-particle":"","family":"Song","given":"Gang","non-dropping-particle":"","parse-names":false,"suffix":""},{"dropping-particle":"","family":"Zhan","given":"Jie","non-dropping-particle":"","parse-names":false,"suffix":""},{"dropping-particle":"","family":"Huang","given":"Qing","non-dropping-particle":"","parse-names":false,"suffix":""}],"container-title":"Biosensors and Bioelectronics: X","id":"ITEM-1","issued":{"date-parts":[["2022","12"]]},"page":"100177","title":"Monitoring of circulating exosomal immuno checkpoint in tumor microenvironment through ultrasensitive aptamer-functionalized SERS probes","type":"article-journal","volume":"12"},"uris":["http://www.mendeley.com/documents/?uuid=d6dfae5a-2414-4be8-a76b-c489704f5174"]}],"mendeley":{"formattedCitation":"&lt;sup&gt;1&lt;/sup&gt;","plainTextFormattedCitation":"1","previouslyFormattedCitation":"&lt;sup&gt;1&lt;/sup&gt;"},"properties":{"noteIndex":0},"schema":"https://github.com/citation-style-language/schema/raw/master/csl-citation.json"}</w:instrText>
      </w:r>
      <w:r w:rsidR="00C9244E">
        <w:rPr>
          <w:rStyle w:val="Emphasis"/>
        </w:rPr>
        <w:fldChar w:fldCharType="separate"/>
      </w:r>
      <w:r w:rsidR="000D16A7" w:rsidRPr="000D16A7">
        <w:rPr>
          <w:rStyle w:val="Emphasis"/>
          <w:noProof/>
          <w:vertAlign w:val="superscript"/>
        </w:rPr>
        <w:t>1</w:t>
      </w:r>
      <w:r w:rsidR="00C9244E">
        <w:rPr>
          <w:rStyle w:val="Emphasis"/>
        </w:rPr>
        <w:fldChar w:fldCharType="end"/>
      </w:r>
      <w:r>
        <w:rPr>
          <w:rStyle w:val="Emphasis"/>
        </w:rPr>
        <w:t xml:space="preserve">. First, Au nanospheres were synthesized by reducing Au salt using citrate as reducing and surface stabilizing agent </w:t>
      </w:r>
      <w:r>
        <w:rPr>
          <w:rStyle w:val="Emphasis"/>
        </w:rPr>
        <w:fldChar w:fldCharType="begin" w:fldLock="1"/>
      </w:r>
      <w:r w:rsidR="00DE4843">
        <w:rPr>
          <w:rStyle w:val="Emphasis"/>
        </w:rPr>
        <w:instrText>ADDIN CSL_CITATION {"citationItems":[{"id":"ITEM-1","itemData":{"DOI":"10.1021/la00033a011","ISSN":"0743-7463","author":[{"dropping-particle":"","family":"Duff","given":"Daniel G.","non-dropping-particle":"","parse-names":false,"suffix":""},{"dropping-particle":"","family":"Baiker","given":"Alfons","non-dropping-particle":"","parse-names":false,"suffix":""},{"dropping-particle":"","family":"Gameson","given":"Ian","non-dropping-particle":"","parse-names":false,"suffix":""},{"dropping-particle":"","family":"Edwards","given":"Peter P.","non-dropping-particle":"","parse-names":false,"suffix":""}],"container-title":"Langmuir","id":"ITEM-1","issue":"9","issued":{"date-parts":[["1993","9","1"]]},"page":"2310-2317","title":"A new hydrosol of gold clusters. 2. A comparison of some different measurement techniques","type":"article-journal","volume":"9"},"uris":["http://www.mendeley.com/documents/?uuid=b8fe274f-e812-47c7-b54d-40a0b20cc17e"]}],"mendeley":{"formattedCitation":"&lt;sup&gt;2&lt;/sup&gt;","plainTextFormattedCitation":"2","previouslyFormattedCitation":"&lt;sup&gt;2&lt;/sup&gt;"},"properties":{"noteIndex":0},"schema":"https://github.com/citation-style-language/schema/raw/master/csl-citation.json"}</w:instrText>
      </w:r>
      <w:r>
        <w:rPr>
          <w:rStyle w:val="Emphasis"/>
        </w:rPr>
        <w:fldChar w:fldCharType="separate"/>
      </w:r>
      <w:r w:rsidR="000D16A7" w:rsidRPr="000D16A7">
        <w:rPr>
          <w:rStyle w:val="Emphasis"/>
          <w:noProof/>
          <w:vertAlign w:val="superscript"/>
        </w:rPr>
        <w:t>2</w:t>
      </w:r>
      <w:r>
        <w:rPr>
          <w:rStyle w:val="Emphasis"/>
        </w:rPr>
        <w:fldChar w:fldCharType="end"/>
      </w:r>
      <w:r>
        <w:rPr>
          <w:rStyle w:val="Emphasis"/>
        </w:rPr>
        <w:t>. Next, the surface of Au nanospheres was functionalized with Raman reporter 4</w:t>
      </w:r>
      <w:r>
        <w:rPr>
          <w:rStyle w:val="Emphasis"/>
          <w:rFonts w:eastAsia="SimSun" w:hint="eastAsia"/>
          <w:lang w:val="en-US" w:eastAsia="zh-CN"/>
        </w:rPr>
        <w:t>-</w:t>
      </w:r>
      <w:r>
        <w:rPr>
          <w:rStyle w:val="Emphasis"/>
        </w:rPr>
        <w:t xml:space="preserve">ATP (0.01 M) via thiol-Au chemistry. The mixture was centrifuged twice and stored at </w:t>
      </w:r>
      <w:r>
        <w:rPr>
          <w:rFonts w:eastAsia="Calibri"/>
          <w:color w:val="000000"/>
          <w:szCs w:val="24"/>
        </w:rPr>
        <w:t>4 °C for 4-5 h. Ascorbic acid (0.1 M) was added to the mixture followed by dropwise addition of AgNO</w:t>
      </w:r>
      <w:r>
        <w:rPr>
          <w:rFonts w:eastAsia="Calibri"/>
          <w:color w:val="000000"/>
          <w:szCs w:val="24"/>
          <w:vertAlign w:val="subscript"/>
        </w:rPr>
        <w:t>3</w:t>
      </w:r>
      <w:r>
        <w:rPr>
          <w:rFonts w:eastAsia="Calibri"/>
          <w:color w:val="000000"/>
          <w:szCs w:val="24"/>
        </w:rPr>
        <w:t xml:space="preserve"> (1 mM) to yield optimum light absorption band. The solution turned red to dark orange in 1 min which indicated the formation of Ag shell on 4</w:t>
      </w:r>
      <w:r>
        <w:rPr>
          <w:rFonts w:eastAsia="SimSun" w:hint="eastAsia"/>
          <w:color w:val="000000"/>
          <w:szCs w:val="24"/>
          <w:lang w:val="en-US" w:eastAsia="zh-CN"/>
        </w:rPr>
        <w:t>-</w:t>
      </w:r>
      <w:r>
        <w:rPr>
          <w:rFonts w:eastAsia="Calibri"/>
          <w:color w:val="000000"/>
          <w:szCs w:val="24"/>
        </w:rPr>
        <w:t xml:space="preserve">ATP modified Au nanospheres. The final product was washed twice with deionized water and stored at 4 °C for future use. </w:t>
      </w:r>
    </w:p>
    <w:p w14:paraId="67BAF47B" w14:textId="59B50C88" w:rsidR="00BF4413" w:rsidRDefault="002B677F">
      <w:pPr>
        <w:jc w:val="both"/>
        <w:rPr>
          <w:rFonts w:eastAsia="Calibri"/>
          <w:color w:val="000000"/>
          <w:szCs w:val="24"/>
        </w:rPr>
      </w:pPr>
      <w:r>
        <w:rPr>
          <w:rFonts w:eastAsia="Calibri"/>
          <w:color w:val="000000"/>
          <w:szCs w:val="24"/>
        </w:rPr>
        <w:t>To prepare aptamer functionalized nanotags, PD-L1 aptamer was heat-treated</w:t>
      </w:r>
      <w:r w:rsidR="0064090E">
        <w:rPr>
          <w:rFonts w:eastAsia="Calibri"/>
          <w:color w:val="000000"/>
          <w:szCs w:val="24"/>
        </w:rPr>
        <w:t xml:space="preserve"> at 95 </w:t>
      </w:r>
      <w:r w:rsidR="0064090E">
        <w:rPr>
          <w:rFonts w:eastAsia="Calibri" w:cs="Times New Roman"/>
          <w:color w:val="000000"/>
          <w:szCs w:val="24"/>
        </w:rPr>
        <w:t>º</w:t>
      </w:r>
      <w:r w:rsidR="0064090E">
        <w:rPr>
          <w:rFonts w:eastAsia="Calibri"/>
          <w:color w:val="000000"/>
          <w:szCs w:val="24"/>
        </w:rPr>
        <w:t>C</w:t>
      </w:r>
      <w:r>
        <w:rPr>
          <w:rFonts w:eastAsia="Calibri"/>
          <w:color w:val="000000"/>
          <w:szCs w:val="24"/>
        </w:rPr>
        <w:t xml:space="preserve"> and desalted using the procedure reporter in our previous work</w:t>
      </w:r>
      <w:r>
        <w:rPr>
          <w:rFonts w:eastAsia="Calibri"/>
          <w:color w:val="000000"/>
          <w:szCs w:val="24"/>
        </w:rPr>
        <w:fldChar w:fldCharType="begin" w:fldLock="1"/>
      </w:r>
      <w:r w:rsidR="00DE4843">
        <w:rPr>
          <w:rFonts w:eastAsia="Calibri"/>
          <w:color w:val="000000"/>
          <w:szCs w:val="24"/>
        </w:rPr>
        <w:instrText>ADDIN CSL_CITATION {"citationItems":[{"id":"ITEM-1","itemData":{"DOI":"10.1016/j.biosx.2022.100177","ISSN":"25901370","abstract":"The exosomal programmed death ligand (PD-L1) and its combination with receptor PD-1 is pivotal in microtumor environment which favors the metastasis and impairs the natural immune system. We proposed a SERS-aptasensing techniques through which PD-L1 could be measured on circulating malignant exosomes by making it “sandwich” between CD63 targeting magnetic probes and PD-L1 targeting SERS tags. Accordingly, the aptasensor could quantify the PD-L1 with limit of detection (LOD) reaching 4.31 ag/mL. Interestingly, the SERS-aptasensor demonstrated much higher sensitivity than standard ELISA method in quantifying time-dependent PD-L1 variations in MC38 treated mice model. The viability of the SERS-aptasensor was further validated by analyzing raw serum samples using confocal and portable Raman systems which indicated 98% diagnostic accuracy. Collectively, our study reveals the ability of using aptamer-SERS method to quantify the PD-L1 in serum, suggesting an alternative promising strategy to monitor the efficacy of PD-L1/PD-1 immunotherapies.","author":[{"dropping-particle":"","family":"Muhammad","given":"Muhammad","non-dropping-particle":"","parse-names":false,"suffix":""},{"dropping-particle":"","family":"Shao","given":"Chang-Sheng","non-dropping-particle":"","parse-names":false,"suffix":""},{"dropping-particle":"","family":"Liu","given":"Chao","non-dropping-particle":"","parse-names":false,"suffix":""},{"dropping-particle":"","family":"Song","given":"Gang","non-dropping-particle":"","parse-names":false,"suffix":""},{"dropping-particle":"","family":"Zhan","given":"Jie","non-dropping-particle":"","parse-names":false,"suffix":""},{"dropping-particle":"","family":"Huang","given":"Qing","non-dropping-particle":"","parse-names":false,"suffix":""}],"container-title":"Biosensors and Bioelectronics: X","id":"ITEM-1","issued":{"date-parts":[["2022","12"]]},"page":"100177","title":"Monitoring of circulating exosomal immuno checkpoint in tumor microenvironment through ultrasensitive aptamer-functionalized SERS probes","type":"article-journal","volume":"12"},"uris":["http://www.mendeley.com/documents/?uuid=d6dfae5a-2414-4be8-a76b-c489704f5174"]}],"mendeley":{"formattedCitation":"&lt;sup&gt;1&lt;/sup&gt;","plainTextFormattedCitation":"1","previouslyFormattedCitation":"&lt;sup&gt;1&lt;/sup&gt;"},"properties":{"noteIndex":0},"schema":"https://github.com/citation-style-language/schema/raw/master/csl-citation.json"}</w:instrText>
      </w:r>
      <w:r>
        <w:rPr>
          <w:rFonts w:eastAsia="Calibri"/>
          <w:color w:val="000000"/>
          <w:szCs w:val="24"/>
        </w:rPr>
        <w:fldChar w:fldCharType="separate"/>
      </w:r>
      <w:r w:rsidR="000D16A7" w:rsidRPr="000D16A7">
        <w:rPr>
          <w:rFonts w:eastAsia="Calibri"/>
          <w:noProof/>
          <w:color w:val="000000"/>
          <w:szCs w:val="24"/>
          <w:vertAlign w:val="superscript"/>
        </w:rPr>
        <w:t>1</w:t>
      </w:r>
      <w:r>
        <w:rPr>
          <w:rFonts w:eastAsia="Calibri"/>
          <w:color w:val="000000"/>
          <w:szCs w:val="24"/>
        </w:rPr>
        <w:fldChar w:fldCharType="end"/>
      </w:r>
      <w:r>
        <w:rPr>
          <w:rFonts w:eastAsia="Calibri"/>
          <w:color w:val="000000"/>
          <w:szCs w:val="24"/>
        </w:rPr>
        <w:t xml:space="preserve">. An equal volume of thiolated-PD-L1 aptamer and </w:t>
      </w:r>
      <w:r>
        <w:t xml:space="preserve">Au/4-ATP/Ag nanotags were mixed thoroughly with pipette and incubated at </w:t>
      </w:r>
      <w:r>
        <w:rPr>
          <w:rFonts w:eastAsia="Calibri"/>
          <w:color w:val="000000"/>
          <w:szCs w:val="24"/>
        </w:rPr>
        <w:t>4 °C for 10 h. The product was washed with water and dispersed in PBS. Next, MCH (10</w:t>
      </w:r>
      <w:r>
        <w:rPr>
          <w:rFonts w:eastAsia="Calibri"/>
          <w:color w:val="000000"/>
          <w:szCs w:val="24"/>
          <w:vertAlign w:val="superscript"/>
        </w:rPr>
        <w:t>-7</w:t>
      </w:r>
      <w:r>
        <w:rPr>
          <w:rFonts w:eastAsia="Calibri"/>
          <w:color w:val="000000"/>
          <w:szCs w:val="24"/>
        </w:rPr>
        <w:t xml:space="preserve"> M, 1:10 v/v) was added and incubated for 2 h at 4 °C. The nanotags were washed again with PBS and stored at 4 °C for future use.</w:t>
      </w:r>
    </w:p>
    <w:p w14:paraId="54717A7F" w14:textId="466552C4" w:rsidR="00390669" w:rsidRDefault="00390669">
      <w:pPr>
        <w:jc w:val="both"/>
        <w:rPr>
          <w:rFonts w:eastAsia="Calibri"/>
          <w:b/>
          <w:bCs/>
          <w:color w:val="000000"/>
          <w:sz w:val="28"/>
          <w:szCs w:val="28"/>
        </w:rPr>
      </w:pPr>
      <w:r w:rsidRPr="00390669">
        <w:rPr>
          <w:rFonts w:eastAsia="Calibri"/>
          <w:b/>
          <w:bCs/>
          <w:color w:val="000000"/>
          <w:sz w:val="28"/>
          <w:szCs w:val="28"/>
        </w:rPr>
        <w:t>Chemicals</w:t>
      </w:r>
    </w:p>
    <w:p w14:paraId="38250CB5" w14:textId="2D775304" w:rsidR="00492C5A" w:rsidRPr="00185BD7" w:rsidRDefault="00185BD7">
      <w:pPr>
        <w:jc w:val="both"/>
        <w:rPr>
          <w:rFonts w:eastAsia="Calibri"/>
          <w:color w:val="000000"/>
          <w:szCs w:val="24"/>
        </w:rPr>
      </w:pPr>
      <w:r>
        <w:rPr>
          <w:rFonts w:eastAsia="Calibri"/>
          <w:color w:val="000000"/>
          <w:szCs w:val="24"/>
        </w:rPr>
        <w:t>Silver nitrate, tetrachloroauric acid (HAuCl</w:t>
      </w:r>
      <w:r w:rsidRPr="00185BD7">
        <w:rPr>
          <w:rFonts w:eastAsia="Calibri"/>
          <w:color w:val="000000"/>
          <w:szCs w:val="24"/>
          <w:vertAlign w:val="subscript"/>
        </w:rPr>
        <w:t>4</w:t>
      </w:r>
      <w:r>
        <w:rPr>
          <w:rFonts w:eastAsia="Calibri"/>
          <w:color w:val="000000"/>
          <w:szCs w:val="24"/>
        </w:rPr>
        <w:t>.3H</w:t>
      </w:r>
      <w:r w:rsidRPr="00185BD7">
        <w:rPr>
          <w:rFonts w:eastAsia="Calibri"/>
          <w:color w:val="000000"/>
          <w:szCs w:val="24"/>
          <w:vertAlign w:val="subscript"/>
        </w:rPr>
        <w:t>2</w:t>
      </w:r>
      <w:r>
        <w:rPr>
          <w:rFonts w:eastAsia="Calibri"/>
          <w:color w:val="000000"/>
          <w:szCs w:val="24"/>
        </w:rPr>
        <w:t>O), ethanol, mercaptoethanol</w:t>
      </w:r>
      <w:r w:rsidR="002F6776">
        <w:rPr>
          <w:rFonts w:eastAsia="Calibri"/>
          <w:color w:val="000000"/>
          <w:szCs w:val="24"/>
        </w:rPr>
        <w:t xml:space="preserve">, </w:t>
      </w:r>
      <w:r>
        <w:rPr>
          <w:rFonts w:eastAsia="Calibri"/>
          <w:color w:val="000000"/>
          <w:szCs w:val="24"/>
        </w:rPr>
        <w:t xml:space="preserve">and methanol were purchased from Sinopharm Chemical Reagent Co. Ltd Shanghai, China. </w:t>
      </w:r>
      <w:r w:rsidR="002F6776">
        <w:rPr>
          <w:rFonts w:eastAsia="Calibri"/>
          <w:color w:val="000000"/>
          <w:szCs w:val="24"/>
        </w:rPr>
        <w:t xml:space="preserve">Trisodium citrate, 4-aminothiophenol, Tris (2-carboxyethyl) phosphine (TCEP), </w:t>
      </w:r>
      <w:r w:rsidR="00B77EB2">
        <w:rPr>
          <w:rFonts w:eastAsia="Calibri"/>
          <w:color w:val="000000"/>
          <w:szCs w:val="24"/>
        </w:rPr>
        <w:t xml:space="preserve">glucose, </w:t>
      </w:r>
      <w:r w:rsidR="002F6776">
        <w:rPr>
          <w:rFonts w:eastAsia="Calibri"/>
          <w:color w:val="000000"/>
          <w:szCs w:val="24"/>
        </w:rPr>
        <w:t xml:space="preserve">and ascorbic acid were obtained from </w:t>
      </w:r>
      <w:r w:rsidR="005C6C51">
        <w:rPr>
          <w:rFonts w:eastAsia="Calibri"/>
          <w:color w:val="000000"/>
          <w:szCs w:val="24"/>
        </w:rPr>
        <w:t>Aladdin</w:t>
      </w:r>
      <w:r w:rsidR="002F6776">
        <w:rPr>
          <w:rFonts w:eastAsia="Calibri"/>
          <w:color w:val="000000"/>
          <w:szCs w:val="24"/>
        </w:rPr>
        <w:t xml:space="preserve"> Biochemical Technology Co. Ltd Shanghai, China. The designed PD-L1 DNA aptamer sequences and modified sequences were provided by General Biosystems Inc. China. </w:t>
      </w:r>
      <w:r w:rsidR="00051124">
        <w:rPr>
          <w:rFonts w:eastAsia="Calibri"/>
          <w:color w:val="000000"/>
          <w:szCs w:val="24"/>
        </w:rPr>
        <w:t>IL-6 and IFN-</w:t>
      </w:r>
      <w:r w:rsidR="00051124">
        <w:rPr>
          <w:rFonts w:eastAsia="Calibri" w:cs="Times New Roman"/>
          <w:color w:val="000000"/>
          <w:szCs w:val="24"/>
        </w:rPr>
        <w:t>γ</w:t>
      </w:r>
      <w:r w:rsidR="00051124">
        <w:rPr>
          <w:rFonts w:eastAsia="Calibri"/>
          <w:color w:val="000000"/>
          <w:szCs w:val="24"/>
        </w:rPr>
        <w:t xml:space="preserve"> proteins were acquired from Sangon Biotech Co. Ltd Shanghai, China. </w:t>
      </w:r>
      <w:r w:rsidR="00DF481E">
        <w:rPr>
          <w:rFonts w:eastAsia="Calibri"/>
          <w:color w:val="000000"/>
          <w:szCs w:val="24"/>
        </w:rPr>
        <w:t xml:space="preserve">PD-L1 antibodies were purchased from </w:t>
      </w:r>
      <w:r w:rsidR="00F87443">
        <w:rPr>
          <w:rFonts w:eastAsia="Calibri" w:cs="Times New Roman"/>
          <w:color w:val="000000"/>
          <w:szCs w:val="24"/>
        </w:rPr>
        <w:t>Β</w:t>
      </w:r>
      <w:r w:rsidR="00F87443">
        <w:rPr>
          <w:rFonts w:eastAsia="Calibri"/>
          <w:color w:val="000000"/>
          <w:szCs w:val="24"/>
        </w:rPr>
        <w:t>-</w:t>
      </w:r>
      <w:r w:rsidR="00EE1D7E">
        <w:rPr>
          <w:rFonts w:eastAsia="Calibri"/>
          <w:color w:val="000000"/>
          <w:szCs w:val="24"/>
        </w:rPr>
        <w:t xml:space="preserve">Nicotinamide Adenine Dinucleotide Phosphate (NADPH) was obtained from </w:t>
      </w:r>
      <w:r w:rsidR="00F87443">
        <w:rPr>
          <w:rFonts w:eastAsia="Calibri"/>
          <w:color w:val="000000"/>
          <w:szCs w:val="24"/>
        </w:rPr>
        <w:t xml:space="preserve">Beyotime Biotechnology Shanghai, China. </w:t>
      </w:r>
      <w:r w:rsidR="002F6776">
        <w:rPr>
          <w:rFonts w:eastAsia="Calibri"/>
          <w:color w:val="000000"/>
          <w:szCs w:val="24"/>
        </w:rPr>
        <w:t xml:space="preserve">All the chemicals and DNA sequences were of HPLC grade and used without further purification. For chemical synthesis experiments, magnetic stirring </w:t>
      </w:r>
      <w:r w:rsidR="002F6776">
        <w:rPr>
          <w:rFonts w:eastAsia="Calibri"/>
          <w:color w:val="000000"/>
          <w:szCs w:val="24"/>
        </w:rPr>
        <w:lastRenderedPageBreak/>
        <w:t>bars ad glassware were cleaned by using aqua regia and ultra-pure water. Water purification was performed with Millipore water system (resistivity of 18.25 M</w:t>
      </w:r>
      <w:r w:rsidR="002F6776">
        <w:rPr>
          <w:rFonts w:eastAsia="Calibri" w:cs="Times New Roman"/>
          <w:color w:val="000000"/>
          <w:szCs w:val="24"/>
        </w:rPr>
        <w:t>Ω</w:t>
      </w:r>
      <w:r w:rsidR="002F6776">
        <w:rPr>
          <w:rFonts w:eastAsia="Calibri"/>
          <w:color w:val="000000"/>
          <w:szCs w:val="24"/>
        </w:rPr>
        <w:t>/cm).</w:t>
      </w:r>
    </w:p>
    <w:p w14:paraId="0A420541" w14:textId="77777777" w:rsidR="00BF4413" w:rsidRDefault="002B677F">
      <w:pPr>
        <w:rPr>
          <w:rFonts w:eastAsia="Calibri"/>
          <w:b/>
          <w:bCs/>
          <w:color w:val="000000"/>
          <w:sz w:val="28"/>
          <w:szCs w:val="28"/>
        </w:rPr>
      </w:pPr>
      <w:r>
        <w:rPr>
          <w:rFonts w:eastAsia="Calibri"/>
          <w:b/>
          <w:bCs/>
          <w:color w:val="000000"/>
          <w:sz w:val="28"/>
          <w:szCs w:val="28"/>
        </w:rPr>
        <w:t>Aptamer sequences</w:t>
      </w:r>
    </w:p>
    <w:p w14:paraId="21D037AD" w14:textId="308250BF" w:rsidR="00BF4413" w:rsidRDefault="002B677F">
      <w:pPr>
        <w:jc w:val="both"/>
        <w:rPr>
          <w:rStyle w:val="Emphasis"/>
        </w:rPr>
      </w:pPr>
      <w:r>
        <w:rPr>
          <w:rStyle w:val="Emphasis"/>
        </w:rPr>
        <w:t>Table S1: List of the aptamer oligonucleotide sequences used in the experiments.</w:t>
      </w:r>
    </w:p>
    <w:tbl>
      <w:tblPr>
        <w:tblStyle w:val="TableGrid"/>
        <w:tblW w:w="0" w:type="auto"/>
        <w:tblLook w:val="04A0" w:firstRow="1" w:lastRow="0" w:firstColumn="1" w:lastColumn="0" w:noHBand="0" w:noVBand="1"/>
      </w:tblPr>
      <w:tblGrid>
        <w:gridCol w:w="1975"/>
        <w:gridCol w:w="7375"/>
      </w:tblGrid>
      <w:tr w:rsidR="00BF4413" w14:paraId="7565F1DD" w14:textId="77777777">
        <w:tc>
          <w:tcPr>
            <w:tcW w:w="1975" w:type="dxa"/>
            <w:tcBorders>
              <w:top w:val="single" w:sz="4" w:space="0" w:color="auto"/>
              <w:left w:val="single" w:sz="4" w:space="0" w:color="auto"/>
              <w:bottom w:val="single" w:sz="4" w:space="0" w:color="auto"/>
              <w:right w:val="single" w:sz="4" w:space="0" w:color="auto"/>
            </w:tcBorders>
            <w:vAlign w:val="center"/>
          </w:tcPr>
          <w:p w14:paraId="4BF4B001" w14:textId="77777777" w:rsidR="00BF4413" w:rsidRDefault="002B677F">
            <w:pPr>
              <w:spacing w:after="0"/>
              <w:jc w:val="center"/>
              <w:rPr>
                <w:rFonts w:eastAsia="Calibri"/>
                <w:b/>
                <w:bCs/>
                <w:color w:val="000000"/>
                <w:szCs w:val="24"/>
              </w:rPr>
            </w:pPr>
            <w:r>
              <w:rPr>
                <w:rFonts w:eastAsia="Calibri"/>
                <w:b/>
                <w:bCs/>
                <w:color w:val="000000"/>
                <w:szCs w:val="24"/>
              </w:rPr>
              <w:t>Target</w:t>
            </w:r>
          </w:p>
        </w:tc>
        <w:tc>
          <w:tcPr>
            <w:tcW w:w="7375" w:type="dxa"/>
            <w:tcBorders>
              <w:top w:val="single" w:sz="4" w:space="0" w:color="auto"/>
              <w:left w:val="single" w:sz="4" w:space="0" w:color="auto"/>
              <w:bottom w:val="single" w:sz="4" w:space="0" w:color="auto"/>
              <w:right w:val="single" w:sz="4" w:space="0" w:color="auto"/>
            </w:tcBorders>
            <w:vAlign w:val="center"/>
          </w:tcPr>
          <w:p w14:paraId="0510ED22" w14:textId="77777777" w:rsidR="00BF4413" w:rsidRDefault="002B677F">
            <w:pPr>
              <w:spacing w:after="0"/>
              <w:jc w:val="center"/>
              <w:rPr>
                <w:rFonts w:eastAsia="Calibri"/>
                <w:b/>
                <w:bCs/>
                <w:color w:val="000000"/>
                <w:szCs w:val="24"/>
              </w:rPr>
            </w:pPr>
            <w:r>
              <w:rPr>
                <w:rFonts w:eastAsia="Calibri"/>
                <w:b/>
                <w:bCs/>
                <w:color w:val="000000"/>
                <w:szCs w:val="24"/>
              </w:rPr>
              <w:t>Sequence</w:t>
            </w:r>
          </w:p>
        </w:tc>
      </w:tr>
      <w:tr w:rsidR="00BF4413" w14:paraId="048AD707" w14:textId="77777777">
        <w:tc>
          <w:tcPr>
            <w:tcW w:w="1975" w:type="dxa"/>
            <w:tcBorders>
              <w:top w:val="single" w:sz="4" w:space="0" w:color="auto"/>
              <w:left w:val="single" w:sz="4" w:space="0" w:color="auto"/>
              <w:bottom w:val="single" w:sz="4" w:space="0" w:color="auto"/>
              <w:right w:val="single" w:sz="4" w:space="0" w:color="auto"/>
            </w:tcBorders>
            <w:vAlign w:val="center"/>
          </w:tcPr>
          <w:p w14:paraId="62FC942F" w14:textId="77777777" w:rsidR="00BF4413" w:rsidRDefault="002B677F">
            <w:pPr>
              <w:spacing w:after="0"/>
              <w:jc w:val="center"/>
              <w:rPr>
                <w:rFonts w:eastAsia="Calibri"/>
                <w:color w:val="000000"/>
                <w:szCs w:val="24"/>
              </w:rPr>
            </w:pPr>
            <w:r>
              <w:rPr>
                <w:rFonts w:eastAsia="Calibri"/>
                <w:color w:val="000000"/>
                <w:szCs w:val="24"/>
              </w:rPr>
              <w:t>PD-L1</w:t>
            </w:r>
          </w:p>
        </w:tc>
        <w:tc>
          <w:tcPr>
            <w:tcW w:w="7375" w:type="dxa"/>
            <w:tcBorders>
              <w:top w:val="single" w:sz="4" w:space="0" w:color="auto"/>
              <w:left w:val="single" w:sz="4" w:space="0" w:color="auto"/>
              <w:bottom w:val="single" w:sz="4" w:space="0" w:color="auto"/>
              <w:right w:val="single" w:sz="4" w:space="0" w:color="auto"/>
            </w:tcBorders>
            <w:vAlign w:val="center"/>
          </w:tcPr>
          <w:p w14:paraId="0ECDB44E" w14:textId="77777777" w:rsidR="00BF4413" w:rsidRDefault="002B677F">
            <w:pPr>
              <w:autoSpaceDE w:val="0"/>
              <w:autoSpaceDN w:val="0"/>
              <w:adjustRightInd w:val="0"/>
              <w:spacing w:after="0"/>
              <w:jc w:val="center"/>
              <w:rPr>
                <w:rFonts w:eastAsia="Calibri"/>
                <w:color w:val="000000"/>
                <w:szCs w:val="24"/>
              </w:rPr>
            </w:pPr>
            <w:r>
              <w:rPr>
                <w:rFonts w:eastAsia="Calibri"/>
                <w:color w:val="000000"/>
                <w:szCs w:val="24"/>
              </w:rPr>
              <w:t>5’ –TTTTTTACG GGC CAC ATC AAC TCA TTG ATA GAC AAT GCG TCC ACT GCC CGT – 3’</w:t>
            </w:r>
          </w:p>
        </w:tc>
      </w:tr>
      <w:tr w:rsidR="00BF4413" w14:paraId="66F13BD2" w14:textId="77777777">
        <w:tc>
          <w:tcPr>
            <w:tcW w:w="1975" w:type="dxa"/>
            <w:tcBorders>
              <w:top w:val="single" w:sz="4" w:space="0" w:color="auto"/>
              <w:left w:val="single" w:sz="4" w:space="0" w:color="auto"/>
              <w:bottom w:val="single" w:sz="4" w:space="0" w:color="auto"/>
              <w:right w:val="single" w:sz="4" w:space="0" w:color="auto"/>
            </w:tcBorders>
            <w:vAlign w:val="center"/>
          </w:tcPr>
          <w:p w14:paraId="5D67CDFB" w14:textId="77777777" w:rsidR="00BF4413" w:rsidRDefault="002B677F">
            <w:pPr>
              <w:spacing w:after="0"/>
              <w:jc w:val="center"/>
              <w:rPr>
                <w:rFonts w:eastAsia="Calibri"/>
                <w:color w:val="000000"/>
                <w:szCs w:val="24"/>
              </w:rPr>
            </w:pPr>
            <w:r>
              <w:rPr>
                <w:rFonts w:eastAsia="Calibri"/>
                <w:color w:val="000000"/>
                <w:szCs w:val="24"/>
              </w:rPr>
              <w:t>Modified PD-L1</w:t>
            </w:r>
          </w:p>
        </w:tc>
        <w:tc>
          <w:tcPr>
            <w:tcW w:w="7375" w:type="dxa"/>
            <w:tcBorders>
              <w:top w:val="single" w:sz="4" w:space="0" w:color="auto"/>
              <w:left w:val="single" w:sz="4" w:space="0" w:color="auto"/>
              <w:bottom w:val="single" w:sz="4" w:space="0" w:color="auto"/>
              <w:right w:val="single" w:sz="4" w:space="0" w:color="auto"/>
            </w:tcBorders>
            <w:vAlign w:val="center"/>
          </w:tcPr>
          <w:p w14:paraId="7255F6FD" w14:textId="77777777" w:rsidR="00BF4413" w:rsidRDefault="002B677F">
            <w:pPr>
              <w:autoSpaceDE w:val="0"/>
              <w:autoSpaceDN w:val="0"/>
              <w:adjustRightInd w:val="0"/>
              <w:spacing w:after="0"/>
              <w:jc w:val="center"/>
              <w:rPr>
                <w:rFonts w:eastAsia="Calibri"/>
                <w:color w:val="000000"/>
                <w:szCs w:val="24"/>
              </w:rPr>
            </w:pPr>
            <w:r>
              <w:rPr>
                <w:rFonts w:eastAsia="Calibri"/>
                <w:color w:val="000000"/>
                <w:szCs w:val="24"/>
              </w:rPr>
              <w:t xml:space="preserve">5’ – SH – </w:t>
            </w:r>
            <w:r>
              <w:rPr>
                <w:rFonts w:eastAsia="Calibri"/>
                <w:color w:val="000000"/>
                <w:szCs w:val="24"/>
                <w:u w:val="single"/>
              </w:rPr>
              <w:t>TTTTT</w:t>
            </w:r>
            <w:r>
              <w:rPr>
                <w:rFonts w:eastAsia="Calibri"/>
                <w:color w:val="000000"/>
                <w:szCs w:val="24"/>
              </w:rPr>
              <w:t>TTACG GGC CAC ATC AAC TCA TTG ATA GAC AAT GCG TC C ACT GCC CGT – 3’</w:t>
            </w:r>
          </w:p>
        </w:tc>
      </w:tr>
      <w:tr w:rsidR="00BF4413" w14:paraId="768454CD" w14:textId="77777777">
        <w:tc>
          <w:tcPr>
            <w:tcW w:w="1975" w:type="dxa"/>
            <w:tcBorders>
              <w:top w:val="single" w:sz="4" w:space="0" w:color="auto"/>
              <w:left w:val="single" w:sz="4" w:space="0" w:color="auto"/>
              <w:bottom w:val="single" w:sz="4" w:space="0" w:color="auto"/>
              <w:right w:val="single" w:sz="4" w:space="0" w:color="auto"/>
            </w:tcBorders>
            <w:vAlign w:val="center"/>
          </w:tcPr>
          <w:p w14:paraId="4F90E77E" w14:textId="77777777" w:rsidR="00BF4413" w:rsidRDefault="002B677F">
            <w:pPr>
              <w:spacing w:after="0"/>
              <w:jc w:val="center"/>
              <w:rPr>
                <w:rFonts w:eastAsia="Calibri"/>
                <w:color w:val="000000"/>
                <w:szCs w:val="24"/>
              </w:rPr>
            </w:pPr>
            <w:r>
              <w:rPr>
                <w:rFonts w:eastAsia="Calibri"/>
                <w:color w:val="000000"/>
                <w:szCs w:val="24"/>
              </w:rPr>
              <w:t>Fluorescent labelling</w:t>
            </w:r>
          </w:p>
        </w:tc>
        <w:tc>
          <w:tcPr>
            <w:tcW w:w="7375" w:type="dxa"/>
            <w:tcBorders>
              <w:top w:val="single" w:sz="4" w:space="0" w:color="auto"/>
              <w:left w:val="single" w:sz="4" w:space="0" w:color="auto"/>
              <w:bottom w:val="single" w:sz="4" w:space="0" w:color="auto"/>
              <w:right w:val="single" w:sz="4" w:space="0" w:color="auto"/>
            </w:tcBorders>
            <w:vAlign w:val="center"/>
          </w:tcPr>
          <w:p w14:paraId="050D9E73" w14:textId="77777777" w:rsidR="00BF4413" w:rsidRDefault="002B677F">
            <w:pPr>
              <w:autoSpaceDE w:val="0"/>
              <w:autoSpaceDN w:val="0"/>
              <w:adjustRightInd w:val="0"/>
              <w:spacing w:after="0"/>
              <w:jc w:val="center"/>
              <w:rPr>
                <w:rFonts w:eastAsia="Calibri"/>
                <w:color w:val="000000"/>
                <w:szCs w:val="24"/>
              </w:rPr>
            </w:pPr>
            <w:r>
              <w:rPr>
                <w:rFonts w:eastAsia="Calibri"/>
                <w:color w:val="000000"/>
                <w:szCs w:val="24"/>
              </w:rPr>
              <w:t xml:space="preserve">5’ – SH – Cy3- </w:t>
            </w:r>
            <w:r>
              <w:rPr>
                <w:rFonts w:eastAsia="Calibri"/>
                <w:color w:val="000000"/>
                <w:szCs w:val="24"/>
                <w:u w:val="single"/>
              </w:rPr>
              <w:t>TTTTT</w:t>
            </w:r>
            <w:r>
              <w:rPr>
                <w:rFonts w:eastAsia="Calibri"/>
                <w:color w:val="000000"/>
                <w:szCs w:val="24"/>
              </w:rPr>
              <w:t>TTACG GGC CAC ATC AAC TCA TTG ATA GAC AAT GCG TC C ACT GCC CGT – 3’</w:t>
            </w:r>
          </w:p>
        </w:tc>
      </w:tr>
    </w:tbl>
    <w:p w14:paraId="4DB63110" w14:textId="77777777" w:rsidR="00BF4413" w:rsidRDefault="002B677F">
      <w:pPr>
        <w:pStyle w:val="Heading4"/>
      </w:pPr>
      <w:r>
        <w:t>TEM images of Au/4</w:t>
      </w:r>
      <w:r>
        <w:rPr>
          <w:rFonts w:eastAsia="SimSun" w:hint="eastAsia"/>
          <w:lang w:val="en-US" w:eastAsia="zh-CN"/>
        </w:rPr>
        <w:t>-</w:t>
      </w:r>
      <w:r>
        <w:t>ATP/Ag nanotags</w:t>
      </w:r>
    </w:p>
    <w:p w14:paraId="6184FE90" w14:textId="77777777" w:rsidR="00BF4413" w:rsidRDefault="002B677F">
      <w:pPr>
        <w:jc w:val="center"/>
        <w:rPr>
          <w:rStyle w:val="Emphasis"/>
        </w:rPr>
      </w:pPr>
      <w:r>
        <w:rPr>
          <w:rStyle w:val="Emphasis"/>
          <w:noProof/>
        </w:rPr>
        <w:drawing>
          <wp:inline distT="0" distB="0" distL="0" distR="0" wp14:anchorId="2AC3B5C4" wp14:editId="3120F15A">
            <wp:extent cx="3562350" cy="16757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579954" cy="1684137"/>
                    </a:xfrm>
                    <a:prstGeom prst="rect">
                      <a:avLst/>
                    </a:prstGeom>
                    <a:noFill/>
                  </pic:spPr>
                </pic:pic>
              </a:graphicData>
            </a:graphic>
          </wp:inline>
        </w:drawing>
      </w:r>
    </w:p>
    <w:p w14:paraId="4626CCA7" w14:textId="77777777" w:rsidR="00BF4413" w:rsidRDefault="002B677F">
      <w:pPr>
        <w:jc w:val="both"/>
        <w:rPr>
          <w:rStyle w:val="Emphasis"/>
        </w:rPr>
      </w:pPr>
      <w:r>
        <w:rPr>
          <w:rStyle w:val="Emphasis"/>
        </w:rPr>
        <w:t>Figure S1: TEM images of the bare Au nanospheres (left panel) and Au/4-ATP/Ag nanotags (right panel).</w:t>
      </w:r>
    </w:p>
    <w:p w14:paraId="5986038D" w14:textId="77777777" w:rsidR="00BF4413" w:rsidRDefault="002B677F">
      <w:pPr>
        <w:pStyle w:val="Heading4"/>
      </w:pPr>
      <w:r>
        <w:lastRenderedPageBreak/>
        <w:t>Light absorption characterization of Au/4-ATP/Ag nanotags</w:t>
      </w:r>
    </w:p>
    <w:p w14:paraId="05430CBF" w14:textId="77777777" w:rsidR="00BF4413" w:rsidRDefault="002B677F">
      <w:pPr>
        <w:pStyle w:val="NoSpacing"/>
        <w:jc w:val="center"/>
      </w:pPr>
      <w:r>
        <w:rPr>
          <w:noProof/>
        </w:rPr>
        <w:drawing>
          <wp:inline distT="0" distB="0" distL="0" distR="0" wp14:anchorId="57D7D8AB" wp14:editId="0EA00332">
            <wp:extent cx="2209800" cy="2679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2223255" cy="2695387"/>
                    </a:xfrm>
                    <a:prstGeom prst="rect">
                      <a:avLst/>
                    </a:prstGeom>
                  </pic:spPr>
                </pic:pic>
              </a:graphicData>
            </a:graphic>
          </wp:inline>
        </w:drawing>
      </w:r>
    </w:p>
    <w:p w14:paraId="784CAAAA" w14:textId="77777777" w:rsidR="00BF4413" w:rsidRDefault="002B677F">
      <w:pPr>
        <w:jc w:val="both"/>
        <w:rPr>
          <w:rStyle w:val="Emphasis"/>
        </w:rPr>
      </w:pPr>
      <w:r>
        <w:rPr>
          <w:rStyle w:val="Emphasis"/>
        </w:rPr>
        <w:t xml:space="preserve">Figure S2: Light absorption spectroscopy profile of the Au nanospheres and Au/4-ATP/Ag nanotags obtained in visible region. </w:t>
      </w:r>
    </w:p>
    <w:p w14:paraId="303C2D33" w14:textId="77777777" w:rsidR="00BF4413" w:rsidRDefault="002B677F">
      <w:pPr>
        <w:pStyle w:val="Heading4"/>
        <w:spacing w:after="0"/>
      </w:pPr>
      <w:r>
        <w:t>Spectral acquisition optimization</w:t>
      </w:r>
    </w:p>
    <w:p w14:paraId="0F9ED7AB" w14:textId="6063F447" w:rsidR="00BF4413" w:rsidRDefault="002B677F">
      <w:pPr>
        <w:jc w:val="both"/>
      </w:pPr>
      <w:r>
        <w:t xml:space="preserve">The integrity of Raman signals originated from SERS tags was investigated and optimized by changing the laser exposed power and signal accumulation time. The laser was operated at 5.7 mW (10% laser filter) and spectra (n=7) were acquired with 5 s of accumulation time. At the same point, the laser power was enhanced to 28.5 mW (50% laser filter) and then to 57 mW (100% laser filter) and spectra were acquired under the same conditions. According to the Figure </w:t>
      </w:r>
      <w:r w:rsidR="00084557">
        <w:t>S3</w:t>
      </w:r>
      <w:r>
        <w:t xml:space="preserve">A, no noise peak and sample burning was noticed which shows stability of nanotags at even high laser power. However, to acquire faster Raman images, we figured out the Raman signals at relatively smaller acquisition time (5 ms). At the same points, the spectra were acquired under the same laser conditions and noise-signal quality was assessed (Figure </w:t>
      </w:r>
      <w:r w:rsidR="00084557">
        <w:t>S3</w:t>
      </w:r>
      <w:r>
        <w:t xml:space="preserve">B). We noticed a relatively higher level of noise in each case especially when the laser was operated at 5.7 mW and 28.5 mW (Figure </w:t>
      </w:r>
      <w:r w:rsidR="00084557">
        <w:t>S3</w:t>
      </w:r>
      <w:r>
        <w:t xml:space="preserve">C). The acquired spectra were denoised using Periodic Wavelet Transform (PWT) algorithm and the transformed spectra in each case reduced the noise to a significant level (Figure </w:t>
      </w:r>
      <w:r w:rsidR="00084557">
        <w:t>S3</w:t>
      </w:r>
      <w:r>
        <w:t xml:space="preserve">C). It is to be noted that noise level was minimal when the laser was operated at 57 mW for 5 ms without causing any damage to the nanoprobes. Therefore, rest of the experiments were performed under the same laser conditions to yield maximum Raman output. The obtained mapping and point spectra were treated and represented as denoised images throughout the work.  </w:t>
      </w:r>
    </w:p>
    <w:p w14:paraId="5BC4824D" w14:textId="77777777" w:rsidR="00BF4413" w:rsidRDefault="002B677F">
      <w:pPr>
        <w:pStyle w:val="NoSpacing"/>
      </w:pPr>
      <w:r>
        <w:rPr>
          <w:noProof/>
        </w:rPr>
        <w:lastRenderedPageBreak/>
        <w:drawing>
          <wp:inline distT="0" distB="0" distL="114300" distR="114300" wp14:anchorId="2BA75E4C" wp14:editId="4ED947E0">
            <wp:extent cx="6116955" cy="4077970"/>
            <wp:effectExtent l="0" t="0" r="17145"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6116955" cy="4077970"/>
                    </a:xfrm>
                    <a:prstGeom prst="rect">
                      <a:avLst/>
                    </a:prstGeom>
                    <a:noFill/>
                    <a:ln>
                      <a:noFill/>
                    </a:ln>
                  </pic:spPr>
                </pic:pic>
              </a:graphicData>
            </a:graphic>
          </wp:inline>
        </w:drawing>
      </w:r>
    </w:p>
    <w:p w14:paraId="1CC7B33E" w14:textId="773A548F" w:rsidR="00BF4413" w:rsidRDefault="002B677F">
      <w:pPr>
        <w:jc w:val="both"/>
        <w:rPr>
          <w:rStyle w:val="Emphasis"/>
        </w:rPr>
      </w:pPr>
      <w:r>
        <w:rPr>
          <w:rStyle w:val="Emphasis"/>
        </w:rPr>
        <w:t>Figure S3: Optimization of laser power and acquisition time cell imaging experiments. (A) Average point spectra (n=7) obtained with 57 mW, 28.5 mW, and 5.7 mW power at the same point for 1 s.  (B) Average point spectra (n=7) obtained with 57 mW, 28.5 mW, and 5.7 mW power at the same point for 0.005 s. (C) Signal denoising through Periodic Wavelet Tranform algorithm at different laser powers.</w:t>
      </w:r>
    </w:p>
    <w:p w14:paraId="159D1EF2" w14:textId="5EE3F239" w:rsidR="00D9143F" w:rsidRDefault="00D9143F" w:rsidP="00D9143F">
      <w:pPr>
        <w:widowControl w:val="0"/>
        <w:autoSpaceDE w:val="0"/>
        <w:autoSpaceDN w:val="0"/>
        <w:adjustRightInd w:val="0"/>
        <w:ind w:left="480" w:hanging="480"/>
        <w:jc w:val="both"/>
        <w:rPr>
          <w:b/>
          <w:bCs/>
          <w:sz w:val="28"/>
          <w:szCs w:val="28"/>
        </w:rPr>
      </w:pPr>
      <w:r>
        <w:rPr>
          <w:b/>
          <w:bCs/>
          <w:sz w:val="28"/>
          <w:szCs w:val="28"/>
        </w:rPr>
        <w:t xml:space="preserve">HeLa cells with Cy3-PD-L1 aptamer </w:t>
      </w:r>
    </w:p>
    <w:p w14:paraId="32CDEC61" w14:textId="5C4FA569" w:rsidR="0070673B" w:rsidRDefault="00D9143F" w:rsidP="00D9143F">
      <w:pPr>
        <w:jc w:val="center"/>
        <w:rPr>
          <w:rStyle w:val="Emphasis"/>
        </w:rPr>
      </w:pPr>
      <w:r>
        <w:rPr>
          <w:iCs/>
          <w:noProof/>
        </w:rPr>
        <w:drawing>
          <wp:inline distT="0" distB="0" distL="0" distR="0" wp14:anchorId="76898495" wp14:editId="1B49BF3D">
            <wp:extent cx="4067175" cy="172783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00542" cy="1742006"/>
                    </a:xfrm>
                    <a:prstGeom prst="rect">
                      <a:avLst/>
                    </a:prstGeom>
                  </pic:spPr>
                </pic:pic>
              </a:graphicData>
            </a:graphic>
          </wp:inline>
        </w:drawing>
      </w:r>
    </w:p>
    <w:p w14:paraId="424D0FAA" w14:textId="6E8B4122" w:rsidR="00FA5619" w:rsidRDefault="00FA5619" w:rsidP="00FA5619">
      <w:pPr>
        <w:widowControl w:val="0"/>
        <w:autoSpaceDE w:val="0"/>
        <w:autoSpaceDN w:val="0"/>
        <w:adjustRightInd w:val="0"/>
        <w:jc w:val="both"/>
        <w:rPr>
          <w:rStyle w:val="Emphasis"/>
        </w:rPr>
      </w:pPr>
      <w:r>
        <w:rPr>
          <w:rStyle w:val="Emphasis"/>
        </w:rPr>
        <w:t>Figure S4: Fluorescence microscopy obtained image of single HeLa treated with cy-3 modified PD-L1 aptamer.</w:t>
      </w:r>
    </w:p>
    <w:p w14:paraId="38CEA363" w14:textId="77777777" w:rsidR="00EB6043" w:rsidRDefault="00EB6043" w:rsidP="00EB6043">
      <w:pPr>
        <w:widowControl w:val="0"/>
        <w:autoSpaceDE w:val="0"/>
        <w:autoSpaceDN w:val="0"/>
        <w:adjustRightInd w:val="0"/>
        <w:ind w:left="480" w:hanging="480"/>
        <w:jc w:val="both"/>
        <w:rPr>
          <w:b/>
          <w:bCs/>
          <w:sz w:val="28"/>
          <w:szCs w:val="28"/>
        </w:rPr>
      </w:pPr>
      <w:r>
        <w:rPr>
          <w:b/>
          <w:bCs/>
          <w:sz w:val="28"/>
          <w:szCs w:val="28"/>
        </w:rPr>
        <w:t>PCA biplot of time dependent PD-L1 elevation</w:t>
      </w:r>
    </w:p>
    <w:p w14:paraId="6F4EB04E" w14:textId="72998ED9" w:rsidR="00EB6043" w:rsidRDefault="00EB6043" w:rsidP="00EB6043">
      <w:pPr>
        <w:widowControl w:val="0"/>
        <w:autoSpaceDE w:val="0"/>
        <w:autoSpaceDN w:val="0"/>
        <w:adjustRightInd w:val="0"/>
        <w:jc w:val="center"/>
        <w:rPr>
          <w:b/>
          <w:bCs/>
          <w:sz w:val="28"/>
          <w:szCs w:val="28"/>
        </w:rPr>
      </w:pPr>
      <w:r>
        <w:rPr>
          <w:b/>
          <w:bCs/>
          <w:noProof/>
          <w:sz w:val="28"/>
          <w:szCs w:val="28"/>
        </w:rPr>
        <w:lastRenderedPageBreak/>
        <w:drawing>
          <wp:inline distT="0" distB="0" distL="0" distR="0" wp14:anchorId="14FA7FE5" wp14:editId="1A54F008">
            <wp:extent cx="2247900" cy="177140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2495" cy="1782907"/>
                    </a:xfrm>
                    <a:prstGeom prst="rect">
                      <a:avLst/>
                    </a:prstGeom>
                  </pic:spPr>
                </pic:pic>
              </a:graphicData>
            </a:graphic>
          </wp:inline>
        </w:drawing>
      </w:r>
    </w:p>
    <w:p w14:paraId="080A01F0" w14:textId="3A7B9D8E" w:rsidR="00EB6043" w:rsidRDefault="00EB6043" w:rsidP="00EB6043">
      <w:pPr>
        <w:widowControl w:val="0"/>
        <w:autoSpaceDE w:val="0"/>
        <w:autoSpaceDN w:val="0"/>
        <w:adjustRightInd w:val="0"/>
        <w:jc w:val="both"/>
        <w:rPr>
          <w:rStyle w:val="Emphasis"/>
        </w:rPr>
      </w:pPr>
      <w:r>
        <w:rPr>
          <w:rStyle w:val="Emphasis"/>
        </w:rPr>
        <w:t>Figure S5: PCA biplot showing the difference in PD-L1 expression different more visible with 8 h and 16 h group</w:t>
      </w:r>
      <w:r w:rsidR="0028365D">
        <w:rPr>
          <w:rStyle w:val="Emphasis"/>
        </w:rPr>
        <w:t xml:space="preserve"> treated with cytokine cocktail.</w:t>
      </w:r>
    </w:p>
    <w:p w14:paraId="4BE237BB" w14:textId="24D4F7B5" w:rsidR="002801DB" w:rsidRDefault="002801DB" w:rsidP="002801DB">
      <w:pPr>
        <w:widowControl w:val="0"/>
        <w:autoSpaceDE w:val="0"/>
        <w:autoSpaceDN w:val="0"/>
        <w:adjustRightInd w:val="0"/>
        <w:ind w:left="480" w:hanging="480"/>
        <w:jc w:val="both"/>
        <w:rPr>
          <w:b/>
          <w:bCs/>
          <w:sz w:val="28"/>
          <w:szCs w:val="28"/>
        </w:rPr>
      </w:pPr>
      <w:r>
        <w:rPr>
          <w:b/>
          <w:bCs/>
          <w:sz w:val="28"/>
          <w:szCs w:val="28"/>
        </w:rPr>
        <w:t>Time-dependent reversion of PD-L1 detected by SERS</w:t>
      </w:r>
    </w:p>
    <w:p w14:paraId="192FA922" w14:textId="29036CE7" w:rsidR="002801DB" w:rsidRDefault="007F4169" w:rsidP="007F4169">
      <w:pPr>
        <w:widowControl w:val="0"/>
        <w:autoSpaceDE w:val="0"/>
        <w:autoSpaceDN w:val="0"/>
        <w:adjustRightInd w:val="0"/>
        <w:ind w:left="480" w:hanging="480"/>
        <w:jc w:val="center"/>
        <w:rPr>
          <w:b/>
          <w:bCs/>
          <w:sz w:val="28"/>
          <w:szCs w:val="28"/>
        </w:rPr>
      </w:pPr>
      <w:r>
        <w:rPr>
          <w:b/>
          <w:bCs/>
          <w:noProof/>
          <w:sz w:val="28"/>
          <w:szCs w:val="28"/>
        </w:rPr>
        <w:drawing>
          <wp:inline distT="0" distB="0" distL="0" distR="0" wp14:anchorId="0375B230" wp14:editId="205B91A7">
            <wp:extent cx="5625352" cy="5667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3655" cy="5726114"/>
                    </a:xfrm>
                    <a:prstGeom prst="rect">
                      <a:avLst/>
                    </a:prstGeom>
                  </pic:spPr>
                </pic:pic>
              </a:graphicData>
            </a:graphic>
          </wp:inline>
        </w:drawing>
      </w:r>
    </w:p>
    <w:p w14:paraId="0332AFA2" w14:textId="01F485D2" w:rsidR="007F4169" w:rsidRPr="007F4169" w:rsidRDefault="007F4169" w:rsidP="007F4169">
      <w:pPr>
        <w:spacing w:after="240"/>
        <w:jc w:val="both"/>
        <w:rPr>
          <w:rFonts w:eastAsia="SimSun"/>
          <w:color w:val="000000" w:themeColor="text1"/>
          <w:kern w:val="24"/>
          <w:szCs w:val="24"/>
        </w:rPr>
      </w:pPr>
      <w:r w:rsidRPr="007F4169">
        <w:rPr>
          <w:rFonts w:eastAsia="SimSun"/>
          <w:color w:val="000000" w:themeColor="text1"/>
          <w:kern w:val="24"/>
          <w:szCs w:val="24"/>
        </w:rPr>
        <w:t>Figure S</w:t>
      </w:r>
      <w:r>
        <w:rPr>
          <w:rFonts w:eastAsia="SimSun"/>
          <w:color w:val="000000" w:themeColor="text1"/>
          <w:kern w:val="24"/>
          <w:szCs w:val="24"/>
        </w:rPr>
        <w:t>6</w:t>
      </w:r>
      <w:r w:rsidRPr="007F4169">
        <w:rPr>
          <w:rFonts w:eastAsia="SimSun"/>
          <w:color w:val="000000" w:themeColor="text1"/>
          <w:kern w:val="24"/>
          <w:szCs w:val="24"/>
        </w:rPr>
        <w:t xml:space="preserve">. Dynamic </w:t>
      </w:r>
      <w:r>
        <w:rPr>
          <w:rFonts w:eastAsia="SimSun"/>
          <w:color w:val="000000" w:themeColor="text1"/>
          <w:kern w:val="24"/>
          <w:szCs w:val="24"/>
        </w:rPr>
        <w:t>reversion</w:t>
      </w:r>
      <w:r w:rsidRPr="007F4169">
        <w:rPr>
          <w:rFonts w:eastAsia="SimSun"/>
          <w:color w:val="000000" w:themeColor="text1"/>
          <w:kern w:val="24"/>
          <w:szCs w:val="24"/>
        </w:rPr>
        <w:t xml:space="preserve"> of PD-L1 expression in single HeLa cell with anti-PD-L1 mAbs treatment. (A) SERS images and (B) SERS spectra of 4</w:t>
      </w:r>
      <w:r w:rsidRPr="007F4169">
        <w:rPr>
          <w:rFonts w:eastAsia="SimSun"/>
          <w:color w:val="000000" w:themeColor="text1"/>
          <w:kern w:val="24"/>
          <w:szCs w:val="24"/>
          <w:lang w:val="en-US"/>
        </w:rPr>
        <w:t>-</w:t>
      </w:r>
      <w:r w:rsidRPr="007F4169">
        <w:rPr>
          <w:rFonts w:eastAsia="SimSun"/>
          <w:color w:val="000000" w:themeColor="text1"/>
          <w:kern w:val="24"/>
          <w:szCs w:val="24"/>
        </w:rPr>
        <w:t xml:space="preserve">ATP reporter of single HeLa cell after </w:t>
      </w:r>
      <w:r w:rsidRPr="007F4169">
        <w:rPr>
          <w:rFonts w:eastAsia="SimSun"/>
          <w:color w:val="000000" w:themeColor="text1"/>
          <w:kern w:val="24"/>
          <w:szCs w:val="24"/>
        </w:rPr>
        <w:lastRenderedPageBreak/>
        <w:t>treatment with cytokine cocktail (1 mg/mL IL-6 and 1 mg/mL IFN-γ) and/or anti-PD-L1 mAb (1:1500) at 37 ℃ at the indicated time points (0 h, 1 h, 2 h, 3 h, 4 h, 5 h). (C) Dynamic variation</w:t>
      </w:r>
      <w:r w:rsidR="00FD50D6">
        <w:rPr>
          <w:rFonts w:eastAsia="SimSun"/>
          <w:color w:val="000000" w:themeColor="text1"/>
          <w:kern w:val="24"/>
          <w:szCs w:val="24"/>
        </w:rPr>
        <w:t xml:space="preserve">s in </w:t>
      </w:r>
      <w:r w:rsidRPr="007F4169">
        <w:rPr>
          <w:rFonts w:eastAsia="SimSun"/>
          <w:color w:val="000000" w:themeColor="text1"/>
          <w:kern w:val="24"/>
          <w:szCs w:val="24"/>
        </w:rPr>
        <w:t>SERS intensity of 4</w:t>
      </w:r>
      <w:r w:rsidRPr="007F4169">
        <w:rPr>
          <w:rFonts w:eastAsia="SimSun"/>
          <w:color w:val="000000" w:themeColor="text1"/>
          <w:kern w:val="24"/>
          <w:szCs w:val="24"/>
          <w:lang w:val="en-US"/>
        </w:rPr>
        <w:t>-</w:t>
      </w:r>
      <w:r w:rsidRPr="007F4169">
        <w:rPr>
          <w:rFonts w:eastAsia="SimSun"/>
          <w:color w:val="000000" w:themeColor="text1"/>
          <w:kern w:val="24"/>
          <w:szCs w:val="24"/>
        </w:rPr>
        <w:t>ATP reporter after treatment of HeLa cells with anti-PD-L1 mAb (R</w:t>
      </w:r>
      <w:r w:rsidR="00AA5852" w:rsidRPr="00AA5852">
        <w:rPr>
          <w:rFonts w:eastAsia="SimSun"/>
          <w:color w:val="000000" w:themeColor="text1"/>
          <w:kern w:val="24"/>
          <w:szCs w:val="24"/>
          <w:vertAlign w:val="superscript"/>
        </w:rPr>
        <w:t>2</w:t>
      </w:r>
      <w:r w:rsidRPr="007F4169">
        <w:rPr>
          <w:rFonts w:eastAsia="SimSun"/>
          <w:color w:val="000000" w:themeColor="text1"/>
          <w:kern w:val="24"/>
          <w:szCs w:val="24"/>
        </w:rPr>
        <w:t xml:space="preserve"> = 0.98). Shaded regions in spectra and error bars demonstrate the standard deviation (n=7). (D) Bright-field and fluorescence microscopy obtained dynamic PD-L1 expression in cells under anti-PD-L1 mAbs treatment. Positive-control images were obtained through 100× objective (scale bar: 10 μm), and time-lapse</w:t>
      </w:r>
      <w:r>
        <w:rPr>
          <w:rFonts w:eastAsia="SimSun"/>
          <w:color w:val="000000" w:themeColor="text1"/>
          <w:kern w:val="24"/>
          <w:szCs w:val="24"/>
        </w:rPr>
        <w:t xml:space="preserve"> </w:t>
      </w:r>
      <w:r w:rsidRPr="007F4169">
        <w:rPr>
          <w:rFonts w:eastAsia="SimSun"/>
          <w:color w:val="000000" w:themeColor="text1"/>
          <w:kern w:val="24"/>
          <w:szCs w:val="24"/>
        </w:rPr>
        <w:t xml:space="preserve">images were obtained through 20× objective (scale bar: 100 μm). </w:t>
      </w:r>
    </w:p>
    <w:p w14:paraId="34342140" w14:textId="762C43F6" w:rsidR="00BF4413" w:rsidRDefault="002B677F">
      <w:pPr>
        <w:widowControl w:val="0"/>
        <w:autoSpaceDE w:val="0"/>
        <w:autoSpaceDN w:val="0"/>
        <w:adjustRightInd w:val="0"/>
        <w:ind w:left="480" w:hanging="480"/>
        <w:jc w:val="both"/>
        <w:rPr>
          <w:b/>
          <w:bCs/>
          <w:sz w:val="28"/>
          <w:szCs w:val="28"/>
        </w:rPr>
      </w:pPr>
      <w:r>
        <w:rPr>
          <w:b/>
          <w:bCs/>
          <w:sz w:val="28"/>
          <w:szCs w:val="28"/>
        </w:rPr>
        <w:t>Bright-field images of HeLa cells under mAbs treatment</w:t>
      </w:r>
    </w:p>
    <w:p w14:paraId="4EEC51EA" w14:textId="77777777" w:rsidR="00BF4413" w:rsidRDefault="002B677F">
      <w:pPr>
        <w:widowControl w:val="0"/>
        <w:autoSpaceDE w:val="0"/>
        <w:autoSpaceDN w:val="0"/>
        <w:adjustRightInd w:val="0"/>
        <w:ind w:left="480" w:hanging="480"/>
        <w:jc w:val="center"/>
      </w:pPr>
      <w:r>
        <w:rPr>
          <w:noProof/>
        </w:rPr>
        <w:drawing>
          <wp:inline distT="0" distB="0" distL="114300" distR="114300" wp14:anchorId="00A7340C" wp14:editId="29845168">
            <wp:extent cx="4780915" cy="1899920"/>
            <wp:effectExtent l="0" t="0" r="635" b="508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3"/>
                    <a:stretch>
                      <a:fillRect/>
                    </a:stretch>
                  </pic:blipFill>
                  <pic:spPr>
                    <a:xfrm>
                      <a:off x="0" y="0"/>
                      <a:ext cx="4780915" cy="1899920"/>
                    </a:xfrm>
                    <a:prstGeom prst="rect">
                      <a:avLst/>
                    </a:prstGeom>
                    <a:noFill/>
                    <a:ln>
                      <a:noFill/>
                    </a:ln>
                  </pic:spPr>
                </pic:pic>
              </a:graphicData>
            </a:graphic>
          </wp:inline>
        </w:drawing>
      </w:r>
    </w:p>
    <w:p w14:paraId="5B0F6AA7" w14:textId="7DF02B7C" w:rsidR="00BF4413" w:rsidRDefault="002B677F">
      <w:pPr>
        <w:jc w:val="both"/>
        <w:rPr>
          <w:rStyle w:val="Emphasis"/>
        </w:rPr>
      </w:pPr>
      <w:r>
        <w:rPr>
          <w:rStyle w:val="Emphasis"/>
        </w:rPr>
        <w:t>Figure S</w:t>
      </w:r>
      <w:r w:rsidR="00FF2B46">
        <w:rPr>
          <w:rStyle w:val="Emphasis"/>
        </w:rPr>
        <w:t>7</w:t>
      </w:r>
      <w:r>
        <w:rPr>
          <w:rStyle w:val="Emphasis"/>
        </w:rPr>
        <w:t xml:space="preserve">: Bright-field HeLa cells images obtained after the </w:t>
      </w:r>
      <w:r w:rsidR="0051721C">
        <w:rPr>
          <w:rStyle w:val="Emphasis"/>
        </w:rPr>
        <w:t>treatment</w:t>
      </w:r>
      <w:r>
        <w:rPr>
          <w:rStyle w:val="Emphasis"/>
        </w:rPr>
        <w:t xml:space="preserve"> with anti PD-L1 mAbs for different times.</w:t>
      </w:r>
    </w:p>
    <w:p w14:paraId="59566B27" w14:textId="77777777" w:rsidR="00BF4413" w:rsidRDefault="002B677F">
      <w:pPr>
        <w:widowControl w:val="0"/>
        <w:autoSpaceDE w:val="0"/>
        <w:autoSpaceDN w:val="0"/>
        <w:adjustRightInd w:val="0"/>
        <w:ind w:left="480" w:hanging="480"/>
        <w:jc w:val="both"/>
        <w:rPr>
          <w:b/>
          <w:bCs/>
          <w:sz w:val="28"/>
          <w:szCs w:val="28"/>
        </w:rPr>
      </w:pPr>
      <w:r>
        <w:rPr>
          <w:b/>
          <w:bCs/>
          <w:sz w:val="28"/>
          <w:szCs w:val="28"/>
        </w:rPr>
        <w:t>References</w:t>
      </w:r>
    </w:p>
    <w:p w14:paraId="6650D99E" w14:textId="2EFB1906" w:rsidR="00DE4843" w:rsidRPr="00DE4843" w:rsidRDefault="002B677F" w:rsidP="00DE4843">
      <w:pPr>
        <w:widowControl w:val="0"/>
        <w:autoSpaceDE w:val="0"/>
        <w:autoSpaceDN w:val="0"/>
        <w:adjustRightInd w:val="0"/>
        <w:ind w:left="640" w:hanging="640"/>
        <w:rPr>
          <w:rFonts w:cs="Times New Roman"/>
          <w:noProof/>
          <w:szCs w:val="24"/>
        </w:rPr>
      </w:pPr>
      <w:r>
        <w:rPr>
          <w:szCs w:val="24"/>
        </w:rPr>
        <w:fldChar w:fldCharType="begin" w:fldLock="1"/>
      </w:r>
      <w:r>
        <w:rPr>
          <w:szCs w:val="24"/>
        </w:rPr>
        <w:instrText xml:space="preserve">ADDIN Mendeley Bibliography CSL_BIBLIOGRAPHY </w:instrText>
      </w:r>
      <w:r>
        <w:rPr>
          <w:szCs w:val="24"/>
        </w:rPr>
        <w:fldChar w:fldCharType="separate"/>
      </w:r>
      <w:r w:rsidR="00DE4843" w:rsidRPr="00DE4843">
        <w:rPr>
          <w:rFonts w:cs="Times New Roman"/>
          <w:noProof/>
          <w:szCs w:val="24"/>
        </w:rPr>
        <w:t>1.</w:t>
      </w:r>
      <w:r w:rsidR="00DE4843" w:rsidRPr="00DE4843">
        <w:rPr>
          <w:rFonts w:cs="Times New Roman"/>
          <w:noProof/>
          <w:szCs w:val="24"/>
        </w:rPr>
        <w:tab/>
        <w:t xml:space="preserve">Muhammad, M., Shao, C.-S., Liu, C., Song, G., Zhan, J., and Huang, Q. (2022). Monitoring of circulating exosomal immuno checkpoint in tumor microenvironment through ultrasensitive aptamer-functionalized SERS probes. Biosens. Bioelectron. X </w:t>
      </w:r>
      <w:r w:rsidR="00DE4843" w:rsidRPr="00DE4843">
        <w:rPr>
          <w:rFonts w:cs="Times New Roman"/>
          <w:i/>
          <w:iCs/>
          <w:noProof/>
          <w:szCs w:val="24"/>
        </w:rPr>
        <w:t>12</w:t>
      </w:r>
      <w:r w:rsidR="00DE4843" w:rsidRPr="00DE4843">
        <w:rPr>
          <w:rFonts w:cs="Times New Roman"/>
          <w:noProof/>
          <w:szCs w:val="24"/>
        </w:rPr>
        <w:t>, 100177. 10.1016/j.biosx.2022.100177.</w:t>
      </w:r>
    </w:p>
    <w:p w14:paraId="46B9623B" w14:textId="77777777" w:rsidR="00DE4843" w:rsidRPr="00DE4843" w:rsidRDefault="00DE4843" w:rsidP="00DE4843">
      <w:pPr>
        <w:widowControl w:val="0"/>
        <w:autoSpaceDE w:val="0"/>
        <w:autoSpaceDN w:val="0"/>
        <w:adjustRightInd w:val="0"/>
        <w:ind w:left="640" w:hanging="640"/>
        <w:rPr>
          <w:rFonts w:cs="Times New Roman"/>
          <w:noProof/>
        </w:rPr>
      </w:pPr>
      <w:r w:rsidRPr="00DE4843">
        <w:rPr>
          <w:rFonts w:cs="Times New Roman"/>
          <w:noProof/>
          <w:szCs w:val="24"/>
        </w:rPr>
        <w:t>2.</w:t>
      </w:r>
      <w:r w:rsidRPr="00DE4843">
        <w:rPr>
          <w:rFonts w:cs="Times New Roman"/>
          <w:noProof/>
          <w:szCs w:val="24"/>
        </w:rPr>
        <w:tab/>
        <w:t xml:space="preserve">Duff, D.G., Baiker, A., Gameson, I., and Edwards, P.P. (1993). A new hydrosol of gold clusters. 2. A comparison of some different measurement techniques. Langmuir </w:t>
      </w:r>
      <w:r w:rsidRPr="00DE4843">
        <w:rPr>
          <w:rFonts w:cs="Times New Roman"/>
          <w:i/>
          <w:iCs/>
          <w:noProof/>
          <w:szCs w:val="24"/>
        </w:rPr>
        <w:t>9</w:t>
      </w:r>
      <w:r w:rsidRPr="00DE4843">
        <w:rPr>
          <w:rFonts w:cs="Times New Roman"/>
          <w:noProof/>
          <w:szCs w:val="24"/>
        </w:rPr>
        <w:t>, 2310–2317. 10.1021/la00033a011.</w:t>
      </w:r>
    </w:p>
    <w:p w14:paraId="6ED98B59" w14:textId="77777777" w:rsidR="00BF4413" w:rsidRDefault="002B677F">
      <w:pPr>
        <w:pStyle w:val="NoSpacing"/>
      </w:pPr>
      <w:r>
        <w:rPr>
          <w:sz w:val="24"/>
          <w:szCs w:val="24"/>
        </w:rPr>
        <w:fldChar w:fldCharType="end"/>
      </w:r>
    </w:p>
    <w:sectPr w:rsidR="00BF4413">
      <w:pgSz w:w="11906" w:h="16838"/>
      <w:pgMar w:top="964" w:right="1134" w:bottom="96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CE459" w14:textId="77777777" w:rsidR="006C131F" w:rsidRDefault="006C131F">
      <w:pPr>
        <w:spacing w:line="240" w:lineRule="auto"/>
      </w:pPr>
      <w:r>
        <w:separator/>
      </w:r>
    </w:p>
  </w:endnote>
  <w:endnote w:type="continuationSeparator" w:id="0">
    <w:p w14:paraId="35AC8177" w14:textId="77777777" w:rsidR="006C131F" w:rsidRDefault="006C13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D7AD" w14:textId="77777777" w:rsidR="006C131F" w:rsidRDefault="006C131F">
      <w:pPr>
        <w:spacing w:after="0"/>
      </w:pPr>
      <w:r>
        <w:separator/>
      </w:r>
    </w:p>
  </w:footnote>
  <w:footnote w:type="continuationSeparator" w:id="0">
    <w:p w14:paraId="596012E0" w14:textId="77777777" w:rsidR="006C131F" w:rsidRDefault="006C131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EzYmVjOTViYzE3M2E1NWFjYWZlZmFmNzg3ZDgzZjMifQ=="/>
  </w:docVars>
  <w:rsids>
    <w:rsidRoot w:val="005B2C9E"/>
    <w:rsid w:val="00051124"/>
    <w:rsid w:val="00057BF6"/>
    <w:rsid w:val="00084557"/>
    <w:rsid w:val="000C0910"/>
    <w:rsid w:val="000D16A7"/>
    <w:rsid w:val="00105D4D"/>
    <w:rsid w:val="001767C2"/>
    <w:rsid w:val="00185BD7"/>
    <w:rsid w:val="001A71CC"/>
    <w:rsid w:val="001D35BE"/>
    <w:rsid w:val="00250B18"/>
    <w:rsid w:val="00270739"/>
    <w:rsid w:val="002801DB"/>
    <w:rsid w:val="0028365D"/>
    <w:rsid w:val="00296EEC"/>
    <w:rsid w:val="002A1845"/>
    <w:rsid w:val="002B677F"/>
    <w:rsid w:val="002C0C1E"/>
    <w:rsid w:val="002F057D"/>
    <w:rsid w:val="002F6776"/>
    <w:rsid w:val="00310385"/>
    <w:rsid w:val="0031101B"/>
    <w:rsid w:val="00332B71"/>
    <w:rsid w:val="003513AB"/>
    <w:rsid w:val="003621FF"/>
    <w:rsid w:val="00390669"/>
    <w:rsid w:val="003E1FFB"/>
    <w:rsid w:val="00412BF4"/>
    <w:rsid w:val="004762F9"/>
    <w:rsid w:val="00492C5A"/>
    <w:rsid w:val="004D32C8"/>
    <w:rsid w:val="004E54FD"/>
    <w:rsid w:val="004F6B0A"/>
    <w:rsid w:val="004F6FAD"/>
    <w:rsid w:val="0051721C"/>
    <w:rsid w:val="00567702"/>
    <w:rsid w:val="00587841"/>
    <w:rsid w:val="005B2C9E"/>
    <w:rsid w:val="005B4436"/>
    <w:rsid w:val="005B5A85"/>
    <w:rsid w:val="005C3BD3"/>
    <w:rsid w:val="005C6C51"/>
    <w:rsid w:val="005D70C3"/>
    <w:rsid w:val="005E2410"/>
    <w:rsid w:val="005F6F4C"/>
    <w:rsid w:val="0064090E"/>
    <w:rsid w:val="006B1F54"/>
    <w:rsid w:val="006C131F"/>
    <w:rsid w:val="006C7113"/>
    <w:rsid w:val="006C711B"/>
    <w:rsid w:val="0070673B"/>
    <w:rsid w:val="00764B48"/>
    <w:rsid w:val="007A7A98"/>
    <w:rsid w:val="007D0053"/>
    <w:rsid w:val="007F4169"/>
    <w:rsid w:val="007F7B7A"/>
    <w:rsid w:val="00881916"/>
    <w:rsid w:val="0089195E"/>
    <w:rsid w:val="008D108D"/>
    <w:rsid w:val="008D35CB"/>
    <w:rsid w:val="008E6A56"/>
    <w:rsid w:val="009130A8"/>
    <w:rsid w:val="0095281A"/>
    <w:rsid w:val="00A11DE8"/>
    <w:rsid w:val="00A419A2"/>
    <w:rsid w:val="00A879F2"/>
    <w:rsid w:val="00AA5852"/>
    <w:rsid w:val="00AF6CD6"/>
    <w:rsid w:val="00B77EB2"/>
    <w:rsid w:val="00B9273B"/>
    <w:rsid w:val="00BC7BEF"/>
    <w:rsid w:val="00BE75A4"/>
    <w:rsid w:val="00BF4413"/>
    <w:rsid w:val="00C75D61"/>
    <w:rsid w:val="00C800A8"/>
    <w:rsid w:val="00C9244E"/>
    <w:rsid w:val="00D03696"/>
    <w:rsid w:val="00D45972"/>
    <w:rsid w:val="00D9143F"/>
    <w:rsid w:val="00DB1836"/>
    <w:rsid w:val="00DE4843"/>
    <w:rsid w:val="00DF481E"/>
    <w:rsid w:val="00E03B36"/>
    <w:rsid w:val="00E20A27"/>
    <w:rsid w:val="00E653BD"/>
    <w:rsid w:val="00E81A3E"/>
    <w:rsid w:val="00E86AA7"/>
    <w:rsid w:val="00EB6043"/>
    <w:rsid w:val="00EE1D7E"/>
    <w:rsid w:val="00F0173D"/>
    <w:rsid w:val="00F46020"/>
    <w:rsid w:val="00F679B2"/>
    <w:rsid w:val="00F87443"/>
    <w:rsid w:val="00FA5619"/>
    <w:rsid w:val="00FD50D6"/>
    <w:rsid w:val="00FE2D8F"/>
    <w:rsid w:val="00FE2FD4"/>
    <w:rsid w:val="00FF2B46"/>
    <w:rsid w:val="020E11B2"/>
    <w:rsid w:val="024F5D64"/>
    <w:rsid w:val="073F6AF1"/>
    <w:rsid w:val="0CA969FB"/>
    <w:rsid w:val="122C3BEC"/>
    <w:rsid w:val="1490577D"/>
    <w:rsid w:val="1B5C1C2F"/>
    <w:rsid w:val="20AE2CED"/>
    <w:rsid w:val="248A3FFE"/>
    <w:rsid w:val="28DD446E"/>
    <w:rsid w:val="2A264A04"/>
    <w:rsid w:val="2A2A7249"/>
    <w:rsid w:val="2C8A21E7"/>
    <w:rsid w:val="2D3B0AA1"/>
    <w:rsid w:val="314D00FE"/>
    <w:rsid w:val="31992660"/>
    <w:rsid w:val="411D2B67"/>
    <w:rsid w:val="44CB11A6"/>
    <w:rsid w:val="452061B2"/>
    <w:rsid w:val="52B16BFE"/>
    <w:rsid w:val="60B67302"/>
    <w:rsid w:val="65E25644"/>
    <w:rsid w:val="6C542343"/>
    <w:rsid w:val="6DC30759"/>
    <w:rsid w:val="6ECE4D36"/>
    <w:rsid w:val="6F6B6EC0"/>
    <w:rsid w:val="731F6D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461FE"/>
  <w15:docId w15:val="{2D5602B1-6BA1-4590-87ED-76A50792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60"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paragraph" w:styleId="Heading4">
    <w:name w:val="heading 4"/>
    <w:basedOn w:val="Normal"/>
    <w:next w:val="Normal"/>
    <w:uiPriority w:val="9"/>
    <w:unhideWhenUsed/>
    <w:qFormat/>
    <w:pPr>
      <w:keepNext/>
      <w:keepLines/>
      <w:spacing w:before="280" w:after="290" w:line="376" w:lineRule="auto"/>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rFonts w:ascii="Times New Roman" w:hAnsi="Times New Roman"/>
      <w:iCs/>
      <w:sz w:val="24"/>
    </w:rPr>
  </w:style>
  <w:style w:type="table" w:styleId="TableGrid">
    <w:name w:val="Table Grid"/>
    <w:basedOn w:val="TableNormal"/>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Pr>
      <w:b/>
      <w:sz w:val="32"/>
    </w:rPr>
  </w:style>
  <w:style w:type="character" w:customStyle="1" w:styleId="Heading1Char">
    <w:name w:val="Heading 1 Char"/>
    <w:basedOn w:val="DefaultParagraphFont"/>
    <w:link w:val="Heading1"/>
    <w:uiPriority w:val="9"/>
    <w:qFormat/>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98F2F-30F3-4FEF-AEEB-0B521A97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2224</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dc:creator>
  <cp:lastModifiedBy>Muhammad .</cp:lastModifiedBy>
  <cp:revision>75</cp:revision>
  <dcterms:created xsi:type="dcterms:W3CDTF">2022-12-15T01:17:00Z</dcterms:created>
  <dcterms:modified xsi:type="dcterms:W3CDTF">2023-08-14T01:32:00Z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2057-11.2.0.11516</vt:lpwstr>
  </property>
  <property fmtid="{D5CDD505-2E9C-101B-9397-08002B2CF9AE}" pid="3" name="ICV">
    <vt:lpwstr>CC0BD34FD00749EA9B0F4D014906D7D8_13</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http://www.zotero.org/styles/biomarker-research</vt:lpwstr>
  </property>
  <property fmtid="{D5CDD505-2E9C-101B-9397-08002B2CF9AE}" pid="7" name="Mendeley Recent Style Name 1_1">
    <vt:lpwstr>Biomarker Research</vt:lpwstr>
  </property>
  <property fmtid="{D5CDD505-2E9C-101B-9397-08002B2CF9AE}" pid="8" name="Mendeley Recent Style Id 2_1">
    <vt:lpwstr>http://www.zotero.org/styles/biosensors-and-bioelectronics</vt:lpwstr>
  </property>
  <property fmtid="{D5CDD505-2E9C-101B-9397-08002B2CF9AE}" pid="9" name="Mendeley Recent Style Name 2_1">
    <vt:lpwstr>Biosensors and Bioelectronics</vt:lpwstr>
  </property>
  <property fmtid="{D5CDD505-2E9C-101B-9397-08002B2CF9AE}" pid="10" name="Mendeley Recent Style Id 3_1">
    <vt:lpwstr>http://www.zotero.org/styles/cell-metabolism</vt:lpwstr>
  </property>
  <property fmtid="{D5CDD505-2E9C-101B-9397-08002B2CF9AE}" pid="11" name="Mendeley Recent Style Name 3_1">
    <vt:lpwstr>Cell Metabolism</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http://www.zotero.org/styles/nature-communications</vt:lpwstr>
  </property>
  <property fmtid="{D5CDD505-2E9C-101B-9397-08002B2CF9AE}" pid="21" name="Mendeley Recent Style Name 8_1">
    <vt:lpwstr>Nature Communications</vt:lpwstr>
  </property>
  <property fmtid="{D5CDD505-2E9C-101B-9397-08002B2CF9AE}" pid="22" name="Mendeley Recent Style Id 9_1">
    <vt:lpwstr>http://www.zotero.org/styles/small</vt:lpwstr>
  </property>
  <property fmtid="{D5CDD505-2E9C-101B-9397-08002B2CF9AE}" pid="23" name="Mendeley Recent Style Name 9_1">
    <vt:lpwstr>Small</vt:lpwstr>
  </property>
  <property fmtid="{D5CDD505-2E9C-101B-9397-08002B2CF9AE}" pid="24" name="Mendeley Document_1">
    <vt:lpwstr>True</vt:lpwstr>
  </property>
  <property fmtid="{D5CDD505-2E9C-101B-9397-08002B2CF9AE}" pid="25" name="Mendeley Unique User Id_1">
    <vt:lpwstr>041cc054-5a17-37c5-b713-1cad8f793045</vt:lpwstr>
  </property>
  <property fmtid="{D5CDD505-2E9C-101B-9397-08002B2CF9AE}" pid="26" name="Mendeley Citation Style_1">
    <vt:lpwstr>http://www.zotero.org/styles/cell-metabolism</vt:lpwstr>
  </property>
</Properties>
</file>