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1013F0" w14:textId="77777777" w:rsidR="004E49F5" w:rsidRPr="00092F4D" w:rsidRDefault="004E49F5" w:rsidP="001462AA">
      <w:pPr>
        <w:spacing w:line="480" w:lineRule="auto"/>
        <w:rPr>
          <w:b/>
          <w:sz w:val="22"/>
          <w:szCs w:val="22"/>
        </w:rPr>
      </w:pPr>
      <w:r w:rsidRPr="00092F4D">
        <w:rPr>
          <w:b/>
          <w:sz w:val="22"/>
          <w:szCs w:val="22"/>
        </w:rPr>
        <w:t>Supplementary Information</w:t>
      </w:r>
    </w:p>
    <w:p w14:paraId="1ED9BE66" w14:textId="77777777" w:rsidR="004E49F5" w:rsidRPr="00092F4D" w:rsidRDefault="004E49F5" w:rsidP="001462AA">
      <w:pPr>
        <w:spacing w:line="480" w:lineRule="auto"/>
        <w:ind w:right="-720"/>
        <w:jc w:val="both"/>
        <w:rPr>
          <w:b/>
          <w:sz w:val="22"/>
          <w:szCs w:val="22"/>
        </w:rPr>
      </w:pPr>
      <w:r w:rsidRPr="00092F4D">
        <w:rPr>
          <w:b/>
          <w:sz w:val="22"/>
          <w:szCs w:val="22"/>
        </w:rPr>
        <w:t>Supplementary Methods</w:t>
      </w:r>
    </w:p>
    <w:p w14:paraId="226A0B39" w14:textId="77777777" w:rsidR="004E49F5" w:rsidRPr="00092F4D" w:rsidRDefault="004E49F5" w:rsidP="001462AA">
      <w:pPr>
        <w:spacing w:line="480" w:lineRule="auto"/>
        <w:ind w:right="-720"/>
        <w:jc w:val="both"/>
        <w:rPr>
          <w:b/>
          <w:sz w:val="22"/>
          <w:szCs w:val="22"/>
        </w:rPr>
      </w:pPr>
      <w:r w:rsidRPr="00092F4D">
        <w:rPr>
          <w:b/>
          <w:sz w:val="22"/>
          <w:szCs w:val="22"/>
        </w:rPr>
        <w:t>Expression plasmids</w:t>
      </w:r>
    </w:p>
    <w:p w14:paraId="593D5E13" w14:textId="4B026407" w:rsidR="004E49F5" w:rsidRPr="00092F4D" w:rsidRDefault="004E49F5" w:rsidP="001462AA">
      <w:pPr>
        <w:spacing w:line="480" w:lineRule="auto"/>
        <w:ind w:right="-720"/>
        <w:jc w:val="both"/>
        <w:rPr>
          <w:b/>
          <w:sz w:val="22"/>
          <w:szCs w:val="22"/>
        </w:rPr>
      </w:pPr>
      <w:r w:rsidRPr="00092F4D">
        <w:rPr>
          <w:color w:val="000000"/>
          <w:sz w:val="22"/>
          <w:szCs w:val="22"/>
        </w:rPr>
        <w:t xml:space="preserve">The full-length and fragment cDNAs of human PML1 were cloned into the pCMX-1H vector. HA-PML1 was subcloned into the </w:t>
      </w:r>
      <w:proofErr w:type="spellStart"/>
      <w:r w:rsidRPr="00092F4D">
        <w:rPr>
          <w:color w:val="000000"/>
          <w:sz w:val="22"/>
          <w:szCs w:val="22"/>
        </w:rPr>
        <w:t>pLVX</w:t>
      </w:r>
      <w:proofErr w:type="spellEnd"/>
      <w:r w:rsidRPr="00092F4D">
        <w:rPr>
          <w:color w:val="000000"/>
          <w:sz w:val="22"/>
          <w:szCs w:val="22"/>
        </w:rPr>
        <w:t>-IRES-puro (</w:t>
      </w:r>
      <w:proofErr w:type="spellStart"/>
      <w:r w:rsidRPr="00092F4D">
        <w:rPr>
          <w:color w:val="000000"/>
          <w:sz w:val="22"/>
          <w:szCs w:val="22"/>
        </w:rPr>
        <w:t>Clontech</w:t>
      </w:r>
      <w:proofErr w:type="spellEnd"/>
      <w:r w:rsidRPr="00092F4D">
        <w:rPr>
          <w:color w:val="000000"/>
          <w:sz w:val="22"/>
          <w:szCs w:val="22"/>
        </w:rPr>
        <w:t>/Takara Bio, CA, USA).</w:t>
      </w:r>
      <w:r w:rsidR="00E82CAE">
        <w:rPr>
          <w:color w:val="000000"/>
          <w:sz w:val="22"/>
          <w:szCs w:val="22"/>
        </w:rPr>
        <w:t xml:space="preserve"> </w:t>
      </w:r>
      <w:r w:rsidRPr="00092F4D">
        <w:rPr>
          <w:color w:val="000000"/>
          <w:sz w:val="22"/>
          <w:szCs w:val="22"/>
        </w:rPr>
        <w:t>All plasmids were verified by DNA sequencing. Lentivirus was produced in HEK293T cells (ATCC) using the packaging vector pMD2.G (</w:t>
      </w:r>
      <w:proofErr w:type="spellStart"/>
      <w:r w:rsidRPr="00092F4D">
        <w:rPr>
          <w:color w:val="000000"/>
          <w:sz w:val="22"/>
          <w:szCs w:val="22"/>
        </w:rPr>
        <w:t>Addgene</w:t>
      </w:r>
      <w:proofErr w:type="spellEnd"/>
      <w:r w:rsidRPr="00092F4D">
        <w:rPr>
          <w:color w:val="000000"/>
          <w:sz w:val="22"/>
          <w:szCs w:val="22"/>
        </w:rPr>
        <w:t xml:space="preserve"> #12259) and psPAX2 (</w:t>
      </w:r>
      <w:proofErr w:type="spellStart"/>
      <w:r w:rsidRPr="00092F4D">
        <w:rPr>
          <w:color w:val="000000"/>
          <w:sz w:val="22"/>
          <w:szCs w:val="22"/>
        </w:rPr>
        <w:t>Addgene</w:t>
      </w:r>
      <w:proofErr w:type="spellEnd"/>
      <w:r w:rsidRPr="00092F4D">
        <w:rPr>
          <w:color w:val="000000"/>
          <w:sz w:val="22"/>
          <w:szCs w:val="22"/>
        </w:rPr>
        <w:t xml:space="preserve"> #12260). The GST-WDR5 expression plasmid was cloned into pGEX4T-1. </w:t>
      </w:r>
    </w:p>
    <w:p w14:paraId="224EECF9" w14:textId="77777777" w:rsidR="004E49F5" w:rsidRPr="00092F4D" w:rsidRDefault="004E49F5" w:rsidP="004D7189">
      <w:pPr>
        <w:spacing w:line="480" w:lineRule="auto"/>
        <w:ind w:left="-450" w:right="-720"/>
        <w:jc w:val="both"/>
        <w:rPr>
          <w:b/>
          <w:sz w:val="22"/>
          <w:szCs w:val="22"/>
        </w:rPr>
      </w:pPr>
    </w:p>
    <w:p w14:paraId="48E5DFC7" w14:textId="77777777" w:rsidR="004E49F5" w:rsidRPr="00092F4D" w:rsidRDefault="004E49F5" w:rsidP="001462AA">
      <w:pPr>
        <w:spacing w:line="480" w:lineRule="auto"/>
        <w:ind w:right="-720"/>
        <w:jc w:val="both"/>
        <w:rPr>
          <w:b/>
          <w:sz w:val="22"/>
          <w:szCs w:val="22"/>
        </w:rPr>
      </w:pPr>
      <w:r w:rsidRPr="00092F4D">
        <w:rPr>
          <w:b/>
          <w:color w:val="000000"/>
          <w:sz w:val="22"/>
          <w:szCs w:val="22"/>
        </w:rPr>
        <w:t>shRNA expression plasmids</w:t>
      </w:r>
    </w:p>
    <w:p w14:paraId="35C6AE89" w14:textId="77777777" w:rsidR="004E49F5" w:rsidRPr="00092F4D" w:rsidRDefault="004E49F5" w:rsidP="001462AA">
      <w:pPr>
        <w:spacing w:line="480" w:lineRule="auto"/>
        <w:ind w:right="-720"/>
        <w:jc w:val="both"/>
        <w:rPr>
          <w:b/>
          <w:sz w:val="22"/>
          <w:szCs w:val="22"/>
        </w:rPr>
      </w:pPr>
      <w:r w:rsidRPr="00092F4D">
        <w:rPr>
          <w:color w:val="000000"/>
          <w:sz w:val="22"/>
          <w:szCs w:val="22"/>
        </w:rPr>
        <w:t xml:space="preserve">Sustained knockdown (KD) of </w:t>
      </w:r>
      <w:r w:rsidRPr="00092F4D">
        <w:rPr>
          <w:i/>
          <w:color w:val="000000"/>
          <w:sz w:val="22"/>
          <w:szCs w:val="22"/>
        </w:rPr>
        <w:t>PML</w:t>
      </w:r>
      <w:r w:rsidRPr="00092F4D">
        <w:rPr>
          <w:color w:val="000000"/>
          <w:sz w:val="22"/>
          <w:szCs w:val="22"/>
        </w:rPr>
        <w:t xml:space="preserve"> expression in cells was achieved using validated shRNA oligonucleotides in the lentivector pLKO.1-puro (MISSION shRNA lentiviruses; Sigma-Aldrich, St. Louis, MO) according to the manufacturer’s protocol. The following </w:t>
      </w:r>
      <w:proofErr w:type="spellStart"/>
      <w:r w:rsidRPr="00092F4D">
        <w:rPr>
          <w:color w:val="000000"/>
          <w:sz w:val="22"/>
          <w:szCs w:val="22"/>
        </w:rPr>
        <w:t>shRNAs</w:t>
      </w:r>
      <w:proofErr w:type="spellEnd"/>
      <w:r w:rsidRPr="00092F4D">
        <w:rPr>
          <w:color w:val="000000"/>
          <w:sz w:val="22"/>
          <w:szCs w:val="22"/>
        </w:rPr>
        <w:t xml:space="preserve"> were selected for knockdown: </w:t>
      </w:r>
      <w:r w:rsidRPr="00092F4D">
        <w:rPr>
          <w:i/>
          <w:color w:val="000000"/>
          <w:sz w:val="22"/>
          <w:szCs w:val="22"/>
        </w:rPr>
        <w:t>PML</w:t>
      </w:r>
      <w:r w:rsidRPr="00092F4D">
        <w:rPr>
          <w:color w:val="000000"/>
          <w:sz w:val="22"/>
          <w:szCs w:val="22"/>
        </w:rPr>
        <w:t xml:space="preserve"> (TRCN00000003867 and TRCN0000355997), </w:t>
      </w:r>
      <w:r w:rsidRPr="00092F4D">
        <w:rPr>
          <w:i/>
          <w:color w:val="000000"/>
          <w:sz w:val="22"/>
          <w:szCs w:val="22"/>
        </w:rPr>
        <w:t>WDR5</w:t>
      </w:r>
      <w:r w:rsidRPr="00092F4D">
        <w:rPr>
          <w:color w:val="000000"/>
          <w:sz w:val="22"/>
          <w:szCs w:val="22"/>
        </w:rPr>
        <w:t xml:space="preserve"> (TRCN0000431031 and TRCN0000118049), </w:t>
      </w:r>
      <w:r w:rsidRPr="00092F4D">
        <w:rPr>
          <w:i/>
          <w:color w:val="000000"/>
          <w:sz w:val="22"/>
          <w:szCs w:val="22"/>
        </w:rPr>
        <w:t>ESR1</w:t>
      </w:r>
      <w:r w:rsidRPr="00092F4D">
        <w:rPr>
          <w:color w:val="000000"/>
          <w:sz w:val="22"/>
          <w:szCs w:val="22"/>
        </w:rPr>
        <w:t xml:space="preserve"> (TRCN0000003300 and TRCN0000003301), and non-target control (SHC005; control shRNA or control KD). Selection with puromycin 48 hours after lentiviral infection resulted in &gt;70% knockdown efficiency, as confirmed by RT-PCR and immunoblot analysis.</w:t>
      </w:r>
    </w:p>
    <w:p w14:paraId="22227E0F" w14:textId="77777777" w:rsidR="004E49F5" w:rsidRPr="00092F4D" w:rsidRDefault="004E49F5" w:rsidP="004D7189">
      <w:pPr>
        <w:spacing w:line="480" w:lineRule="auto"/>
        <w:ind w:left="-450" w:right="-720"/>
        <w:jc w:val="both"/>
        <w:rPr>
          <w:b/>
          <w:sz w:val="22"/>
          <w:szCs w:val="22"/>
        </w:rPr>
      </w:pPr>
    </w:p>
    <w:p w14:paraId="204AD972" w14:textId="77777777" w:rsidR="004E49F5" w:rsidRPr="00092F4D" w:rsidRDefault="004E49F5" w:rsidP="001462AA">
      <w:pPr>
        <w:spacing w:line="480" w:lineRule="auto"/>
        <w:ind w:right="-720"/>
        <w:jc w:val="both"/>
        <w:rPr>
          <w:b/>
          <w:sz w:val="22"/>
          <w:szCs w:val="22"/>
        </w:rPr>
      </w:pPr>
      <w:r w:rsidRPr="00092F4D">
        <w:rPr>
          <w:b/>
          <w:sz w:val="22"/>
          <w:szCs w:val="22"/>
        </w:rPr>
        <w:t>GST pulldown assays</w:t>
      </w:r>
    </w:p>
    <w:p w14:paraId="7284B5A4" w14:textId="77777777" w:rsidR="004E49F5" w:rsidRPr="00092F4D" w:rsidRDefault="004E49F5" w:rsidP="001462AA">
      <w:pPr>
        <w:spacing w:line="480" w:lineRule="auto"/>
        <w:ind w:right="-720"/>
        <w:jc w:val="both"/>
        <w:rPr>
          <w:b/>
          <w:sz w:val="22"/>
          <w:szCs w:val="22"/>
        </w:rPr>
      </w:pPr>
      <w:r w:rsidRPr="00092F4D">
        <w:rPr>
          <w:sz w:val="22"/>
          <w:szCs w:val="22"/>
        </w:rPr>
        <w:t xml:space="preserve">GST and GST-WDR5 constructs were transformed into </w:t>
      </w:r>
      <w:r w:rsidRPr="00092F4D">
        <w:rPr>
          <w:i/>
          <w:sz w:val="22"/>
          <w:szCs w:val="22"/>
        </w:rPr>
        <w:t>E. coli</w:t>
      </w:r>
      <w:r w:rsidRPr="00092F4D">
        <w:rPr>
          <w:sz w:val="22"/>
          <w:szCs w:val="22"/>
        </w:rPr>
        <w:t xml:space="preserve">, DR5α strain. Protein expression and pulldown assays were performed using purified proteins and MCF-7 cell extracts expressing HA-PML1 according to our previous studies </w:t>
      </w:r>
      <w:r>
        <w:rPr>
          <w:noProof/>
          <w:sz w:val="22"/>
          <w:szCs w:val="22"/>
        </w:rPr>
        <w:t>[52]</w:t>
      </w:r>
      <w:r w:rsidRPr="00092F4D">
        <w:rPr>
          <w:sz w:val="22"/>
          <w:szCs w:val="22"/>
        </w:rPr>
        <w:t>.</w:t>
      </w:r>
    </w:p>
    <w:p w14:paraId="68393C80" w14:textId="77777777" w:rsidR="004E49F5" w:rsidRPr="00092F4D" w:rsidRDefault="004E49F5" w:rsidP="004D7189">
      <w:pPr>
        <w:spacing w:line="480" w:lineRule="auto"/>
        <w:ind w:left="-450" w:right="-720"/>
        <w:jc w:val="both"/>
        <w:rPr>
          <w:b/>
          <w:sz w:val="22"/>
          <w:szCs w:val="22"/>
        </w:rPr>
      </w:pPr>
    </w:p>
    <w:p w14:paraId="76D2F84D" w14:textId="77777777" w:rsidR="004E49F5" w:rsidRPr="00092F4D" w:rsidRDefault="004E49F5" w:rsidP="001462AA">
      <w:pPr>
        <w:spacing w:line="480" w:lineRule="auto"/>
        <w:ind w:right="-720"/>
        <w:jc w:val="both"/>
        <w:rPr>
          <w:b/>
          <w:sz w:val="22"/>
          <w:szCs w:val="22"/>
        </w:rPr>
      </w:pPr>
      <w:r w:rsidRPr="00092F4D">
        <w:rPr>
          <w:b/>
          <w:color w:val="000000"/>
          <w:sz w:val="22"/>
          <w:szCs w:val="22"/>
        </w:rPr>
        <w:t>Reverse transcription-quantitative PCR (RT-qPCR) analysis</w:t>
      </w:r>
    </w:p>
    <w:p w14:paraId="168CA134" w14:textId="77777777" w:rsidR="004E49F5" w:rsidRPr="00092F4D" w:rsidRDefault="004E49F5" w:rsidP="001462AA">
      <w:pPr>
        <w:spacing w:line="480" w:lineRule="auto"/>
        <w:ind w:right="-720"/>
        <w:jc w:val="both"/>
        <w:rPr>
          <w:b/>
          <w:sz w:val="22"/>
          <w:szCs w:val="22"/>
        </w:rPr>
      </w:pPr>
      <w:r w:rsidRPr="00092F4D">
        <w:rPr>
          <w:sz w:val="22"/>
          <w:szCs w:val="22"/>
        </w:rPr>
        <w:t xml:space="preserve">To quantify gene expression, we performed RT-qPCR using the Bio-Rad CFX-96 system and </w:t>
      </w:r>
      <w:proofErr w:type="spellStart"/>
      <w:r w:rsidRPr="00092F4D">
        <w:rPr>
          <w:sz w:val="22"/>
          <w:szCs w:val="22"/>
        </w:rPr>
        <w:t>iQ</w:t>
      </w:r>
      <w:proofErr w:type="spellEnd"/>
      <w:r w:rsidRPr="00092F4D">
        <w:rPr>
          <w:sz w:val="22"/>
          <w:szCs w:val="22"/>
        </w:rPr>
        <w:t xml:space="preserve"> SYBR Green </w:t>
      </w:r>
      <w:proofErr w:type="spellStart"/>
      <w:r w:rsidRPr="00092F4D">
        <w:rPr>
          <w:sz w:val="22"/>
          <w:szCs w:val="22"/>
        </w:rPr>
        <w:t>Supermix</w:t>
      </w:r>
      <w:proofErr w:type="spellEnd"/>
      <w:r w:rsidRPr="00092F4D">
        <w:rPr>
          <w:sz w:val="22"/>
          <w:szCs w:val="22"/>
        </w:rPr>
        <w:t xml:space="preserve"> kit (Bio-Rad, USA, #1708880) following the manufacturer's instructions. Primers for qPCR were designed using Primer Bank </w:t>
      </w:r>
      <w:r w:rsidRPr="00092F4D">
        <w:rPr>
          <w:color w:val="000000"/>
          <w:sz w:val="22"/>
          <w:szCs w:val="22"/>
        </w:rPr>
        <w:t>(</w:t>
      </w:r>
      <w:hyperlink r:id="rId7">
        <w:r w:rsidRPr="00092F4D">
          <w:rPr>
            <w:color w:val="000000"/>
            <w:sz w:val="22"/>
            <w:szCs w:val="22"/>
          </w:rPr>
          <w:t>http://pga.mgh.harvard.edu/primerbank/index.html</w:t>
        </w:r>
      </w:hyperlink>
      <w:r w:rsidRPr="00092F4D">
        <w:rPr>
          <w:color w:val="000000"/>
          <w:sz w:val="22"/>
          <w:szCs w:val="22"/>
        </w:rPr>
        <w:t xml:space="preserve">) </w:t>
      </w:r>
      <w:r w:rsidRPr="00092F4D">
        <w:rPr>
          <w:sz w:val="22"/>
          <w:szCs w:val="22"/>
        </w:rPr>
        <w:t xml:space="preserve">or NCBI-Primer Blast for </w:t>
      </w:r>
      <w:proofErr w:type="spellStart"/>
      <w:r w:rsidRPr="00092F4D">
        <w:rPr>
          <w:sz w:val="22"/>
          <w:szCs w:val="22"/>
        </w:rPr>
        <w:t>ChIP</w:t>
      </w:r>
      <w:proofErr w:type="spellEnd"/>
      <w:r w:rsidRPr="00092F4D">
        <w:rPr>
          <w:sz w:val="22"/>
          <w:szCs w:val="22"/>
        </w:rPr>
        <w:t xml:space="preserve">. </w:t>
      </w:r>
      <w:r w:rsidRPr="00092F4D">
        <w:rPr>
          <w:sz w:val="22"/>
          <w:szCs w:val="22"/>
        </w:rPr>
        <w:lastRenderedPageBreak/>
        <w:t>Each experiment was performed in triplicate or more, as indicated in Figure Legends, and the results were analyzed from three independent experiments.</w:t>
      </w:r>
    </w:p>
    <w:p w14:paraId="2C110BB4" w14:textId="77777777" w:rsidR="004E49F5" w:rsidRPr="00DC7D6A" w:rsidRDefault="004E49F5" w:rsidP="004D7189">
      <w:pPr>
        <w:spacing w:line="480" w:lineRule="auto"/>
        <w:ind w:left="-450" w:right="-720"/>
        <w:jc w:val="both"/>
        <w:rPr>
          <w:b/>
          <w:color w:val="000000" w:themeColor="text1"/>
          <w:sz w:val="22"/>
          <w:szCs w:val="22"/>
        </w:rPr>
      </w:pPr>
    </w:p>
    <w:p w14:paraId="24FABAA1" w14:textId="77777777" w:rsidR="004E49F5" w:rsidRPr="00DC7D6A" w:rsidRDefault="004E49F5" w:rsidP="001462AA">
      <w:pPr>
        <w:spacing w:line="480" w:lineRule="auto"/>
        <w:ind w:right="-720"/>
        <w:jc w:val="both"/>
        <w:rPr>
          <w:b/>
          <w:bCs/>
          <w:color w:val="000000" w:themeColor="text1"/>
          <w:sz w:val="22"/>
          <w:szCs w:val="22"/>
        </w:rPr>
      </w:pPr>
      <w:r w:rsidRPr="00DC7D6A">
        <w:rPr>
          <w:b/>
          <w:bCs/>
          <w:color w:val="000000" w:themeColor="text1"/>
          <w:sz w:val="22"/>
          <w:szCs w:val="22"/>
        </w:rPr>
        <w:t>Chromatin immunoprecipitation followed by sequencing (</w:t>
      </w:r>
      <w:proofErr w:type="spellStart"/>
      <w:r w:rsidRPr="00DC7D6A">
        <w:rPr>
          <w:b/>
          <w:bCs/>
          <w:color w:val="000000" w:themeColor="text1"/>
          <w:sz w:val="22"/>
          <w:szCs w:val="22"/>
        </w:rPr>
        <w:t>ChIP</w:t>
      </w:r>
      <w:proofErr w:type="spellEnd"/>
      <w:r w:rsidRPr="00DC7D6A">
        <w:rPr>
          <w:b/>
          <w:bCs/>
          <w:color w:val="000000" w:themeColor="text1"/>
          <w:sz w:val="22"/>
          <w:szCs w:val="22"/>
        </w:rPr>
        <w:t>-seq)</w:t>
      </w:r>
    </w:p>
    <w:p w14:paraId="41D67BD8" w14:textId="77777777" w:rsidR="004E49F5" w:rsidRPr="00DC7D6A" w:rsidRDefault="004E49F5" w:rsidP="001462AA">
      <w:pPr>
        <w:spacing w:line="480" w:lineRule="auto"/>
        <w:ind w:right="-720"/>
        <w:jc w:val="both"/>
        <w:rPr>
          <w:color w:val="000000" w:themeColor="text1"/>
          <w:sz w:val="22"/>
          <w:szCs w:val="22"/>
        </w:rPr>
      </w:pPr>
      <w:r w:rsidRPr="00DC7D6A">
        <w:rPr>
          <w:color w:val="000000" w:themeColor="text1"/>
          <w:sz w:val="22"/>
          <w:szCs w:val="22"/>
        </w:rPr>
        <w:t>Chromatin immunoprecipitation followed by sequencing (</w:t>
      </w:r>
      <w:proofErr w:type="spellStart"/>
      <w:r w:rsidRPr="00DC7D6A">
        <w:rPr>
          <w:color w:val="000000" w:themeColor="text1"/>
          <w:sz w:val="22"/>
          <w:szCs w:val="22"/>
        </w:rPr>
        <w:t>ChIP</w:t>
      </w:r>
      <w:proofErr w:type="spellEnd"/>
      <w:r w:rsidRPr="00DC7D6A">
        <w:rPr>
          <w:color w:val="000000" w:themeColor="text1"/>
          <w:sz w:val="22"/>
          <w:szCs w:val="22"/>
        </w:rPr>
        <w:t xml:space="preserve">-seq) analyses were performed using the MCF-7 cell line and MEF (mouse embryonic fibroblast) cells utilized as a spike-in control. In the case of MCF-7 cells, transduction with shRNA-PML or shRNA-Ctrl was performed, followed by puromycin selection for 48 hours. Subsequently, cellular cross-linking was achieved using 1% formaldehyde for 10 minutes at room temperature. Nuclei were isolated utilizing a hypotonic buffer (20 mM Tris, pH 7.4, 2 mM MgCl2, 5% glycerol) and subsequently lysed using </w:t>
      </w:r>
      <w:proofErr w:type="spellStart"/>
      <w:r w:rsidRPr="00DC7D6A">
        <w:rPr>
          <w:color w:val="000000" w:themeColor="text1"/>
          <w:sz w:val="22"/>
          <w:szCs w:val="22"/>
        </w:rPr>
        <w:t>ChIP</w:t>
      </w:r>
      <w:proofErr w:type="spellEnd"/>
      <w:r w:rsidRPr="00DC7D6A">
        <w:rPr>
          <w:color w:val="000000" w:themeColor="text1"/>
          <w:sz w:val="22"/>
          <w:szCs w:val="22"/>
        </w:rPr>
        <w:t xml:space="preserve"> lysis buffer (20 mM Tris, pH 7.4, 150 mM NaCl, 1% NP40, 0.5% DOC, 0.1% SDS, 1 mM EDTA). Chromatin was subjected to sonication, generating fragments within the range of 200-700 bp. Antibody pre-equilibration with beads (</w:t>
      </w:r>
      <w:proofErr w:type="spellStart"/>
      <w:r w:rsidRPr="00DC7D6A">
        <w:rPr>
          <w:color w:val="000000" w:themeColor="text1"/>
          <w:sz w:val="22"/>
          <w:szCs w:val="22"/>
        </w:rPr>
        <w:t>Dynabeads</w:t>
      </w:r>
      <w:proofErr w:type="spellEnd"/>
      <w:r w:rsidRPr="00DC7D6A">
        <w:rPr>
          <w:color w:val="000000" w:themeColor="text1"/>
          <w:sz w:val="22"/>
          <w:szCs w:val="22"/>
        </w:rPr>
        <w:t xml:space="preserve">, </w:t>
      </w:r>
      <w:proofErr w:type="spellStart"/>
      <w:r w:rsidRPr="00DC7D6A">
        <w:rPr>
          <w:color w:val="000000" w:themeColor="text1"/>
          <w:sz w:val="22"/>
          <w:szCs w:val="22"/>
        </w:rPr>
        <w:t>Thermo</w:t>
      </w:r>
      <w:proofErr w:type="spellEnd"/>
      <w:r w:rsidRPr="00DC7D6A">
        <w:rPr>
          <w:color w:val="000000" w:themeColor="text1"/>
          <w:sz w:val="22"/>
          <w:szCs w:val="22"/>
        </w:rPr>
        <w:t xml:space="preserve"> Scientific), involving 2 </w:t>
      </w:r>
      <w:proofErr w:type="spellStart"/>
      <w:r w:rsidRPr="00DC7D6A">
        <w:rPr>
          <w:color w:val="000000" w:themeColor="text1"/>
          <w:sz w:val="22"/>
          <w:szCs w:val="22"/>
        </w:rPr>
        <w:t>μg</w:t>
      </w:r>
      <w:proofErr w:type="spellEnd"/>
      <w:r w:rsidRPr="00DC7D6A">
        <w:rPr>
          <w:color w:val="000000" w:themeColor="text1"/>
          <w:sz w:val="22"/>
          <w:szCs w:val="22"/>
        </w:rPr>
        <w:t xml:space="preserve"> for </w:t>
      </w:r>
      <w:proofErr w:type="spellStart"/>
      <w:r w:rsidRPr="00DC7D6A">
        <w:rPr>
          <w:color w:val="000000" w:themeColor="text1"/>
          <w:sz w:val="22"/>
          <w:szCs w:val="22"/>
        </w:rPr>
        <w:t>ChIP</w:t>
      </w:r>
      <w:proofErr w:type="spellEnd"/>
      <w:r w:rsidRPr="00DC7D6A">
        <w:rPr>
          <w:color w:val="000000" w:themeColor="text1"/>
          <w:sz w:val="22"/>
          <w:szCs w:val="22"/>
        </w:rPr>
        <w:t xml:space="preserve"> and 10 </w:t>
      </w:r>
      <w:proofErr w:type="spellStart"/>
      <w:r w:rsidRPr="00DC7D6A">
        <w:rPr>
          <w:color w:val="000000" w:themeColor="text1"/>
          <w:sz w:val="22"/>
          <w:szCs w:val="22"/>
        </w:rPr>
        <w:t>μg</w:t>
      </w:r>
      <w:proofErr w:type="spellEnd"/>
      <w:r w:rsidRPr="00DC7D6A">
        <w:rPr>
          <w:color w:val="000000" w:themeColor="text1"/>
          <w:sz w:val="22"/>
          <w:szCs w:val="22"/>
        </w:rPr>
        <w:t xml:space="preserve"> for </w:t>
      </w:r>
      <w:proofErr w:type="spellStart"/>
      <w:r w:rsidRPr="00DC7D6A">
        <w:rPr>
          <w:color w:val="000000" w:themeColor="text1"/>
          <w:sz w:val="22"/>
          <w:szCs w:val="22"/>
        </w:rPr>
        <w:t>ChIP</w:t>
      </w:r>
      <w:proofErr w:type="spellEnd"/>
      <w:r w:rsidRPr="00DC7D6A">
        <w:rPr>
          <w:color w:val="000000" w:themeColor="text1"/>
          <w:sz w:val="22"/>
          <w:szCs w:val="22"/>
        </w:rPr>
        <w:t xml:space="preserve">-Seq, was performed overnight prior to a 6-hour immunoprecipitation of chromatin. Following rigorous washing, the bound chromatin was eluted using </w:t>
      </w:r>
      <w:proofErr w:type="spellStart"/>
      <w:r w:rsidRPr="00DC7D6A">
        <w:rPr>
          <w:color w:val="000000" w:themeColor="text1"/>
          <w:sz w:val="22"/>
          <w:szCs w:val="22"/>
        </w:rPr>
        <w:t>ChIP</w:t>
      </w:r>
      <w:proofErr w:type="spellEnd"/>
      <w:r w:rsidRPr="00DC7D6A">
        <w:rPr>
          <w:color w:val="000000" w:themeColor="text1"/>
          <w:sz w:val="22"/>
          <w:szCs w:val="22"/>
        </w:rPr>
        <w:t xml:space="preserve"> elution buffer (50 mM Tris, pH 8.0, 1 mM EDTA, 1% SDS, 50 mM NaHCO3), and subsequent protein digestion was conducted using 10 mg/ml proteinase K at 55°C for 1 hour. Chromosomal DNA was extracted using the </w:t>
      </w:r>
      <w:proofErr w:type="spellStart"/>
      <w:r w:rsidRPr="00DC7D6A">
        <w:rPr>
          <w:color w:val="000000" w:themeColor="text1"/>
          <w:sz w:val="22"/>
          <w:szCs w:val="22"/>
        </w:rPr>
        <w:t>QIAquick</w:t>
      </w:r>
      <w:proofErr w:type="spellEnd"/>
      <w:r w:rsidRPr="00DC7D6A">
        <w:rPr>
          <w:color w:val="000000" w:themeColor="text1"/>
          <w:sz w:val="22"/>
          <w:szCs w:val="22"/>
        </w:rPr>
        <w:t xml:space="preserve"> PCR Purification Kit (cat. 28104; Qiagen) and subjected to either quantitative PCR (qPCR) analysis or submitted for high-throughput sequencing after RNA digestion.</w:t>
      </w:r>
    </w:p>
    <w:p w14:paraId="5C59E0A3" w14:textId="77777777" w:rsidR="004E49F5" w:rsidRPr="000B234E" w:rsidRDefault="004E49F5" w:rsidP="004D7189">
      <w:pPr>
        <w:spacing w:line="480" w:lineRule="auto"/>
        <w:ind w:left="-450" w:right="-720"/>
        <w:jc w:val="both"/>
        <w:rPr>
          <w:color w:val="000000" w:themeColor="text1"/>
          <w:sz w:val="22"/>
          <w:szCs w:val="22"/>
        </w:rPr>
      </w:pPr>
    </w:p>
    <w:p w14:paraId="7F0BBEE1" w14:textId="77777777" w:rsidR="004E49F5" w:rsidRPr="000B234E" w:rsidRDefault="004E49F5" w:rsidP="001462AA">
      <w:pPr>
        <w:pBdr>
          <w:top w:val="nil"/>
          <w:left w:val="nil"/>
          <w:bottom w:val="nil"/>
          <w:right w:val="nil"/>
          <w:between w:val="nil"/>
        </w:pBdr>
        <w:spacing w:line="480" w:lineRule="auto"/>
        <w:ind w:right="-720"/>
        <w:jc w:val="both"/>
        <w:rPr>
          <w:color w:val="000000" w:themeColor="text1"/>
          <w:sz w:val="22"/>
          <w:szCs w:val="22"/>
        </w:rPr>
      </w:pPr>
      <w:proofErr w:type="spellStart"/>
      <w:r w:rsidRPr="000B234E">
        <w:rPr>
          <w:b/>
          <w:color w:val="000000" w:themeColor="text1"/>
          <w:sz w:val="22"/>
          <w:szCs w:val="22"/>
        </w:rPr>
        <w:t>ChIP</w:t>
      </w:r>
      <w:proofErr w:type="spellEnd"/>
      <w:r w:rsidRPr="000B234E">
        <w:rPr>
          <w:b/>
          <w:color w:val="000000" w:themeColor="text1"/>
          <w:sz w:val="22"/>
          <w:szCs w:val="22"/>
        </w:rPr>
        <w:t>-Seq analyses</w:t>
      </w:r>
    </w:p>
    <w:p w14:paraId="00A6ACA3" w14:textId="77777777" w:rsidR="004E49F5" w:rsidRDefault="004E49F5" w:rsidP="001462AA">
      <w:pPr>
        <w:spacing w:line="480" w:lineRule="auto"/>
        <w:ind w:right="-720"/>
        <w:jc w:val="both"/>
        <w:rPr>
          <w:b/>
          <w:sz w:val="22"/>
          <w:szCs w:val="22"/>
        </w:rPr>
      </w:pPr>
      <w:r>
        <w:rPr>
          <w:rFonts w:eastAsia="Times New Roman"/>
          <w:color w:val="0E101A"/>
          <w:sz w:val="22"/>
          <w:szCs w:val="22"/>
        </w:rPr>
        <w:t>C</w:t>
      </w:r>
      <w:r w:rsidRPr="000B234E">
        <w:rPr>
          <w:rFonts w:eastAsia="Times New Roman"/>
          <w:color w:val="0E101A"/>
          <w:sz w:val="22"/>
          <w:szCs w:val="22"/>
        </w:rPr>
        <w:t xml:space="preserve">hromatin </w:t>
      </w:r>
      <w:r>
        <w:rPr>
          <w:rFonts w:eastAsia="Times New Roman"/>
          <w:color w:val="0E101A"/>
          <w:sz w:val="22"/>
          <w:szCs w:val="22"/>
        </w:rPr>
        <w:t>i</w:t>
      </w:r>
      <w:r w:rsidRPr="000B234E">
        <w:rPr>
          <w:rFonts w:eastAsia="Times New Roman"/>
          <w:color w:val="0E101A"/>
          <w:sz w:val="22"/>
          <w:szCs w:val="22"/>
        </w:rPr>
        <w:t>mmunoprecipitation followed by sequencing (</w:t>
      </w:r>
      <w:proofErr w:type="spellStart"/>
      <w:r w:rsidRPr="000B234E">
        <w:rPr>
          <w:rFonts w:eastAsia="Times New Roman"/>
          <w:color w:val="0E101A"/>
          <w:sz w:val="22"/>
          <w:szCs w:val="22"/>
        </w:rPr>
        <w:t>ChIP</w:t>
      </w:r>
      <w:proofErr w:type="spellEnd"/>
      <w:r w:rsidRPr="000B234E">
        <w:rPr>
          <w:rFonts w:eastAsia="Times New Roman"/>
          <w:color w:val="0E101A"/>
          <w:sz w:val="22"/>
          <w:szCs w:val="22"/>
        </w:rPr>
        <w:t>-seq) analyses integrat</w:t>
      </w:r>
      <w:r>
        <w:rPr>
          <w:rFonts w:eastAsia="Times New Roman"/>
          <w:color w:val="0E101A"/>
          <w:sz w:val="22"/>
          <w:szCs w:val="22"/>
        </w:rPr>
        <w:t>e</w:t>
      </w:r>
      <w:r w:rsidRPr="000B234E">
        <w:rPr>
          <w:rFonts w:eastAsia="Times New Roman"/>
          <w:color w:val="0E101A"/>
          <w:sz w:val="22"/>
          <w:szCs w:val="22"/>
        </w:rPr>
        <w:t xml:space="preserve"> proprietary in-house datasets and publicly available ENCODE portal data (Richard Myers, HAIB. 2012; Michael Snyder, Stanford. 2018; Vishwanath </w:t>
      </w:r>
      <w:proofErr w:type="spellStart"/>
      <w:r w:rsidRPr="000B234E">
        <w:rPr>
          <w:rFonts w:eastAsia="Times New Roman"/>
          <w:color w:val="0E101A"/>
          <w:sz w:val="22"/>
          <w:szCs w:val="22"/>
        </w:rPr>
        <w:t>Iyer</w:t>
      </w:r>
      <w:proofErr w:type="spellEnd"/>
      <w:r w:rsidRPr="000B234E">
        <w:rPr>
          <w:rFonts w:eastAsia="Times New Roman"/>
          <w:color w:val="0E101A"/>
          <w:sz w:val="22"/>
          <w:szCs w:val="22"/>
        </w:rPr>
        <w:t>, UTA. 2012; Bradley Bernstein, Broad. 2014) [</w:t>
      </w:r>
      <w:hyperlink r:id="rId8" w:tgtFrame="_blank" w:history="1">
        <w:r w:rsidRPr="000B234E">
          <w:rPr>
            <w:rFonts w:eastAsia="Times New Roman"/>
            <w:color w:val="4A6EE0"/>
            <w:sz w:val="22"/>
            <w:szCs w:val="22"/>
            <w:u w:val="single"/>
          </w:rPr>
          <w:t>https://www.encodeproject.org/</w:t>
        </w:r>
      </w:hyperlink>
      <w:r w:rsidRPr="000B234E">
        <w:rPr>
          <w:rFonts w:eastAsia="Times New Roman"/>
          <w:color w:val="0E101A"/>
          <w:sz w:val="22"/>
          <w:szCs w:val="22"/>
        </w:rPr>
        <w:t>]. The selected datasets comprised ENCSR000BUZ (PML), ENCSR463GOT (ESR1), ENCSR000DMJ (MYC), and ENCSR985MIB (H3K4me3).</w:t>
      </w:r>
      <w:r>
        <w:rPr>
          <w:rFonts w:eastAsia="Times New Roman"/>
          <w:color w:val="0E101A"/>
          <w:sz w:val="22"/>
          <w:szCs w:val="22"/>
        </w:rPr>
        <w:t xml:space="preserve"> </w:t>
      </w:r>
      <w:r w:rsidRPr="000B234E">
        <w:rPr>
          <w:rFonts w:eastAsia="Times New Roman"/>
          <w:color w:val="0E101A"/>
          <w:sz w:val="22"/>
          <w:szCs w:val="22"/>
        </w:rPr>
        <w:t xml:space="preserve">Initial quality assessment of raw </w:t>
      </w:r>
      <w:proofErr w:type="spellStart"/>
      <w:r w:rsidRPr="000B234E">
        <w:rPr>
          <w:rFonts w:eastAsia="Times New Roman"/>
          <w:color w:val="0E101A"/>
          <w:sz w:val="22"/>
          <w:szCs w:val="22"/>
        </w:rPr>
        <w:t>fastq</w:t>
      </w:r>
      <w:proofErr w:type="spellEnd"/>
      <w:r w:rsidRPr="000B234E">
        <w:rPr>
          <w:rFonts w:eastAsia="Times New Roman"/>
          <w:color w:val="0E101A"/>
          <w:sz w:val="22"/>
          <w:szCs w:val="22"/>
        </w:rPr>
        <w:t xml:space="preserve"> files involved </w:t>
      </w:r>
      <w:proofErr w:type="spellStart"/>
      <w:r w:rsidRPr="000B234E">
        <w:rPr>
          <w:rFonts w:eastAsia="Times New Roman"/>
          <w:color w:val="0E101A"/>
          <w:sz w:val="22"/>
          <w:szCs w:val="22"/>
        </w:rPr>
        <w:t>Fastqc</w:t>
      </w:r>
      <w:proofErr w:type="spellEnd"/>
      <w:r w:rsidRPr="000B234E">
        <w:rPr>
          <w:rFonts w:eastAsia="Times New Roman"/>
          <w:color w:val="0E101A"/>
          <w:sz w:val="22"/>
          <w:szCs w:val="22"/>
        </w:rPr>
        <w:t xml:space="preserve"> analysis. Subsequent data preprocessing encompassed Trim-galore (v0.6.5) for trimming and adapter removal, followed by genome alignment through Bowtie2. Peak identification was executed via MACS2 (2.1.1) with default parameters. To gain deeper </w:t>
      </w:r>
      <w:r w:rsidRPr="000B234E">
        <w:rPr>
          <w:rFonts w:eastAsia="Times New Roman"/>
          <w:color w:val="0E101A"/>
          <w:sz w:val="22"/>
          <w:szCs w:val="22"/>
        </w:rPr>
        <w:lastRenderedPageBreak/>
        <w:t xml:space="preserve">insights into chromatin-associated signals, </w:t>
      </w:r>
      <w:proofErr w:type="spellStart"/>
      <w:r w:rsidRPr="000B234E">
        <w:rPr>
          <w:rFonts w:eastAsia="Times New Roman"/>
          <w:color w:val="0E101A"/>
          <w:sz w:val="22"/>
          <w:szCs w:val="22"/>
        </w:rPr>
        <w:t>deepTools</w:t>
      </w:r>
      <w:proofErr w:type="spellEnd"/>
      <w:r w:rsidRPr="000B234E">
        <w:rPr>
          <w:rFonts w:eastAsia="Times New Roman"/>
          <w:color w:val="0E101A"/>
          <w:sz w:val="22"/>
          <w:szCs w:val="22"/>
        </w:rPr>
        <w:t xml:space="preserve"> 2.0 generated informative heatmaps and metaplots. Characterization of peaks and motif exploration were conducted using HOMER (v4.11), facilitating comprehensive annotation and analysis. Visualization of </w:t>
      </w:r>
      <w:proofErr w:type="spellStart"/>
      <w:r w:rsidRPr="000B234E">
        <w:rPr>
          <w:rFonts w:eastAsia="Times New Roman"/>
          <w:color w:val="0E101A"/>
          <w:sz w:val="22"/>
          <w:szCs w:val="22"/>
        </w:rPr>
        <w:t>ChIP</w:t>
      </w:r>
      <w:proofErr w:type="spellEnd"/>
      <w:r w:rsidRPr="000B234E">
        <w:rPr>
          <w:rFonts w:eastAsia="Times New Roman"/>
          <w:color w:val="0E101A"/>
          <w:sz w:val="22"/>
          <w:szCs w:val="22"/>
        </w:rPr>
        <w:t>-seq outcomes was achieved using the Integrative Genomics Viewer (</w:t>
      </w:r>
      <w:proofErr w:type="gramStart"/>
      <w:r w:rsidRPr="000B234E">
        <w:rPr>
          <w:rFonts w:eastAsia="Times New Roman"/>
          <w:color w:val="0E101A"/>
          <w:sz w:val="22"/>
          <w:szCs w:val="22"/>
        </w:rPr>
        <w:t>IGV) </w:t>
      </w:r>
      <w:r>
        <w:rPr>
          <w:noProof/>
          <w:color w:val="000000" w:themeColor="text1"/>
          <w:sz w:val="22"/>
          <w:szCs w:val="22"/>
        </w:rPr>
        <w:t xml:space="preserve"> [</w:t>
      </w:r>
      <w:proofErr w:type="gramEnd"/>
      <w:r>
        <w:rPr>
          <w:noProof/>
          <w:color w:val="000000" w:themeColor="text1"/>
          <w:sz w:val="22"/>
          <w:szCs w:val="22"/>
        </w:rPr>
        <w:t>53]</w:t>
      </w:r>
      <w:r w:rsidRPr="000B234E">
        <w:rPr>
          <w:color w:val="000000" w:themeColor="text1"/>
          <w:sz w:val="22"/>
          <w:szCs w:val="22"/>
        </w:rPr>
        <w:t>.</w:t>
      </w:r>
    </w:p>
    <w:p w14:paraId="1539961A" w14:textId="77777777" w:rsidR="004E49F5" w:rsidRPr="00092F4D" w:rsidRDefault="004E49F5" w:rsidP="004D7189">
      <w:pPr>
        <w:spacing w:line="480" w:lineRule="auto"/>
        <w:ind w:left="-450" w:right="-720"/>
        <w:jc w:val="both"/>
        <w:rPr>
          <w:b/>
          <w:sz w:val="22"/>
          <w:szCs w:val="22"/>
        </w:rPr>
      </w:pPr>
    </w:p>
    <w:p w14:paraId="5D400F5A" w14:textId="77777777" w:rsidR="004E49F5" w:rsidRPr="00092F4D" w:rsidRDefault="004E49F5" w:rsidP="001462AA">
      <w:pPr>
        <w:spacing w:line="480" w:lineRule="auto"/>
        <w:ind w:right="-720"/>
        <w:jc w:val="both"/>
        <w:rPr>
          <w:b/>
          <w:sz w:val="22"/>
          <w:szCs w:val="22"/>
        </w:rPr>
      </w:pPr>
      <w:r w:rsidRPr="00092F4D">
        <w:rPr>
          <w:b/>
          <w:color w:val="000000"/>
          <w:sz w:val="22"/>
          <w:szCs w:val="22"/>
        </w:rPr>
        <w:t>Cell invasion assays</w:t>
      </w:r>
    </w:p>
    <w:p w14:paraId="7D99E5F7" w14:textId="77777777" w:rsidR="004E49F5" w:rsidRPr="00092F4D" w:rsidRDefault="004E49F5" w:rsidP="001462AA">
      <w:pPr>
        <w:spacing w:line="480" w:lineRule="auto"/>
        <w:ind w:right="-720"/>
        <w:jc w:val="both"/>
        <w:rPr>
          <w:b/>
          <w:sz w:val="22"/>
          <w:szCs w:val="22"/>
        </w:rPr>
      </w:pPr>
      <w:r w:rsidRPr="00092F4D">
        <w:rPr>
          <w:color w:val="000000"/>
          <w:sz w:val="22"/>
          <w:szCs w:val="22"/>
        </w:rPr>
        <w:t xml:space="preserve">The invasion assay was performed using a </w:t>
      </w:r>
      <w:proofErr w:type="spellStart"/>
      <w:r w:rsidRPr="00092F4D">
        <w:rPr>
          <w:color w:val="000000"/>
          <w:sz w:val="22"/>
          <w:szCs w:val="22"/>
        </w:rPr>
        <w:t>Transwell</w:t>
      </w:r>
      <w:proofErr w:type="spellEnd"/>
      <w:r w:rsidRPr="00092F4D">
        <w:rPr>
          <w:color w:val="000000"/>
          <w:sz w:val="22"/>
          <w:szCs w:val="22"/>
        </w:rPr>
        <w:t xml:space="preserve"> chamber (8-μm pore size; Corning Inc., NY, USA) coated with collagen type I (50 </w:t>
      </w:r>
      <w:proofErr w:type="spellStart"/>
      <w:r w:rsidRPr="00092F4D">
        <w:rPr>
          <w:color w:val="000000"/>
          <w:sz w:val="22"/>
          <w:szCs w:val="22"/>
        </w:rPr>
        <w:t>μg</w:t>
      </w:r>
      <w:proofErr w:type="spellEnd"/>
      <w:r w:rsidRPr="00092F4D">
        <w:rPr>
          <w:color w:val="000000"/>
          <w:sz w:val="22"/>
          <w:szCs w:val="22"/>
        </w:rPr>
        <w:t xml:space="preserve"> /ml). 1 × 10</w:t>
      </w:r>
      <w:r w:rsidRPr="00092F4D">
        <w:rPr>
          <w:color w:val="000000"/>
          <w:sz w:val="22"/>
          <w:szCs w:val="22"/>
          <w:vertAlign w:val="superscript"/>
        </w:rPr>
        <w:t>5</w:t>
      </w:r>
      <w:r w:rsidRPr="00092F4D">
        <w:rPr>
          <w:color w:val="000000"/>
          <w:sz w:val="22"/>
          <w:szCs w:val="22"/>
        </w:rPr>
        <w:t xml:space="preserve"> cells/well were seeded into the upper chamber of </w:t>
      </w:r>
      <w:proofErr w:type="spellStart"/>
      <w:r w:rsidRPr="00092F4D">
        <w:rPr>
          <w:color w:val="000000"/>
          <w:sz w:val="22"/>
          <w:szCs w:val="22"/>
        </w:rPr>
        <w:t>transwell</w:t>
      </w:r>
      <w:proofErr w:type="spellEnd"/>
      <w:r w:rsidRPr="00092F4D">
        <w:rPr>
          <w:color w:val="000000"/>
          <w:sz w:val="22"/>
          <w:szCs w:val="22"/>
        </w:rPr>
        <w:t xml:space="preserve"> inserts (24-well inserts) in serum-free medium. DMEM supplemented with 10% FBS was added to the bottom chamber. Cells were incubated for 48 h at 37 °C in a 5% CO2 incubator. After incubation, non-invasive cells were gently removed using a cotton swab. Cells that invaded the bottom chamber were fixed with 4% paraformaldehyde for 10 min, stained with 0.2% crystal violet, counted, and photographed under a light microscope.</w:t>
      </w:r>
    </w:p>
    <w:p w14:paraId="14183D67" w14:textId="77777777" w:rsidR="004E49F5" w:rsidRPr="00092F4D" w:rsidRDefault="004E49F5" w:rsidP="004D7189">
      <w:pPr>
        <w:spacing w:line="480" w:lineRule="auto"/>
        <w:ind w:left="-450" w:right="-720"/>
        <w:jc w:val="both"/>
        <w:rPr>
          <w:b/>
          <w:sz w:val="22"/>
          <w:szCs w:val="22"/>
        </w:rPr>
      </w:pPr>
    </w:p>
    <w:p w14:paraId="00F857E3" w14:textId="77777777" w:rsidR="004E49F5" w:rsidRPr="00092F4D" w:rsidRDefault="004E49F5" w:rsidP="001462AA">
      <w:pPr>
        <w:spacing w:line="480" w:lineRule="auto"/>
        <w:ind w:right="-720"/>
        <w:jc w:val="both"/>
        <w:rPr>
          <w:b/>
          <w:sz w:val="22"/>
          <w:szCs w:val="22"/>
        </w:rPr>
      </w:pPr>
      <w:r w:rsidRPr="00092F4D">
        <w:rPr>
          <w:b/>
          <w:color w:val="000000"/>
          <w:sz w:val="22"/>
          <w:szCs w:val="22"/>
        </w:rPr>
        <w:t>Colony formation assay</w:t>
      </w:r>
    </w:p>
    <w:p w14:paraId="52504D2C" w14:textId="77777777" w:rsidR="004E49F5" w:rsidRPr="00092F4D" w:rsidRDefault="004E49F5" w:rsidP="001462AA">
      <w:pPr>
        <w:spacing w:line="480" w:lineRule="auto"/>
        <w:ind w:right="-720"/>
        <w:jc w:val="both"/>
        <w:rPr>
          <w:b/>
          <w:sz w:val="22"/>
          <w:szCs w:val="22"/>
        </w:rPr>
      </w:pPr>
      <w:r w:rsidRPr="00092F4D">
        <w:rPr>
          <w:color w:val="000000"/>
          <w:sz w:val="22"/>
          <w:szCs w:val="22"/>
        </w:rPr>
        <w:t xml:space="preserve">For soft agar colony formation assay, 6-well plates were coated with a bottom layer of 1.2% </w:t>
      </w:r>
      <w:proofErr w:type="spellStart"/>
      <w:r w:rsidRPr="00092F4D">
        <w:rPr>
          <w:color w:val="000000"/>
          <w:sz w:val="22"/>
          <w:szCs w:val="22"/>
        </w:rPr>
        <w:t>SeaPlaque</w:t>
      </w:r>
      <w:proofErr w:type="spellEnd"/>
      <w:r w:rsidRPr="00092F4D">
        <w:rPr>
          <w:color w:val="000000"/>
          <w:sz w:val="22"/>
          <w:szCs w:val="22"/>
        </w:rPr>
        <w:t xml:space="preserve"> low melting temperature agarose (Lonza Rockland, ME USA) in DMEM supplemented with 20% FBS. Then, 2,000 cells were mixed in 0.6% agarose and the same medium and applied as the top agarose layer. The top agarose layer was overlaid with 600 </w:t>
      </w:r>
      <w:proofErr w:type="spellStart"/>
      <w:r w:rsidRPr="00092F4D">
        <w:rPr>
          <w:color w:val="000000"/>
          <w:sz w:val="22"/>
          <w:szCs w:val="22"/>
        </w:rPr>
        <w:t>μl</w:t>
      </w:r>
      <w:proofErr w:type="spellEnd"/>
      <w:r w:rsidRPr="00092F4D">
        <w:rPr>
          <w:color w:val="000000"/>
          <w:sz w:val="22"/>
          <w:szCs w:val="22"/>
        </w:rPr>
        <w:t xml:space="preserve"> medium. Plates were incubated at 37 °C in 5% CO2 for three weeks until colonies formed. At the end of the experiment, cell colonies were fixed with 4% paraformaldehyde and stained with 0.2% crystal violet (Sigma-Aldrich, #46364). The number of colonies was counted under a Nikon ECLIPSE Ts2R microscope, and pictures were taken. The assay was performed three times in triplicate.</w:t>
      </w:r>
    </w:p>
    <w:p w14:paraId="6DAD632E" w14:textId="77777777" w:rsidR="004E49F5" w:rsidRPr="00092F4D" w:rsidRDefault="004E49F5" w:rsidP="004D7189">
      <w:pPr>
        <w:spacing w:line="480" w:lineRule="auto"/>
        <w:ind w:left="-450" w:right="-720"/>
        <w:jc w:val="both"/>
        <w:rPr>
          <w:b/>
          <w:sz w:val="22"/>
          <w:szCs w:val="22"/>
        </w:rPr>
      </w:pPr>
    </w:p>
    <w:p w14:paraId="2FC2CAFB" w14:textId="77777777" w:rsidR="004E49F5" w:rsidRPr="00092F4D" w:rsidRDefault="004E49F5" w:rsidP="001462AA">
      <w:pPr>
        <w:spacing w:line="480" w:lineRule="auto"/>
        <w:ind w:right="-720"/>
        <w:jc w:val="both"/>
        <w:rPr>
          <w:b/>
          <w:sz w:val="22"/>
          <w:szCs w:val="22"/>
        </w:rPr>
      </w:pPr>
      <w:r w:rsidRPr="00092F4D">
        <w:rPr>
          <w:b/>
          <w:color w:val="000000"/>
          <w:sz w:val="22"/>
          <w:szCs w:val="22"/>
        </w:rPr>
        <w:t>Cell proliferation and IC</w:t>
      </w:r>
      <w:r w:rsidRPr="00092F4D">
        <w:rPr>
          <w:b/>
          <w:color w:val="000000"/>
          <w:sz w:val="22"/>
          <w:szCs w:val="22"/>
          <w:vertAlign w:val="subscript"/>
        </w:rPr>
        <w:t>50</w:t>
      </w:r>
      <w:r w:rsidRPr="00092F4D">
        <w:rPr>
          <w:b/>
          <w:color w:val="000000"/>
          <w:sz w:val="22"/>
          <w:szCs w:val="22"/>
        </w:rPr>
        <w:t xml:space="preserve"> assays</w:t>
      </w:r>
    </w:p>
    <w:p w14:paraId="5EF1CEFB" w14:textId="77777777" w:rsidR="004E49F5" w:rsidRPr="00092F4D" w:rsidRDefault="004E49F5" w:rsidP="001462AA">
      <w:pPr>
        <w:spacing w:line="480" w:lineRule="auto"/>
        <w:ind w:right="-720"/>
        <w:jc w:val="both"/>
        <w:rPr>
          <w:color w:val="000000"/>
          <w:sz w:val="22"/>
          <w:szCs w:val="22"/>
        </w:rPr>
      </w:pPr>
      <w:r w:rsidRPr="00092F4D">
        <w:rPr>
          <w:color w:val="000000"/>
          <w:sz w:val="22"/>
          <w:szCs w:val="22"/>
        </w:rPr>
        <w:t>1.5 × 10</w:t>
      </w:r>
      <w:r w:rsidRPr="00092F4D">
        <w:rPr>
          <w:color w:val="000000"/>
          <w:sz w:val="22"/>
          <w:szCs w:val="22"/>
          <w:vertAlign w:val="superscript"/>
        </w:rPr>
        <w:t>3</w:t>
      </w:r>
      <w:r w:rsidRPr="00092F4D">
        <w:rPr>
          <w:color w:val="000000"/>
          <w:sz w:val="22"/>
          <w:szCs w:val="22"/>
        </w:rPr>
        <w:t xml:space="preserve"> of shRNA viral infected MCF-7 cells were seeded onto 96-well plates. Medium with/without </w:t>
      </w:r>
      <w:proofErr w:type="spellStart"/>
      <w:r w:rsidRPr="00092F4D">
        <w:rPr>
          <w:color w:val="000000"/>
          <w:sz w:val="22"/>
          <w:szCs w:val="22"/>
        </w:rPr>
        <w:t>fulvestrant</w:t>
      </w:r>
      <w:proofErr w:type="spellEnd"/>
      <w:r w:rsidRPr="00092F4D">
        <w:rPr>
          <w:color w:val="000000"/>
          <w:sz w:val="22"/>
          <w:szCs w:val="22"/>
        </w:rPr>
        <w:t xml:space="preserve"> or WDR5i were replaced every two days. Cells were treated with Cell Counting Kit-8. OD values at 450 nm were measured using a </w:t>
      </w:r>
      <w:proofErr w:type="spellStart"/>
      <w:r w:rsidRPr="00092F4D">
        <w:rPr>
          <w:color w:val="000000"/>
          <w:sz w:val="22"/>
          <w:szCs w:val="22"/>
        </w:rPr>
        <w:t>SpectraMax</w:t>
      </w:r>
      <w:proofErr w:type="spellEnd"/>
      <w:r w:rsidRPr="00092F4D">
        <w:rPr>
          <w:color w:val="000000"/>
          <w:sz w:val="22"/>
          <w:szCs w:val="22"/>
        </w:rPr>
        <w:t xml:space="preserve"> M2 plate reader. </w:t>
      </w:r>
    </w:p>
    <w:p w14:paraId="7D9E5E2E" w14:textId="77777777" w:rsidR="004E49F5" w:rsidRPr="00092F4D" w:rsidRDefault="004E49F5" w:rsidP="004D7189">
      <w:pPr>
        <w:spacing w:line="480" w:lineRule="auto"/>
        <w:ind w:left="-450" w:right="-720"/>
        <w:jc w:val="both"/>
        <w:rPr>
          <w:color w:val="000000"/>
          <w:sz w:val="22"/>
          <w:szCs w:val="22"/>
        </w:rPr>
      </w:pPr>
    </w:p>
    <w:p w14:paraId="3F8FF33C" w14:textId="77777777" w:rsidR="004E49F5" w:rsidRPr="00092F4D" w:rsidRDefault="004E49F5" w:rsidP="001462AA">
      <w:pPr>
        <w:pBdr>
          <w:top w:val="nil"/>
          <w:left w:val="nil"/>
          <w:bottom w:val="nil"/>
          <w:right w:val="nil"/>
          <w:between w:val="nil"/>
        </w:pBdr>
        <w:spacing w:line="480" w:lineRule="auto"/>
        <w:ind w:right="-720"/>
        <w:jc w:val="both"/>
        <w:rPr>
          <w:color w:val="000000" w:themeColor="text1"/>
          <w:sz w:val="22"/>
          <w:szCs w:val="22"/>
        </w:rPr>
      </w:pPr>
      <w:r w:rsidRPr="00092F4D">
        <w:rPr>
          <w:b/>
          <w:color w:val="000000" w:themeColor="text1"/>
          <w:sz w:val="22"/>
          <w:szCs w:val="22"/>
        </w:rPr>
        <w:t>Immunoblot and co-</w:t>
      </w:r>
      <w:proofErr w:type="gramStart"/>
      <w:r w:rsidRPr="00092F4D">
        <w:rPr>
          <w:b/>
          <w:color w:val="000000" w:themeColor="text1"/>
          <w:sz w:val="22"/>
          <w:szCs w:val="22"/>
        </w:rPr>
        <w:t>immunoprecipitation</w:t>
      </w:r>
      <w:proofErr w:type="gramEnd"/>
      <w:r w:rsidRPr="00092F4D">
        <w:rPr>
          <w:b/>
          <w:color w:val="000000" w:themeColor="text1"/>
          <w:sz w:val="22"/>
          <w:szCs w:val="22"/>
        </w:rPr>
        <w:t xml:space="preserve"> </w:t>
      </w:r>
    </w:p>
    <w:p w14:paraId="10732DA0" w14:textId="77777777" w:rsidR="004E49F5" w:rsidRPr="00092F4D" w:rsidRDefault="004E49F5" w:rsidP="001462AA">
      <w:pPr>
        <w:pBdr>
          <w:top w:val="nil"/>
          <w:left w:val="nil"/>
          <w:bottom w:val="nil"/>
          <w:right w:val="nil"/>
          <w:between w:val="nil"/>
        </w:pBdr>
        <w:spacing w:line="480" w:lineRule="auto"/>
        <w:ind w:right="-720"/>
        <w:jc w:val="both"/>
        <w:rPr>
          <w:color w:val="000000" w:themeColor="text1"/>
          <w:sz w:val="22"/>
          <w:szCs w:val="22"/>
        </w:rPr>
      </w:pPr>
      <w:r w:rsidRPr="00092F4D">
        <w:rPr>
          <w:color w:val="000000" w:themeColor="text1"/>
          <w:sz w:val="22"/>
          <w:szCs w:val="22"/>
        </w:rPr>
        <w:t>Immunoblot protein analysis was performed according to standard protocols. For selected experiments, MCF-7 cells were incubated with E</w:t>
      </w:r>
      <w:r w:rsidRPr="00092F4D">
        <w:rPr>
          <w:color w:val="000000" w:themeColor="text1"/>
          <w:sz w:val="22"/>
          <w:szCs w:val="22"/>
          <w:vertAlign w:val="subscript"/>
        </w:rPr>
        <w:t>2</w:t>
      </w:r>
      <w:r w:rsidRPr="00092F4D">
        <w:rPr>
          <w:color w:val="000000" w:themeColor="text1"/>
          <w:sz w:val="22"/>
          <w:szCs w:val="22"/>
        </w:rPr>
        <w:t xml:space="preserve"> and were harvested at the indicated time points before subsequent analyses. For co-IP, MCF-7 cells were lysed by Non-denaturing lysis buffer (20 mM Tris HCl pH 8, 137 mM NaCl, 10% glycerol, 1% </w:t>
      </w:r>
      <w:proofErr w:type="spellStart"/>
      <w:r w:rsidRPr="00092F4D">
        <w:rPr>
          <w:color w:val="000000" w:themeColor="text1"/>
          <w:sz w:val="22"/>
          <w:szCs w:val="22"/>
        </w:rPr>
        <w:t>Nonidet</w:t>
      </w:r>
      <w:proofErr w:type="spellEnd"/>
      <w:r w:rsidRPr="00092F4D">
        <w:rPr>
          <w:color w:val="000000" w:themeColor="text1"/>
          <w:sz w:val="22"/>
          <w:szCs w:val="22"/>
        </w:rPr>
        <w:t xml:space="preserve"> P-40 (NP-40), 2 mM EDTA), and the lysates were cleared by incubation with 50% protein A Sepharose bead slurry, after which 1ml of the cleared lysates were incubated with 50% antibody-conjugated protein A-Sepharose beads and 10 </w:t>
      </w:r>
      <w:proofErr w:type="spellStart"/>
      <w:r w:rsidRPr="00092F4D">
        <w:rPr>
          <w:color w:val="000000" w:themeColor="text1"/>
          <w:sz w:val="22"/>
          <w:szCs w:val="22"/>
        </w:rPr>
        <w:t>ul</w:t>
      </w:r>
      <w:proofErr w:type="spellEnd"/>
      <w:r w:rsidRPr="00092F4D">
        <w:rPr>
          <w:color w:val="000000" w:themeColor="text1"/>
          <w:sz w:val="22"/>
          <w:szCs w:val="22"/>
        </w:rPr>
        <w:t xml:space="preserve"> of 10% BSA overnight at 4</w:t>
      </w:r>
      <w:r w:rsidRPr="00092F4D">
        <w:rPr>
          <w:color w:val="000000" w:themeColor="text1"/>
          <w:sz w:val="22"/>
          <w:szCs w:val="22"/>
          <w:vertAlign w:val="superscript"/>
        </w:rPr>
        <w:t>o</w:t>
      </w:r>
      <w:r w:rsidRPr="00092F4D">
        <w:rPr>
          <w:color w:val="000000" w:themeColor="text1"/>
          <w:sz w:val="22"/>
          <w:szCs w:val="22"/>
        </w:rPr>
        <w:t xml:space="preserve">C. The beads were washed three times with washing buffer (0.5% NP-40, 0.1% Triton X-100, 1 mM PMSF, and 1 mM Na3VO4 in PBS). </w:t>
      </w:r>
      <w:proofErr w:type="spellStart"/>
      <w:r w:rsidRPr="00092F4D">
        <w:rPr>
          <w:color w:val="000000" w:themeColor="text1"/>
          <w:sz w:val="22"/>
          <w:szCs w:val="22"/>
        </w:rPr>
        <w:t>Immunoprecipitates</w:t>
      </w:r>
      <w:proofErr w:type="spellEnd"/>
      <w:r w:rsidRPr="00092F4D">
        <w:rPr>
          <w:color w:val="000000" w:themeColor="text1"/>
          <w:sz w:val="22"/>
          <w:szCs w:val="22"/>
        </w:rPr>
        <w:t xml:space="preserve"> were subjected to western blots with indicated antibodies and immunoblotted using ECL detection kits (K-12045-D50; Laboratory Products Sales, NY, USA) and imaged by </w:t>
      </w:r>
      <w:proofErr w:type="spellStart"/>
      <w:r w:rsidRPr="00092F4D">
        <w:rPr>
          <w:color w:val="000000" w:themeColor="text1"/>
          <w:sz w:val="22"/>
          <w:szCs w:val="22"/>
        </w:rPr>
        <w:t>ChemiDoc</w:t>
      </w:r>
      <w:proofErr w:type="spellEnd"/>
      <w:r w:rsidRPr="00092F4D">
        <w:rPr>
          <w:color w:val="000000" w:themeColor="text1"/>
          <w:sz w:val="22"/>
          <w:szCs w:val="22"/>
        </w:rPr>
        <w:t xml:space="preserve"> MP imaging system (Bio-Rad).</w:t>
      </w:r>
    </w:p>
    <w:p w14:paraId="6F75ABFC" w14:textId="77777777" w:rsidR="004E49F5" w:rsidRPr="00092F4D" w:rsidRDefault="004E49F5" w:rsidP="004D7189">
      <w:pPr>
        <w:spacing w:line="480" w:lineRule="auto"/>
        <w:ind w:right="-720"/>
        <w:jc w:val="both"/>
        <w:rPr>
          <w:color w:val="000000" w:themeColor="text1"/>
          <w:sz w:val="22"/>
          <w:szCs w:val="22"/>
        </w:rPr>
      </w:pPr>
    </w:p>
    <w:p w14:paraId="1053D557" w14:textId="77777777" w:rsidR="004E49F5" w:rsidRPr="00092F4D" w:rsidRDefault="004E49F5" w:rsidP="001462AA">
      <w:pPr>
        <w:spacing w:line="480" w:lineRule="auto"/>
        <w:ind w:right="-720"/>
        <w:jc w:val="both"/>
        <w:rPr>
          <w:b/>
          <w:color w:val="000000" w:themeColor="text1"/>
          <w:sz w:val="22"/>
          <w:szCs w:val="22"/>
        </w:rPr>
      </w:pPr>
      <w:r w:rsidRPr="00092F4D">
        <w:rPr>
          <w:b/>
          <w:i/>
          <w:color w:val="000000" w:themeColor="text1"/>
          <w:sz w:val="22"/>
          <w:szCs w:val="22"/>
        </w:rPr>
        <w:t>In-silico</w:t>
      </w:r>
      <w:r w:rsidRPr="00092F4D">
        <w:rPr>
          <w:b/>
          <w:color w:val="000000" w:themeColor="text1"/>
          <w:sz w:val="22"/>
          <w:szCs w:val="22"/>
        </w:rPr>
        <w:t xml:space="preserve"> analysis</w:t>
      </w:r>
    </w:p>
    <w:p w14:paraId="7B2C2891" w14:textId="77777777" w:rsidR="004E49F5" w:rsidRPr="00092F4D" w:rsidRDefault="004E49F5" w:rsidP="001462AA">
      <w:pPr>
        <w:spacing w:line="480" w:lineRule="auto"/>
        <w:ind w:right="-720"/>
        <w:jc w:val="both"/>
        <w:rPr>
          <w:color w:val="000000" w:themeColor="text1"/>
          <w:sz w:val="22"/>
          <w:szCs w:val="22"/>
        </w:rPr>
      </w:pPr>
      <w:r w:rsidRPr="00092F4D">
        <w:rPr>
          <w:color w:val="000000" w:themeColor="text1"/>
          <w:sz w:val="22"/>
          <w:szCs w:val="22"/>
        </w:rPr>
        <w:t xml:space="preserve">The data pertaining to PML protein interaction partners was obtained from the </w:t>
      </w:r>
      <w:proofErr w:type="spellStart"/>
      <w:r w:rsidRPr="00092F4D">
        <w:rPr>
          <w:color w:val="000000" w:themeColor="text1"/>
          <w:sz w:val="22"/>
          <w:szCs w:val="22"/>
        </w:rPr>
        <w:t>BioGRID</w:t>
      </w:r>
      <w:proofErr w:type="spellEnd"/>
      <w:r w:rsidRPr="00092F4D">
        <w:rPr>
          <w:color w:val="000000" w:themeColor="text1"/>
          <w:sz w:val="22"/>
          <w:szCs w:val="22"/>
        </w:rPr>
        <w:t xml:space="preserve"> database (http://www.thebiogrid.org), specifically, release version 4.4. The dataset included 725 interactions with PML in </w:t>
      </w:r>
      <w:r w:rsidRPr="00092F4D">
        <w:rPr>
          <w:i/>
          <w:color w:val="000000" w:themeColor="text1"/>
          <w:sz w:val="22"/>
          <w:szCs w:val="22"/>
        </w:rPr>
        <w:t>Homo sapiens</w:t>
      </w:r>
      <w:r w:rsidRPr="00092F4D">
        <w:rPr>
          <w:color w:val="000000" w:themeColor="text1"/>
          <w:sz w:val="22"/>
          <w:szCs w:val="22"/>
        </w:rPr>
        <w:t>. To cluster and annotate PML-interacting partners, we employed the Database for Annotation, Visualization, and Integrated Discovery (DAVID). Additionally, the enrichment plots were generated using the ‘</w:t>
      </w:r>
      <w:proofErr w:type="spellStart"/>
      <w:r w:rsidRPr="00092F4D">
        <w:rPr>
          <w:color w:val="000000" w:themeColor="text1"/>
          <w:sz w:val="22"/>
          <w:szCs w:val="22"/>
        </w:rPr>
        <w:t>enrichplot</w:t>
      </w:r>
      <w:proofErr w:type="spellEnd"/>
      <w:r w:rsidRPr="00092F4D">
        <w:rPr>
          <w:color w:val="000000" w:themeColor="text1"/>
          <w:sz w:val="22"/>
          <w:szCs w:val="22"/>
        </w:rPr>
        <w:t>’ package (version 3.17) in R (version 4.3).</w:t>
      </w:r>
    </w:p>
    <w:p w14:paraId="681D4B31" w14:textId="77777777" w:rsidR="004E49F5" w:rsidRPr="00092F4D" w:rsidRDefault="004E49F5" w:rsidP="004D7189">
      <w:pPr>
        <w:spacing w:line="480" w:lineRule="auto"/>
        <w:ind w:left="-450" w:right="-720"/>
        <w:jc w:val="both"/>
        <w:rPr>
          <w:color w:val="000000"/>
          <w:sz w:val="22"/>
          <w:szCs w:val="22"/>
        </w:rPr>
      </w:pPr>
    </w:p>
    <w:p w14:paraId="46DA950E" w14:textId="77777777" w:rsidR="004E49F5" w:rsidRPr="00092F4D" w:rsidRDefault="004E49F5" w:rsidP="001462AA">
      <w:pPr>
        <w:pBdr>
          <w:top w:val="nil"/>
          <w:left w:val="nil"/>
          <w:bottom w:val="nil"/>
          <w:right w:val="nil"/>
          <w:between w:val="nil"/>
        </w:pBdr>
        <w:spacing w:line="480" w:lineRule="auto"/>
        <w:ind w:right="-720"/>
        <w:jc w:val="both"/>
        <w:rPr>
          <w:color w:val="000000" w:themeColor="text1"/>
          <w:sz w:val="22"/>
          <w:szCs w:val="22"/>
        </w:rPr>
      </w:pPr>
      <w:r w:rsidRPr="00092F4D">
        <w:rPr>
          <w:b/>
          <w:color w:val="000000" w:themeColor="text1"/>
          <w:sz w:val="22"/>
          <w:szCs w:val="22"/>
        </w:rPr>
        <w:t>Orthotopic breast cancer xenograft model</w:t>
      </w:r>
    </w:p>
    <w:p w14:paraId="4A951666" w14:textId="77777777" w:rsidR="004E49F5" w:rsidRPr="00092F4D" w:rsidRDefault="004E49F5" w:rsidP="001462AA">
      <w:pPr>
        <w:pBdr>
          <w:top w:val="nil"/>
          <w:left w:val="nil"/>
          <w:bottom w:val="nil"/>
          <w:right w:val="nil"/>
          <w:between w:val="nil"/>
        </w:pBdr>
        <w:spacing w:line="480" w:lineRule="auto"/>
        <w:ind w:right="-720"/>
        <w:jc w:val="both"/>
        <w:rPr>
          <w:color w:val="000000" w:themeColor="text1"/>
          <w:sz w:val="22"/>
          <w:szCs w:val="22"/>
        </w:rPr>
      </w:pPr>
      <w:r w:rsidRPr="00092F4D">
        <w:rPr>
          <w:color w:val="000000" w:themeColor="text1"/>
          <w:sz w:val="22"/>
          <w:szCs w:val="22"/>
        </w:rPr>
        <w:t>NOD-SCID mice, aged 4–6 weeks, were bred under pathogen-free conditions at the Athymic Animal Core Facility of the Case Comprehensive Cancer Center. To assess the tumorigenic potential of PML1-expressing MCF-7 cells and control cells, 1 x 10</w:t>
      </w:r>
      <w:r w:rsidRPr="00092F4D">
        <w:rPr>
          <w:color w:val="000000" w:themeColor="text1"/>
          <w:sz w:val="22"/>
          <w:szCs w:val="22"/>
          <w:vertAlign w:val="superscript"/>
        </w:rPr>
        <w:t>6</w:t>
      </w:r>
      <w:r w:rsidRPr="00092F4D">
        <w:rPr>
          <w:color w:val="000000" w:themeColor="text1"/>
          <w:sz w:val="22"/>
          <w:szCs w:val="22"/>
        </w:rPr>
        <w:t xml:space="preserve"> cells were suspended in a mixture of PBS and Matrigel (100 </w:t>
      </w:r>
      <w:proofErr w:type="spellStart"/>
      <w:r w:rsidRPr="00092F4D">
        <w:rPr>
          <w:color w:val="000000" w:themeColor="text1"/>
          <w:sz w:val="22"/>
          <w:szCs w:val="22"/>
        </w:rPr>
        <w:t>μl</w:t>
      </w:r>
      <w:proofErr w:type="spellEnd"/>
      <w:r w:rsidRPr="00092F4D">
        <w:rPr>
          <w:color w:val="000000" w:themeColor="text1"/>
          <w:sz w:val="22"/>
          <w:szCs w:val="22"/>
        </w:rPr>
        <w:t xml:space="preserve">, 1:1, BD Biosciences). The cell mixture was orthotopically injected into both sides of the fourth mammary fat pad of female NOD-SCID mice (n = 10/group). Additionally, a subcutaneous inoculation of a 17β-estradiol pellet (Cat. No. SE-121 1.7 mg/pellet 60-day release; Innovative Research of America) was performed. Tumor volume (V) was measured using digital </w:t>
      </w:r>
      <w:r w:rsidRPr="00092F4D">
        <w:rPr>
          <w:color w:val="000000" w:themeColor="text1"/>
          <w:sz w:val="22"/>
          <w:szCs w:val="22"/>
        </w:rPr>
        <w:lastRenderedPageBreak/>
        <w:t xml:space="preserve">calipers with the formula: Width2 × Length/2. Once the tumor volumes reached over 125mm3, the xenografted mice were randomly divided into two groups: </w:t>
      </w:r>
      <w:proofErr w:type="spellStart"/>
      <w:r w:rsidRPr="00092F4D">
        <w:rPr>
          <w:color w:val="000000" w:themeColor="text1"/>
          <w:sz w:val="22"/>
          <w:szCs w:val="22"/>
        </w:rPr>
        <w:t>fulvestrant</w:t>
      </w:r>
      <w:proofErr w:type="spellEnd"/>
      <w:r w:rsidRPr="00092F4D">
        <w:rPr>
          <w:color w:val="000000" w:themeColor="text1"/>
          <w:sz w:val="22"/>
          <w:szCs w:val="22"/>
        </w:rPr>
        <w:t xml:space="preserve"> and placebo (PBS) groups (n=10/group). </w:t>
      </w:r>
      <w:proofErr w:type="spellStart"/>
      <w:r w:rsidRPr="00092F4D">
        <w:rPr>
          <w:color w:val="000000" w:themeColor="text1"/>
          <w:sz w:val="22"/>
          <w:szCs w:val="22"/>
        </w:rPr>
        <w:t>Fulvestrant</w:t>
      </w:r>
      <w:proofErr w:type="spellEnd"/>
      <w:r w:rsidRPr="00092F4D">
        <w:rPr>
          <w:color w:val="000000" w:themeColor="text1"/>
          <w:sz w:val="22"/>
          <w:szCs w:val="22"/>
        </w:rPr>
        <w:t xml:space="preserve"> or vehicle was intraperitoneally injected into the mice twice per week. After eight weeks of inoculation or treatment, mice were euthanized by CO2 inhalation, and tumors were collected, weighed, and stored at -80°C for further analysis. All animal studies were conducted with the approval of the CWRU IACUC (2019-0040).</w:t>
      </w:r>
    </w:p>
    <w:p w14:paraId="54891880" w14:textId="77777777" w:rsidR="004E49F5" w:rsidRPr="00092F4D" w:rsidRDefault="004E49F5" w:rsidP="004D7189">
      <w:pPr>
        <w:spacing w:line="480" w:lineRule="auto"/>
        <w:ind w:left="-450" w:right="-720"/>
        <w:jc w:val="both"/>
        <w:rPr>
          <w:color w:val="000000"/>
          <w:sz w:val="22"/>
          <w:szCs w:val="22"/>
        </w:rPr>
      </w:pPr>
    </w:p>
    <w:p w14:paraId="2A7DD159" w14:textId="77777777" w:rsidR="004E49F5" w:rsidRPr="00092F4D" w:rsidRDefault="004E49F5" w:rsidP="001462AA">
      <w:pPr>
        <w:pBdr>
          <w:top w:val="nil"/>
          <w:left w:val="nil"/>
          <w:bottom w:val="nil"/>
          <w:right w:val="nil"/>
          <w:between w:val="nil"/>
        </w:pBdr>
        <w:spacing w:line="480" w:lineRule="auto"/>
        <w:ind w:right="-720"/>
        <w:jc w:val="both"/>
        <w:rPr>
          <w:color w:val="000000" w:themeColor="text1"/>
          <w:sz w:val="22"/>
          <w:szCs w:val="22"/>
        </w:rPr>
      </w:pPr>
      <w:r w:rsidRPr="00092F4D">
        <w:rPr>
          <w:b/>
          <w:color w:val="000000" w:themeColor="text1"/>
          <w:sz w:val="22"/>
          <w:szCs w:val="22"/>
        </w:rPr>
        <w:t>TCGA data processing</w:t>
      </w:r>
    </w:p>
    <w:p w14:paraId="37D51DEC" w14:textId="77777777" w:rsidR="004E49F5" w:rsidRPr="00092F4D" w:rsidRDefault="004E49F5" w:rsidP="001462AA">
      <w:pPr>
        <w:pBdr>
          <w:top w:val="nil"/>
          <w:left w:val="nil"/>
          <w:bottom w:val="nil"/>
          <w:right w:val="nil"/>
          <w:between w:val="nil"/>
        </w:pBdr>
        <w:spacing w:line="480" w:lineRule="auto"/>
        <w:ind w:right="-720"/>
        <w:jc w:val="both"/>
        <w:rPr>
          <w:color w:val="000000" w:themeColor="text1"/>
          <w:sz w:val="22"/>
          <w:szCs w:val="22"/>
        </w:rPr>
      </w:pPr>
      <w:r w:rsidRPr="00092F4D">
        <w:rPr>
          <w:color w:val="000000" w:themeColor="text1"/>
          <w:sz w:val="22"/>
          <w:szCs w:val="22"/>
        </w:rPr>
        <w:t xml:space="preserve">The Cancer Genome </w:t>
      </w:r>
      <w:proofErr w:type="spellStart"/>
      <w:r w:rsidRPr="00092F4D">
        <w:rPr>
          <w:color w:val="000000" w:themeColor="text1"/>
          <w:sz w:val="22"/>
          <w:szCs w:val="22"/>
        </w:rPr>
        <w:t>Altas</w:t>
      </w:r>
      <w:proofErr w:type="spellEnd"/>
      <w:r w:rsidRPr="00092F4D">
        <w:rPr>
          <w:color w:val="000000" w:themeColor="text1"/>
          <w:sz w:val="22"/>
          <w:szCs w:val="22"/>
        </w:rPr>
        <w:t xml:space="preserve"> (TCGA) Research Network datasets: </w:t>
      </w:r>
      <w:hyperlink r:id="rId9">
        <w:r w:rsidRPr="00092F4D">
          <w:rPr>
            <w:color w:val="000000" w:themeColor="text1"/>
            <w:sz w:val="22"/>
            <w:szCs w:val="22"/>
          </w:rPr>
          <w:t>http://gdac.broadinstitute.org/</w:t>
        </w:r>
      </w:hyperlink>
      <w:r w:rsidRPr="00092F4D">
        <w:rPr>
          <w:color w:val="000000" w:themeColor="text1"/>
          <w:sz w:val="22"/>
          <w:szCs w:val="22"/>
        </w:rPr>
        <w:t xml:space="preserve"> were used to analyze the expression of specific genes in human tumors. In TCGA, 794 ER+ BC cases were analyzed. Survival curves were plotted using the Kaplan-Meier method and compared using the log-rank test using the Prism 9 software (GraphPad Software, CA, USA).</w:t>
      </w:r>
    </w:p>
    <w:p w14:paraId="05E9B15E" w14:textId="77777777" w:rsidR="004E49F5" w:rsidRPr="00797D57" w:rsidRDefault="004E49F5" w:rsidP="004D7189">
      <w:pPr>
        <w:spacing w:line="480" w:lineRule="auto"/>
        <w:ind w:left="-450" w:right="-720"/>
        <w:jc w:val="both"/>
        <w:rPr>
          <w:b/>
          <w:color w:val="000000" w:themeColor="text1"/>
          <w:sz w:val="22"/>
          <w:szCs w:val="22"/>
        </w:rPr>
      </w:pPr>
    </w:p>
    <w:p w14:paraId="71461353" w14:textId="77777777" w:rsidR="004E49F5" w:rsidRPr="00797D57" w:rsidRDefault="004E49F5" w:rsidP="00A47D3B">
      <w:pPr>
        <w:spacing w:line="480" w:lineRule="auto"/>
        <w:ind w:right="-720"/>
        <w:jc w:val="both"/>
        <w:rPr>
          <w:b/>
          <w:color w:val="000000" w:themeColor="text1"/>
          <w:sz w:val="22"/>
          <w:szCs w:val="22"/>
        </w:rPr>
      </w:pPr>
      <w:r w:rsidRPr="00797D57">
        <w:rPr>
          <w:b/>
          <w:color w:val="000000" w:themeColor="text1"/>
          <w:sz w:val="22"/>
          <w:szCs w:val="22"/>
        </w:rPr>
        <w:t>Proximity Ligation Assay (PLA)</w:t>
      </w:r>
    </w:p>
    <w:p w14:paraId="28604F7D" w14:textId="77777777" w:rsidR="004E49F5" w:rsidRPr="00797D57" w:rsidRDefault="004E49F5" w:rsidP="00A47D3B">
      <w:pPr>
        <w:spacing w:line="480" w:lineRule="auto"/>
        <w:ind w:right="-720"/>
        <w:jc w:val="both"/>
        <w:rPr>
          <w:bCs/>
          <w:color w:val="000000" w:themeColor="text1"/>
          <w:sz w:val="22"/>
          <w:szCs w:val="22"/>
        </w:rPr>
      </w:pPr>
      <w:r w:rsidRPr="00797D57">
        <w:rPr>
          <w:bCs/>
          <w:color w:val="000000" w:themeColor="text1"/>
          <w:sz w:val="22"/>
          <w:szCs w:val="22"/>
        </w:rPr>
        <w:t xml:space="preserve">Proximity Ligation Assay (PLA), employing the </w:t>
      </w:r>
      <w:proofErr w:type="spellStart"/>
      <w:r w:rsidRPr="00797D57">
        <w:rPr>
          <w:bCs/>
          <w:color w:val="000000" w:themeColor="text1"/>
          <w:sz w:val="22"/>
          <w:szCs w:val="22"/>
        </w:rPr>
        <w:t>Duolink</w:t>
      </w:r>
      <w:proofErr w:type="spellEnd"/>
      <w:r w:rsidRPr="00797D57">
        <w:rPr>
          <w:bCs/>
          <w:color w:val="000000" w:themeColor="text1"/>
          <w:sz w:val="22"/>
          <w:szCs w:val="22"/>
        </w:rPr>
        <w:t xml:space="preserve"> II Fluorescence kit from </w:t>
      </w:r>
      <w:proofErr w:type="spellStart"/>
      <w:r w:rsidRPr="00797D57">
        <w:rPr>
          <w:bCs/>
          <w:color w:val="000000" w:themeColor="text1"/>
          <w:sz w:val="22"/>
          <w:szCs w:val="22"/>
        </w:rPr>
        <w:t>Olink</w:t>
      </w:r>
      <w:proofErr w:type="spellEnd"/>
      <w:r w:rsidRPr="00797D57">
        <w:rPr>
          <w:bCs/>
          <w:color w:val="000000" w:themeColor="text1"/>
          <w:sz w:val="22"/>
          <w:szCs w:val="22"/>
        </w:rPr>
        <w:t xml:space="preserve"> Bioscience, was employed to investigate protein-protein interactions, following the manufacturer’s stipulated protocols. Briefly, confluent adherent cells cultivated on 4-well chamber slides were fixed for 10 minutes using 4% paraformaldehyde. Subsequently, permeabilization was accomplished by treating the cells with 0.1% Triton X-100 in PBS for 10 minutes at room temperature, followed by blocking using 2% bovine serum albumin in PBS for 1 hour at the same temperature. To probe the interactions, we incubated cells overnight at 4°C with a pair of primary antibodies against PML and WDR5, ER, or a mouse IgG control. Post-primary antibody incubation, the slides underwent triple washes with 0.1% Triton X-100 in PBS, followed by a 1-hour incubation with two PLA probes (PLA probe MINUS stock and PLA probe PLUS stock; </w:t>
      </w:r>
      <w:proofErr w:type="spellStart"/>
      <w:r w:rsidRPr="00797D57">
        <w:rPr>
          <w:bCs/>
          <w:color w:val="000000" w:themeColor="text1"/>
          <w:sz w:val="22"/>
          <w:szCs w:val="22"/>
        </w:rPr>
        <w:t>Duolink</w:t>
      </w:r>
      <w:proofErr w:type="spellEnd"/>
      <w:r w:rsidRPr="00797D57">
        <w:rPr>
          <w:bCs/>
          <w:color w:val="000000" w:themeColor="text1"/>
          <w:sz w:val="22"/>
          <w:szCs w:val="22"/>
        </w:rPr>
        <w:t xml:space="preserve"> II) at room temperature. Another set of triple washes with 0.1% Triton X-100 in PBS was performed. The ligation step ensued, conducted for 30 minutes at 37°C, and succeeded by two washes using 0.1% PBS and Triton X-100. Subsequent amplification was facilitated by employing DNA polymerase (</w:t>
      </w:r>
      <w:proofErr w:type="spellStart"/>
      <w:r w:rsidRPr="00797D57">
        <w:rPr>
          <w:bCs/>
          <w:color w:val="000000" w:themeColor="text1"/>
          <w:sz w:val="22"/>
          <w:szCs w:val="22"/>
        </w:rPr>
        <w:t>Duolink</w:t>
      </w:r>
      <w:proofErr w:type="spellEnd"/>
      <w:r w:rsidRPr="00797D57">
        <w:rPr>
          <w:bCs/>
          <w:color w:val="000000" w:themeColor="text1"/>
          <w:sz w:val="22"/>
          <w:szCs w:val="22"/>
        </w:rPr>
        <w:t xml:space="preserve"> II) for 100 minutes at 37°C. The slides were then meticulously washed, air-dried, and finally mounted </w:t>
      </w:r>
      <w:r w:rsidRPr="00797D57">
        <w:rPr>
          <w:bCs/>
          <w:color w:val="000000" w:themeColor="text1"/>
          <w:sz w:val="22"/>
          <w:szCs w:val="22"/>
        </w:rPr>
        <w:lastRenderedPageBreak/>
        <w:t xml:space="preserve">with </w:t>
      </w:r>
      <w:proofErr w:type="spellStart"/>
      <w:r w:rsidRPr="00797D57">
        <w:rPr>
          <w:bCs/>
          <w:color w:val="000000" w:themeColor="text1"/>
          <w:sz w:val="22"/>
          <w:szCs w:val="22"/>
        </w:rPr>
        <w:t>Dapi</w:t>
      </w:r>
      <w:proofErr w:type="spellEnd"/>
      <w:r w:rsidRPr="00797D57">
        <w:rPr>
          <w:bCs/>
          <w:color w:val="000000" w:themeColor="text1"/>
          <w:sz w:val="22"/>
          <w:szCs w:val="22"/>
        </w:rPr>
        <w:t>-</w:t>
      </w:r>
      <w:proofErr w:type="spellStart"/>
      <w:r w:rsidRPr="00797D57">
        <w:rPr>
          <w:bCs/>
          <w:color w:val="000000" w:themeColor="text1"/>
          <w:sz w:val="22"/>
          <w:szCs w:val="22"/>
        </w:rPr>
        <w:t>Fluoromount</w:t>
      </w:r>
      <w:proofErr w:type="spellEnd"/>
      <w:r w:rsidRPr="00797D57">
        <w:rPr>
          <w:bCs/>
          <w:color w:val="000000" w:themeColor="text1"/>
          <w:sz w:val="22"/>
          <w:szCs w:val="22"/>
        </w:rPr>
        <w:t>-G (Southern Biotech). Subsequent imaging was conducted utilizing an OLYMPUS fluorescence microscope.</w:t>
      </w:r>
    </w:p>
    <w:p w14:paraId="11D63D50" w14:textId="77777777" w:rsidR="004E49F5" w:rsidRPr="00092F4D" w:rsidRDefault="004E49F5" w:rsidP="004D7189">
      <w:pPr>
        <w:spacing w:line="480" w:lineRule="auto"/>
        <w:ind w:left="-450" w:right="-720"/>
        <w:jc w:val="both"/>
        <w:rPr>
          <w:b/>
          <w:sz w:val="22"/>
          <w:szCs w:val="22"/>
        </w:rPr>
      </w:pPr>
    </w:p>
    <w:p w14:paraId="62FAE3CD" w14:textId="77777777" w:rsidR="004E49F5" w:rsidRDefault="004E49F5" w:rsidP="004D7189">
      <w:pPr>
        <w:spacing w:line="480" w:lineRule="auto"/>
        <w:ind w:left="-450" w:right="-720"/>
        <w:jc w:val="both"/>
        <w:rPr>
          <w:b/>
          <w:sz w:val="22"/>
          <w:szCs w:val="22"/>
        </w:rPr>
      </w:pPr>
    </w:p>
    <w:p w14:paraId="4E022316" w14:textId="77777777" w:rsidR="004E49F5" w:rsidRDefault="004E49F5" w:rsidP="001462AA">
      <w:pPr>
        <w:spacing w:line="480" w:lineRule="auto"/>
        <w:ind w:right="-720"/>
        <w:jc w:val="both"/>
        <w:rPr>
          <w:b/>
          <w:sz w:val="22"/>
          <w:szCs w:val="22"/>
        </w:rPr>
      </w:pPr>
    </w:p>
    <w:p w14:paraId="4308E73F" w14:textId="77777777" w:rsidR="004E49F5" w:rsidRDefault="004E49F5" w:rsidP="001462AA">
      <w:pPr>
        <w:spacing w:line="480" w:lineRule="auto"/>
        <w:ind w:right="-720"/>
        <w:jc w:val="both"/>
        <w:rPr>
          <w:b/>
          <w:sz w:val="22"/>
          <w:szCs w:val="22"/>
        </w:rPr>
      </w:pPr>
    </w:p>
    <w:p w14:paraId="149609B3" w14:textId="77777777" w:rsidR="00DB6951" w:rsidRDefault="00DB6951" w:rsidP="001462AA">
      <w:pPr>
        <w:spacing w:line="480" w:lineRule="auto"/>
        <w:ind w:right="-720"/>
        <w:jc w:val="both"/>
        <w:rPr>
          <w:b/>
          <w:sz w:val="22"/>
          <w:szCs w:val="22"/>
        </w:rPr>
      </w:pPr>
    </w:p>
    <w:p w14:paraId="14802C80" w14:textId="77777777" w:rsidR="00DB6951" w:rsidRDefault="00DB6951" w:rsidP="001462AA">
      <w:pPr>
        <w:spacing w:line="480" w:lineRule="auto"/>
        <w:ind w:right="-720"/>
        <w:jc w:val="both"/>
        <w:rPr>
          <w:b/>
          <w:sz w:val="22"/>
          <w:szCs w:val="22"/>
        </w:rPr>
      </w:pPr>
    </w:p>
    <w:p w14:paraId="29297930" w14:textId="77777777" w:rsidR="00DB6951" w:rsidRDefault="00DB6951" w:rsidP="001462AA">
      <w:pPr>
        <w:spacing w:line="480" w:lineRule="auto"/>
        <w:ind w:right="-720"/>
        <w:jc w:val="both"/>
        <w:rPr>
          <w:b/>
          <w:sz w:val="22"/>
          <w:szCs w:val="22"/>
        </w:rPr>
      </w:pPr>
    </w:p>
    <w:p w14:paraId="78F203B2" w14:textId="77777777" w:rsidR="00DB6951" w:rsidRDefault="00DB6951" w:rsidP="001462AA">
      <w:pPr>
        <w:spacing w:line="480" w:lineRule="auto"/>
        <w:ind w:right="-720"/>
        <w:jc w:val="both"/>
        <w:rPr>
          <w:b/>
          <w:sz w:val="22"/>
          <w:szCs w:val="22"/>
        </w:rPr>
      </w:pPr>
    </w:p>
    <w:p w14:paraId="62027C4E" w14:textId="77777777" w:rsidR="00DB6951" w:rsidRDefault="00DB6951" w:rsidP="001462AA">
      <w:pPr>
        <w:spacing w:line="480" w:lineRule="auto"/>
        <w:ind w:right="-720"/>
        <w:jc w:val="both"/>
        <w:rPr>
          <w:b/>
          <w:sz w:val="22"/>
          <w:szCs w:val="22"/>
        </w:rPr>
      </w:pPr>
    </w:p>
    <w:p w14:paraId="137117CE" w14:textId="77777777" w:rsidR="00DB6951" w:rsidRDefault="00DB6951" w:rsidP="001462AA">
      <w:pPr>
        <w:spacing w:line="480" w:lineRule="auto"/>
        <w:ind w:right="-720"/>
        <w:jc w:val="both"/>
        <w:rPr>
          <w:b/>
          <w:sz w:val="22"/>
          <w:szCs w:val="22"/>
        </w:rPr>
      </w:pPr>
    </w:p>
    <w:p w14:paraId="2D15B384" w14:textId="77777777" w:rsidR="00DB6951" w:rsidRDefault="00DB6951" w:rsidP="001462AA">
      <w:pPr>
        <w:spacing w:line="480" w:lineRule="auto"/>
        <w:ind w:right="-720"/>
        <w:jc w:val="both"/>
        <w:rPr>
          <w:b/>
          <w:sz w:val="22"/>
          <w:szCs w:val="22"/>
        </w:rPr>
      </w:pPr>
    </w:p>
    <w:p w14:paraId="5F02BDCA" w14:textId="77777777" w:rsidR="00DB6951" w:rsidRDefault="00DB6951" w:rsidP="001462AA">
      <w:pPr>
        <w:spacing w:line="480" w:lineRule="auto"/>
        <w:ind w:right="-720"/>
        <w:jc w:val="both"/>
        <w:rPr>
          <w:b/>
          <w:sz w:val="22"/>
          <w:szCs w:val="22"/>
        </w:rPr>
      </w:pPr>
    </w:p>
    <w:p w14:paraId="77677A52" w14:textId="77777777" w:rsidR="00BA2C97" w:rsidRDefault="00BA2C97" w:rsidP="001462AA">
      <w:pPr>
        <w:spacing w:line="480" w:lineRule="auto"/>
        <w:ind w:right="-720"/>
        <w:jc w:val="both"/>
        <w:rPr>
          <w:b/>
          <w:sz w:val="22"/>
          <w:szCs w:val="22"/>
        </w:rPr>
      </w:pPr>
    </w:p>
    <w:p w14:paraId="0147D5F9" w14:textId="77777777" w:rsidR="00BA2C97" w:rsidRDefault="00BA2C97" w:rsidP="001462AA">
      <w:pPr>
        <w:spacing w:line="480" w:lineRule="auto"/>
        <w:ind w:right="-720"/>
        <w:jc w:val="both"/>
        <w:rPr>
          <w:b/>
          <w:sz w:val="22"/>
          <w:szCs w:val="22"/>
        </w:rPr>
      </w:pPr>
    </w:p>
    <w:p w14:paraId="17323CFD" w14:textId="77777777" w:rsidR="00BA2C97" w:rsidRDefault="00BA2C97" w:rsidP="001462AA">
      <w:pPr>
        <w:spacing w:line="480" w:lineRule="auto"/>
        <w:ind w:right="-720"/>
        <w:jc w:val="both"/>
        <w:rPr>
          <w:b/>
          <w:sz w:val="22"/>
          <w:szCs w:val="22"/>
        </w:rPr>
      </w:pPr>
    </w:p>
    <w:p w14:paraId="1CEFFEBF" w14:textId="77777777" w:rsidR="00BA2C97" w:rsidRDefault="00BA2C97" w:rsidP="001462AA">
      <w:pPr>
        <w:spacing w:line="480" w:lineRule="auto"/>
        <w:ind w:right="-720"/>
        <w:jc w:val="both"/>
        <w:rPr>
          <w:b/>
          <w:sz w:val="22"/>
          <w:szCs w:val="22"/>
        </w:rPr>
      </w:pPr>
    </w:p>
    <w:p w14:paraId="3364D486" w14:textId="77777777" w:rsidR="00BA2C97" w:rsidRDefault="00BA2C97" w:rsidP="001462AA">
      <w:pPr>
        <w:spacing w:line="480" w:lineRule="auto"/>
        <w:ind w:right="-720"/>
        <w:jc w:val="both"/>
        <w:rPr>
          <w:b/>
          <w:sz w:val="22"/>
          <w:szCs w:val="22"/>
        </w:rPr>
      </w:pPr>
    </w:p>
    <w:p w14:paraId="46DFDA38" w14:textId="77777777" w:rsidR="00BA2C97" w:rsidRDefault="00BA2C97" w:rsidP="001462AA">
      <w:pPr>
        <w:spacing w:line="480" w:lineRule="auto"/>
        <w:ind w:right="-720"/>
        <w:jc w:val="both"/>
        <w:rPr>
          <w:b/>
          <w:sz w:val="22"/>
          <w:szCs w:val="22"/>
        </w:rPr>
      </w:pPr>
    </w:p>
    <w:p w14:paraId="4DDC7026" w14:textId="77777777" w:rsidR="00BA2C97" w:rsidRDefault="00BA2C97" w:rsidP="001462AA">
      <w:pPr>
        <w:spacing w:line="480" w:lineRule="auto"/>
        <w:ind w:right="-720"/>
        <w:jc w:val="both"/>
        <w:rPr>
          <w:b/>
          <w:sz w:val="22"/>
          <w:szCs w:val="22"/>
        </w:rPr>
      </w:pPr>
    </w:p>
    <w:p w14:paraId="1A0C20A7" w14:textId="77777777" w:rsidR="00BA2C97" w:rsidRDefault="00BA2C97" w:rsidP="001462AA">
      <w:pPr>
        <w:spacing w:line="480" w:lineRule="auto"/>
        <w:ind w:right="-720"/>
        <w:jc w:val="both"/>
        <w:rPr>
          <w:b/>
          <w:sz w:val="22"/>
          <w:szCs w:val="22"/>
        </w:rPr>
      </w:pPr>
    </w:p>
    <w:p w14:paraId="7B7F5B18" w14:textId="77777777" w:rsidR="00BA2C97" w:rsidRDefault="00BA2C97" w:rsidP="001462AA">
      <w:pPr>
        <w:spacing w:line="480" w:lineRule="auto"/>
        <w:ind w:right="-720"/>
        <w:jc w:val="both"/>
        <w:rPr>
          <w:b/>
          <w:sz w:val="22"/>
          <w:szCs w:val="22"/>
        </w:rPr>
      </w:pPr>
    </w:p>
    <w:p w14:paraId="067D55C0" w14:textId="77777777" w:rsidR="00BA2C97" w:rsidRDefault="00BA2C97" w:rsidP="001462AA">
      <w:pPr>
        <w:spacing w:line="480" w:lineRule="auto"/>
        <w:ind w:right="-720"/>
        <w:jc w:val="both"/>
        <w:rPr>
          <w:b/>
          <w:sz w:val="22"/>
          <w:szCs w:val="22"/>
        </w:rPr>
      </w:pPr>
    </w:p>
    <w:p w14:paraId="0B9B8AFF" w14:textId="77777777" w:rsidR="00BA2C97" w:rsidRDefault="00BA2C97" w:rsidP="001462AA">
      <w:pPr>
        <w:spacing w:line="480" w:lineRule="auto"/>
        <w:ind w:right="-720"/>
        <w:jc w:val="both"/>
        <w:rPr>
          <w:b/>
          <w:sz w:val="22"/>
          <w:szCs w:val="22"/>
        </w:rPr>
      </w:pPr>
    </w:p>
    <w:p w14:paraId="75DBE162" w14:textId="77777777" w:rsidR="00BA2C97" w:rsidRDefault="00BA2C97" w:rsidP="001462AA">
      <w:pPr>
        <w:spacing w:line="480" w:lineRule="auto"/>
        <w:ind w:right="-720"/>
        <w:jc w:val="both"/>
        <w:rPr>
          <w:b/>
          <w:sz w:val="22"/>
          <w:szCs w:val="22"/>
        </w:rPr>
      </w:pPr>
    </w:p>
    <w:p w14:paraId="444C8B47" w14:textId="376D4424" w:rsidR="00DB6951" w:rsidRDefault="00BA2C97" w:rsidP="001462AA">
      <w:pPr>
        <w:spacing w:line="480" w:lineRule="auto"/>
        <w:ind w:right="-720"/>
        <w:jc w:val="both"/>
        <w:rPr>
          <w:b/>
          <w:sz w:val="22"/>
          <w:szCs w:val="22"/>
        </w:rPr>
      </w:pPr>
      <w:r w:rsidRPr="00BA2C97">
        <w:rPr>
          <w:b/>
          <w:sz w:val="22"/>
          <w:szCs w:val="22"/>
        </w:rPr>
        <w:lastRenderedPageBreak/>
        <w:t>Supplementary Tables and Figures</w:t>
      </w:r>
    </w:p>
    <w:p w14:paraId="5BDE7FF2" w14:textId="77777777" w:rsidR="004E49F5" w:rsidRPr="00092F4D" w:rsidRDefault="004E49F5" w:rsidP="004D7189">
      <w:pPr>
        <w:spacing w:line="480" w:lineRule="auto"/>
        <w:ind w:right="-720"/>
        <w:jc w:val="both"/>
        <w:rPr>
          <w:b/>
          <w:sz w:val="22"/>
          <w:szCs w:val="22"/>
        </w:rPr>
      </w:pPr>
      <w:r w:rsidRPr="00092F4D">
        <w:rPr>
          <w:b/>
          <w:sz w:val="22"/>
          <w:szCs w:val="22"/>
        </w:rPr>
        <w:t>Table S1. Chemicals and antibodies used in this study.</w:t>
      </w:r>
    </w:p>
    <w:p w14:paraId="64B809ED" w14:textId="77777777" w:rsidR="004E49F5" w:rsidRDefault="004E49F5" w:rsidP="004D7189">
      <w:pPr>
        <w:spacing w:line="480" w:lineRule="auto"/>
        <w:ind w:right="-720"/>
        <w:jc w:val="both"/>
        <w:rPr>
          <w:b/>
          <w:sz w:val="22"/>
          <w:szCs w:val="22"/>
        </w:rPr>
      </w:pPr>
    </w:p>
    <w:p w14:paraId="2F80517B" w14:textId="18F3B9F3" w:rsidR="004E49F5" w:rsidRPr="00092F4D" w:rsidRDefault="004E49F5" w:rsidP="004D7189">
      <w:pPr>
        <w:spacing w:line="480" w:lineRule="auto"/>
        <w:ind w:right="-720"/>
        <w:jc w:val="both"/>
        <w:rPr>
          <w:b/>
          <w:sz w:val="22"/>
          <w:szCs w:val="22"/>
        </w:rPr>
      </w:pPr>
      <w:r w:rsidRPr="00092F4D">
        <w:rPr>
          <w:b/>
          <w:sz w:val="22"/>
          <w:szCs w:val="22"/>
        </w:rPr>
        <w:t>Table S2. A list of primers and their sequences used in this study.</w:t>
      </w:r>
    </w:p>
    <w:p w14:paraId="6E2C695B" w14:textId="77777777" w:rsidR="00DB6951" w:rsidRDefault="00DB6951" w:rsidP="001462AA">
      <w:pPr>
        <w:spacing w:line="480" w:lineRule="auto"/>
        <w:ind w:right="-720"/>
        <w:jc w:val="both"/>
        <w:rPr>
          <w:b/>
          <w:sz w:val="22"/>
          <w:szCs w:val="22"/>
        </w:rPr>
      </w:pPr>
    </w:p>
    <w:p w14:paraId="3CCF640F" w14:textId="38389802" w:rsidR="004E49F5" w:rsidRPr="001462AA" w:rsidRDefault="004E49F5" w:rsidP="00DB6951">
      <w:pPr>
        <w:spacing w:line="480" w:lineRule="auto"/>
        <w:jc w:val="both"/>
        <w:rPr>
          <w:b/>
          <w:sz w:val="22"/>
          <w:szCs w:val="22"/>
        </w:rPr>
      </w:pPr>
      <w:r w:rsidRPr="00092F4D">
        <w:rPr>
          <w:b/>
          <w:sz w:val="22"/>
          <w:szCs w:val="22"/>
        </w:rPr>
        <w:t>Table S3.</w:t>
      </w:r>
      <w:r w:rsidRPr="00092F4D">
        <w:rPr>
          <w:sz w:val="22"/>
          <w:szCs w:val="22"/>
        </w:rPr>
        <w:t xml:space="preserve"> </w:t>
      </w:r>
      <w:proofErr w:type="spellStart"/>
      <w:r w:rsidRPr="00092F4D">
        <w:rPr>
          <w:b/>
          <w:sz w:val="22"/>
          <w:szCs w:val="22"/>
        </w:rPr>
        <w:t>ChIP</w:t>
      </w:r>
      <w:proofErr w:type="spellEnd"/>
      <w:r w:rsidRPr="00092F4D">
        <w:rPr>
          <w:b/>
          <w:sz w:val="22"/>
          <w:szCs w:val="22"/>
        </w:rPr>
        <w:t xml:space="preserve">-seq analyses of PML, ER, and </w:t>
      </w:r>
      <w:proofErr w:type="spellStart"/>
      <w:r w:rsidRPr="00092F4D">
        <w:rPr>
          <w:b/>
          <w:sz w:val="22"/>
          <w:szCs w:val="22"/>
        </w:rPr>
        <w:t>Myc</w:t>
      </w:r>
      <w:proofErr w:type="spellEnd"/>
      <w:r w:rsidRPr="00092F4D">
        <w:rPr>
          <w:b/>
          <w:sz w:val="22"/>
          <w:szCs w:val="22"/>
        </w:rPr>
        <w:t xml:space="preserve"> suggest the binding status of a list of stemness gene promoters.</w:t>
      </w:r>
    </w:p>
    <w:p w14:paraId="3653FA6B" w14:textId="77777777" w:rsidR="004E49F5" w:rsidRPr="00092F4D" w:rsidRDefault="004E49F5" w:rsidP="00BA2C97">
      <w:pPr>
        <w:spacing w:before="60" w:line="480" w:lineRule="auto"/>
        <w:ind w:right="-720"/>
        <w:jc w:val="both"/>
        <w:rPr>
          <w:b/>
          <w:sz w:val="22"/>
          <w:szCs w:val="22"/>
        </w:rPr>
      </w:pPr>
    </w:p>
    <w:p w14:paraId="2C30F410" w14:textId="77777777" w:rsidR="004E49F5" w:rsidRPr="00092F4D" w:rsidRDefault="004E49F5" w:rsidP="00E80523">
      <w:pPr>
        <w:spacing w:before="60" w:line="480" w:lineRule="auto"/>
        <w:jc w:val="both"/>
        <w:rPr>
          <w:sz w:val="22"/>
          <w:szCs w:val="22"/>
        </w:rPr>
      </w:pPr>
      <w:r w:rsidRPr="00092F4D">
        <w:rPr>
          <w:b/>
          <w:color w:val="000000" w:themeColor="text1"/>
          <w:sz w:val="22"/>
          <w:szCs w:val="22"/>
        </w:rPr>
        <w:t xml:space="preserve">Fig. S1. </w:t>
      </w:r>
      <w:r>
        <w:rPr>
          <w:b/>
          <w:color w:val="000000" w:themeColor="text1"/>
          <w:sz w:val="22"/>
          <w:szCs w:val="22"/>
        </w:rPr>
        <w:t xml:space="preserve">Expression profiles of </w:t>
      </w:r>
      <w:r w:rsidRPr="00092F4D">
        <w:rPr>
          <w:b/>
          <w:i/>
          <w:sz w:val="22"/>
          <w:szCs w:val="22"/>
        </w:rPr>
        <w:t>PML</w:t>
      </w:r>
      <w:r w:rsidRPr="00092F4D">
        <w:rPr>
          <w:b/>
          <w:sz w:val="22"/>
          <w:szCs w:val="22"/>
        </w:rPr>
        <w:t xml:space="preserve"> isoform</w:t>
      </w:r>
      <w:r>
        <w:rPr>
          <w:b/>
          <w:sz w:val="22"/>
          <w:szCs w:val="22"/>
        </w:rPr>
        <w:t>s</w:t>
      </w:r>
      <w:r w:rsidRPr="00092F4D">
        <w:rPr>
          <w:b/>
          <w:sz w:val="22"/>
          <w:szCs w:val="22"/>
        </w:rPr>
        <w:t xml:space="preserve"> in breast cancer subtypes. </w:t>
      </w:r>
      <w:r w:rsidRPr="00092F4D">
        <w:rPr>
          <w:b/>
          <w:i/>
          <w:sz w:val="22"/>
          <w:szCs w:val="22"/>
        </w:rPr>
        <w:t>A-B</w:t>
      </w:r>
      <w:r w:rsidRPr="00092F4D">
        <w:rPr>
          <w:sz w:val="22"/>
          <w:szCs w:val="22"/>
        </w:rPr>
        <w:t xml:space="preserve">, Expression levels of </w:t>
      </w:r>
      <w:r w:rsidRPr="00092F4D">
        <w:rPr>
          <w:i/>
          <w:sz w:val="22"/>
          <w:szCs w:val="22"/>
        </w:rPr>
        <w:t>PML</w:t>
      </w:r>
      <w:r w:rsidRPr="00092F4D">
        <w:rPr>
          <w:sz w:val="22"/>
          <w:szCs w:val="22"/>
        </w:rPr>
        <w:t xml:space="preserve"> mRNA isoforms in normal (</w:t>
      </w:r>
      <w:r w:rsidRPr="00092F4D">
        <w:rPr>
          <w:b/>
          <w:i/>
          <w:sz w:val="22"/>
          <w:szCs w:val="22"/>
        </w:rPr>
        <w:t>A</w:t>
      </w:r>
      <w:r w:rsidRPr="00092F4D">
        <w:rPr>
          <w:sz w:val="22"/>
          <w:szCs w:val="22"/>
        </w:rPr>
        <w:t>), total breast cancer tissues (</w:t>
      </w:r>
      <w:r w:rsidRPr="00092F4D">
        <w:rPr>
          <w:b/>
          <w:i/>
          <w:sz w:val="22"/>
          <w:szCs w:val="22"/>
        </w:rPr>
        <w:t>B</w:t>
      </w:r>
      <w:r w:rsidRPr="00092F4D">
        <w:rPr>
          <w:sz w:val="22"/>
          <w:szCs w:val="22"/>
        </w:rPr>
        <w:t>), ER+ (</w:t>
      </w:r>
      <w:r w:rsidRPr="00092F4D">
        <w:rPr>
          <w:b/>
          <w:i/>
          <w:sz w:val="22"/>
          <w:szCs w:val="22"/>
        </w:rPr>
        <w:t>C</w:t>
      </w:r>
      <w:r w:rsidRPr="00092F4D">
        <w:rPr>
          <w:sz w:val="22"/>
          <w:szCs w:val="22"/>
        </w:rPr>
        <w:t>),</w:t>
      </w:r>
      <w:r w:rsidRPr="00092F4D">
        <w:rPr>
          <w:b/>
          <w:sz w:val="22"/>
          <w:szCs w:val="22"/>
        </w:rPr>
        <w:t xml:space="preserve"> </w:t>
      </w:r>
      <w:r w:rsidRPr="00092F4D">
        <w:rPr>
          <w:sz w:val="22"/>
          <w:szCs w:val="22"/>
        </w:rPr>
        <w:t>HER2+ (</w:t>
      </w:r>
      <w:r w:rsidRPr="00092F4D">
        <w:rPr>
          <w:b/>
          <w:i/>
          <w:sz w:val="22"/>
          <w:szCs w:val="22"/>
        </w:rPr>
        <w:t>D</w:t>
      </w:r>
      <w:r w:rsidRPr="00092F4D">
        <w:rPr>
          <w:sz w:val="22"/>
          <w:szCs w:val="22"/>
        </w:rPr>
        <w:t>), and basal breast cancer (</w:t>
      </w:r>
      <w:r w:rsidRPr="00092F4D">
        <w:rPr>
          <w:b/>
          <w:i/>
          <w:sz w:val="22"/>
          <w:szCs w:val="22"/>
        </w:rPr>
        <w:t>E</w:t>
      </w:r>
      <w:r w:rsidRPr="00092F4D">
        <w:rPr>
          <w:sz w:val="22"/>
          <w:szCs w:val="22"/>
        </w:rPr>
        <w:t xml:space="preserve">). </w:t>
      </w:r>
      <w:r w:rsidRPr="00092F4D">
        <w:rPr>
          <w:b/>
          <w:i/>
          <w:sz w:val="22"/>
          <w:szCs w:val="22"/>
        </w:rPr>
        <w:t>F</w:t>
      </w:r>
      <w:r w:rsidRPr="00092F4D">
        <w:rPr>
          <w:i/>
          <w:sz w:val="22"/>
          <w:szCs w:val="22"/>
        </w:rPr>
        <w:t>,</w:t>
      </w:r>
      <w:r w:rsidRPr="00092F4D">
        <w:rPr>
          <w:b/>
          <w:sz w:val="22"/>
          <w:szCs w:val="22"/>
        </w:rPr>
        <w:t xml:space="preserve"> </w:t>
      </w:r>
      <w:r w:rsidRPr="00092F4D">
        <w:rPr>
          <w:sz w:val="22"/>
          <w:szCs w:val="22"/>
        </w:rPr>
        <w:t xml:space="preserve">Relative abundance of </w:t>
      </w:r>
      <w:r w:rsidRPr="00092F4D">
        <w:rPr>
          <w:i/>
          <w:sz w:val="22"/>
          <w:szCs w:val="22"/>
        </w:rPr>
        <w:t>PML</w:t>
      </w:r>
      <w:r w:rsidRPr="00092F4D">
        <w:rPr>
          <w:sz w:val="22"/>
          <w:szCs w:val="22"/>
        </w:rPr>
        <w:t xml:space="preserve"> isoforms (UCSC genome browser, hg38) breast cancer subtypes.</w:t>
      </w:r>
    </w:p>
    <w:p w14:paraId="6D0FE11A" w14:textId="6FF32FC8" w:rsidR="004E49F5" w:rsidRPr="00092F4D" w:rsidRDefault="004E49F5" w:rsidP="00E80523">
      <w:pPr>
        <w:spacing w:before="60" w:line="480" w:lineRule="auto"/>
        <w:jc w:val="both"/>
        <w:rPr>
          <w:b/>
          <w:sz w:val="22"/>
          <w:szCs w:val="22"/>
        </w:rPr>
      </w:pPr>
    </w:p>
    <w:p w14:paraId="153B93BD" w14:textId="77777777" w:rsidR="004E49F5" w:rsidRPr="00092F4D" w:rsidRDefault="004E49F5" w:rsidP="00E80523">
      <w:pPr>
        <w:spacing w:before="60" w:line="480" w:lineRule="auto"/>
        <w:jc w:val="both"/>
        <w:rPr>
          <w:sz w:val="22"/>
          <w:szCs w:val="22"/>
        </w:rPr>
      </w:pPr>
      <w:r w:rsidRPr="00092F4D">
        <w:rPr>
          <w:b/>
          <w:color w:val="000000" w:themeColor="text1"/>
          <w:sz w:val="22"/>
          <w:szCs w:val="22"/>
        </w:rPr>
        <w:t xml:space="preserve">Fig. S2. </w:t>
      </w:r>
      <w:r w:rsidRPr="00092F4D">
        <w:rPr>
          <w:b/>
          <w:i/>
          <w:sz w:val="22"/>
          <w:szCs w:val="22"/>
        </w:rPr>
        <w:t>A,</w:t>
      </w:r>
      <w:r w:rsidRPr="00092F4D">
        <w:rPr>
          <w:b/>
          <w:sz w:val="22"/>
          <w:szCs w:val="22"/>
        </w:rPr>
        <w:t xml:space="preserve"> </w:t>
      </w:r>
      <w:r w:rsidRPr="00092F4D">
        <w:rPr>
          <w:sz w:val="22"/>
          <w:szCs w:val="22"/>
        </w:rPr>
        <w:t xml:space="preserve">The prognosis values of </w:t>
      </w:r>
      <w:r w:rsidRPr="00092F4D">
        <w:rPr>
          <w:i/>
          <w:sz w:val="22"/>
          <w:szCs w:val="22"/>
        </w:rPr>
        <w:t>PML</w:t>
      </w:r>
      <w:r w:rsidRPr="00092F4D">
        <w:rPr>
          <w:sz w:val="22"/>
          <w:szCs w:val="22"/>
        </w:rPr>
        <w:t xml:space="preserve"> isoforms expression.</w:t>
      </w:r>
      <w:r w:rsidRPr="00092F4D">
        <w:rPr>
          <w:b/>
          <w:sz w:val="22"/>
          <w:szCs w:val="22"/>
        </w:rPr>
        <w:t xml:space="preserve"> </w:t>
      </w:r>
      <w:r w:rsidRPr="00092F4D">
        <w:rPr>
          <w:b/>
          <w:i/>
          <w:sz w:val="22"/>
          <w:szCs w:val="22"/>
        </w:rPr>
        <w:t>B</w:t>
      </w:r>
      <w:r w:rsidRPr="00092F4D">
        <w:rPr>
          <w:sz w:val="22"/>
          <w:szCs w:val="22"/>
        </w:rPr>
        <w:t>, Higher PML protein levels correlate with poor prognosis</w:t>
      </w:r>
      <w:r w:rsidRPr="00092F4D">
        <w:rPr>
          <w:rFonts w:eastAsia="PingFang TC"/>
          <w:sz w:val="22"/>
          <w:szCs w:val="22"/>
        </w:rPr>
        <w:t>, as illustrated in the plot generated by KMplot.com (http://kmplot.com/analysis/index.php?p=background). The data for ER+ patients were retrieved from the Tang_2018 database.</w:t>
      </w:r>
      <w:r w:rsidRPr="00092F4D">
        <w:rPr>
          <w:sz w:val="22"/>
          <w:szCs w:val="22"/>
        </w:rPr>
        <w:t xml:space="preserve"> </w:t>
      </w:r>
      <w:r>
        <w:rPr>
          <w:noProof/>
          <w:sz w:val="22"/>
          <w:szCs w:val="22"/>
        </w:rPr>
        <w:t>[54]</w:t>
      </w:r>
    </w:p>
    <w:p w14:paraId="052D77CC" w14:textId="1ECA65ED" w:rsidR="004E49F5" w:rsidRPr="00092F4D" w:rsidRDefault="004E49F5" w:rsidP="00E80523">
      <w:pPr>
        <w:spacing w:before="60" w:line="480" w:lineRule="auto"/>
        <w:jc w:val="both"/>
        <w:rPr>
          <w:b/>
          <w:iCs/>
          <w:sz w:val="22"/>
          <w:szCs w:val="22"/>
        </w:rPr>
      </w:pPr>
    </w:p>
    <w:p w14:paraId="3C596E4E" w14:textId="77777777" w:rsidR="004E49F5" w:rsidRPr="00092F4D" w:rsidRDefault="004E49F5" w:rsidP="00E80523">
      <w:pPr>
        <w:spacing w:before="60" w:line="480" w:lineRule="auto"/>
        <w:jc w:val="both"/>
        <w:rPr>
          <w:b/>
          <w:iCs/>
          <w:sz w:val="22"/>
          <w:szCs w:val="22"/>
        </w:rPr>
      </w:pPr>
      <w:r w:rsidRPr="00092F4D">
        <w:rPr>
          <w:b/>
          <w:iCs/>
          <w:sz w:val="22"/>
          <w:szCs w:val="22"/>
        </w:rPr>
        <w:t xml:space="preserve">Fig. S3. The </w:t>
      </w:r>
      <w:r w:rsidRPr="00092F4D">
        <w:rPr>
          <w:b/>
          <w:i/>
          <w:sz w:val="22"/>
          <w:szCs w:val="22"/>
        </w:rPr>
        <w:t>PML</w:t>
      </w:r>
      <w:r w:rsidRPr="00092F4D">
        <w:rPr>
          <w:b/>
          <w:iCs/>
          <w:sz w:val="22"/>
          <w:szCs w:val="22"/>
        </w:rPr>
        <w:t xml:space="preserve"> gene is amplified in 14% of ER+ breast tumors.</w:t>
      </w:r>
    </w:p>
    <w:p w14:paraId="0ED65354" w14:textId="7D4C6621" w:rsidR="004E49F5" w:rsidRPr="00092F4D" w:rsidRDefault="004E49F5" w:rsidP="00E80523">
      <w:pPr>
        <w:spacing w:before="60" w:line="480" w:lineRule="auto"/>
        <w:jc w:val="both"/>
        <w:rPr>
          <w:b/>
          <w:i/>
          <w:sz w:val="22"/>
          <w:szCs w:val="22"/>
        </w:rPr>
      </w:pPr>
    </w:p>
    <w:p w14:paraId="4F477D0E" w14:textId="77777777" w:rsidR="004E49F5" w:rsidRPr="00092F4D" w:rsidRDefault="004E49F5" w:rsidP="00E80523">
      <w:pPr>
        <w:spacing w:before="60" w:line="480" w:lineRule="auto"/>
        <w:jc w:val="both"/>
        <w:rPr>
          <w:sz w:val="22"/>
          <w:szCs w:val="22"/>
        </w:rPr>
      </w:pPr>
      <w:r w:rsidRPr="00092F4D">
        <w:rPr>
          <w:b/>
          <w:color w:val="000000" w:themeColor="text1"/>
          <w:sz w:val="22"/>
          <w:szCs w:val="22"/>
        </w:rPr>
        <w:t xml:space="preserve">Fig. S4. </w:t>
      </w:r>
      <w:r w:rsidRPr="00092F4D">
        <w:rPr>
          <w:b/>
          <w:sz w:val="22"/>
          <w:szCs w:val="22"/>
        </w:rPr>
        <w:t>A,</w:t>
      </w:r>
      <w:r w:rsidRPr="00092F4D">
        <w:rPr>
          <w:sz w:val="22"/>
          <w:szCs w:val="22"/>
        </w:rPr>
        <w:t xml:space="preserve"> PML4 does not rescue the proliferation of </w:t>
      </w:r>
      <w:r w:rsidRPr="00092F4D">
        <w:rPr>
          <w:i/>
          <w:sz w:val="22"/>
          <w:szCs w:val="22"/>
        </w:rPr>
        <w:t>PML</w:t>
      </w:r>
      <w:r w:rsidRPr="00092F4D">
        <w:rPr>
          <w:sz w:val="22"/>
          <w:szCs w:val="22"/>
        </w:rPr>
        <w:t xml:space="preserve"> knockdown cells. MCF-7 cells were transiently transfected with </w:t>
      </w:r>
      <w:r w:rsidRPr="00092F4D">
        <w:rPr>
          <w:i/>
          <w:sz w:val="22"/>
          <w:szCs w:val="22"/>
        </w:rPr>
        <w:t>PML</w:t>
      </w:r>
      <w:r w:rsidRPr="00092F4D">
        <w:rPr>
          <w:sz w:val="22"/>
          <w:szCs w:val="22"/>
        </w:rPr>
        <w:t xml:space="preserve"> shRNA followed by transfection with vector, PML1, or PML4 expression plasmids, and cell numbers were determined five days after transient transfection of PML1 or PML4. </w:t>
      </w:r>
      <w:r w:rsidRPr="00092F4D">
        <w:rPr>
          <w:b/>
          <w:i/>
          <w:sz w:val="22"/>
          <w:szCs w:val="22"/>
        </w:rPr>
        <w:t>B,</w:t>
      </w:r>
      <w:r w:rsidRPr="00092F4D">
        <w:rPr>
          <w:sz w:val="22"/>
          <w:szCs w:val="22"/>
        </w:rPr>
        <w:t xml:space="preserve"> PML2 inhibits the proliferation (left) and stemness (right) of MCF-7 cells.</w:t>
      </w:r>
    </w:p>
    <w:p w14:paraId="712262B3" w14:textId="00C0C842" w:rsidR="004E49F5" w:rsidRPr="00092F4D" w:rsidRDefault="004E49F5" w:rsidP="00E80523">
      <w:pPr>
        <w:spacing w:before="60" w:line="480" w:lineRule="auto"/>
        <w:jc w:val="both"/>
        <w:rPr>
          <w:b/>
          <w:sz w:val="22"/>
          <w:szCs w:val="22"/>
        </w:rPr>
      </w:pPr>
    </w:p>
    <w:p w14:paraId="4F315135" w14:textId="77777777" w:rsidR="004E49F5" w:rsidRPr="00092F4D" w:rsidRDefault="004E49F5" w:rsidP="00E80523">
      <w:pPr>
        <w:spacing w:before="60" w:line="480" w:lineRule="auto"/>
        <w:jc w:val="both"/>
        <w:rPr>
          <w:color w:val="000000" w:themeColor="text1"/>
          <w:sz w:val="22"/>
          <w:szCs w:val="22"/>
        </w:rPr>
      </w:pPr>
      <w:r w:rsidRPr="00092F4D">
        <w:rPr>
          <w:b/>
          <w:color w:val="000000" w:themeColor="text1"/>
          <w:sz w:val="22"/>
          <w:szCs w:val="22"/>
        </w:rPr>
        <w:lastRenderedPageBreak/>
        <w:t xml:space="preserve">Fig. S5. Images of </w:t>
      </w:r>
      <w:proofErr w:type="spellStart"/>
      <w:r w:rsidRPr="00092F4D">
        <w:rPr>
          <w:b/>
          <w:color w:val="000000" w:themeColor="text1"/>
          <w:sz w:val="22"/>
          <w:szCs w:val="22"/>
        </w:rPr>
        <w:t>tumorspheres</w:t>
      </w:r>
      <w:proofErr w:type="spellEnd"/>
      <w:r w:rsidRPr="00092F4D">
        <w:rPr>
          <w:b/>
          <w:color w:val="000000" w:themeColor="text1"/>
          <w:sz w:val="22"/>
          <w:szCs w:val="22"/>
        </w:rPr>
        <w:t xml:space="preserve"> in PML1 overexpression and </w:t>
      </w:r>
      <w:r w:rsidRPr="00092F4D">
        <w:rPr>
          <w:b/>
          <w:i/>
          <w:color w:val="000000" w:themeColor="text1"/>
          <w:sz w:val="22"/>
          <w:szCs w:val="22"/>
        </w:rPr>
        <w:t>PML</w:t>
      </w:r>
      <w:r w:rsidRPr="00092F4D">
        <w:rPr>
          <w:b/>
          <w:color w:val="000000" w:themeColor="text1"/>
          <w:sz w:val="22"/>
          <w:szCs w:val="22"/>
        </w:rPr>
        <w:t xml:space="preserve"> knockdown MCF-7 and ZR-75-1 cells.</w:t>
      </w:r>
    </w:p>
    <w:p w14:paraId="67E4B3CE" w14:textId="394A9D1B" w:rsidR="004E49F5" w:rsidRPr="00092F4D" w:rsidRDefault="004E49F5" w:rsidP="00E80523">
      <w:pPr>
        <w:spacing w:before="60" w:line="480" w:lineRule="auto"/>
        <w:jc w:val="both"/>
        <w:rPr>
          <w:sz w:val="22"/>
          <w:szCs w:val="22"/>
        </w:rPr>
      </w:pPr>
    </w:p>
    <w:p w14:paraId="4BD2E510" w14:textId="77777777" w:rsidR="004E49F5" w:rsidRDefault="004E49F5" w:rsidP="00E80523">
      <w:pPr>
        <w:spacing w:before="60" w:line="480" w:lineRule="auto"/>
        <w:jc w:val="both"/>
        <w:rPr>
          <w:sz w:val="22"/>
          <w:szCs w:val="22"/>
        </w:rPr>
      </w:pPr>
      <w:r w:rsidRPr="00092F4D">
        <w:rPr>
          <w:b/>
          <w:color w:val="000000" w:themeColor="text1"/>
          <w:sz w:val="22"/>
          <w:szCs w:val="22"/>
        </w:rPr>
        <w:t>Fig. S6.</w:t>
      </w:r>
      <w:r w:rsidRPr="00092F4D">
        <w:rPr>
          <w:color w:val="000000" w:themeColor="text1"/>
          <w:sz w:val="22"/>
          <w:szCs w:val="22"/>
        </w:rPr>
        <w:t xml:space="preserve"> </w:t>
      </w:r>
      <w:r w:rsidRPr="00092F4D">
        <w:rPr>
          <w:b/>
          <w:i/>
          <w:sz w:val="22"/>
          <w:szCs w:val="22"/>
        </w:rPr>
        <w:t>A,</w:t>
      </w:r>
      <w:r w:rsidRPr="00092F4D">
        <w:rPr>
          <w:sz w:val="22"/>
          <w:szCs w:val="22"/>
        </w:rPr>
        <w:t xml:space="preserve"> Heatmaps of ER- and PML-binding sites on ER-bound promoters. </w:t>
      </w:r>
      <w:r w:rsidRPr="00092F4D">
        <w:rPr>
          <w:b/>
          <w:i/>
          <w:sz w:val="22"/>
          <w:szCs w:val="22"/>
        </w:rPr>
        <w:t>B,</w:t>
      </w:r>
      <w:r w:rsidRPr="00092F4D">
        <w:rPr>
          <w:sz w:val="22"/>
          <w:szCs w:val="22"/>
        </w:rPr>
        <w:t xml:space="preserve"> The</w:t>
      </w:r>
      <w:r w:rsidRPr="00092F4D">
        <w:rPr>
          <w:b/>
          <w:i/>
          <w:sz w:val="22"/>
          <w:szCs w:val="22"/>
        </w:rPr>
        <w:t xml:space="preserve"> </w:t>
      </w:r>
      <w:r w:rsidRPr="00092F4D">
        <w:rPr>
          <w:sz w:val="22"/>
          <w:szCs w:val="22"/>
        </w:rPr>
        <w:t xml:space="preserve">top consensus sequence motif of PML1- and ER-shared promoters. </w:t>
      </w:r>
      <w:r w:rsidRPr="00092F4D">
        <w:rPr>
          <w:b/>
          <w:i/>
          <w:sz w:val="22"/>
          <w:szCs w:val="22"/>
        </w:rPr>
        <w:t>C,</w:t>
      </w:r>
      <w:r w:rsidRPr="00092F4D">
        <w:rPr>
          <w:sz w:val="22"/>
          <w:szCs w:val="22"/>
        </w:rPr>
        <w:t xml:space="preserve"> PML target genes are enriched in </w:t>
      </w:r>
      <w:proofErr w:type="spellStart"/>
      <w:r w:rsidRPr="00092F4D">
        <w:rPr>
          <w:sz w:val="22"/>
          <w:szCs w:val="22"/>
        </w:rPr>
        <w:t>Myc</w:t>
      </w:r>
      <w:proofErr w:type="spellEnd"/>
      <w:r w:rsidRPr="00092F4D">
        <w:rPr>
          <w:sz w:val="22"/>
          <w:szCs w:val="22"/>
        </w:rPr>
        <w:t xml:space="preserve"> target genes.</w:t>
      </w:r>
    </w:p>
    <w:p w14:paraId="74AA80FC" w14:textId="2A508DE9" w:rsidR="004E49F5" w:rsidRDefault="004E49F5" w:rsidP="00E80523">
      <w:pPr>
        <w:spacing w:line="480" w:lineRule="auto"/>
        <w:jc w:val="both"/>
        <w:rPr>
          <w:b/>
          <w:iCs/>
          <w:color w:val="000000" w:themeColor="text1"/>
          <w:sz w:val="22"/>
          <w:szCs w:val="22"/>
        </w:rPr>
      </w:pPr>
    </w:p>
    <w:p w14:paraId="4C232C25" w14:textId="77777777" w:rsidR="004E49F5" w:rsidRDefault="004E49F5" w:rsidP="00E80523">
      <w:pPr>
        <w:spacing w:line="480" w:lineRule="auto"/>
        <w:jc w:val="both"/>
        <w:rPr>
          <w:color w:val="000000" w:themeColor="text1"/>
          <w:sz w:val="22"/>
          <w:szCs w:val="22"/>
        </w:rPr>
      </w:pPr>
      <w:r w:rsidRPr="001B30BD">
        <w:rPr>
          <w:b/>
          <w:iCs/>
          <w:color w:val="000000" w:themeColor="text1"/>
          <w:sz w:val="22"/>
          <w:szCs w:val="22"/>
        </w:rPr>
        <w:t>Fig. S7</w:t>
      </w:r>
      <w:r w:rsidRPr="006A02B1">
        <w:rPr>
          <w:iCs/>
          <w:color w:val="000000" w:themeColor="text1"/>
          <w:sz w:val="22"/>
          <w:szCs w:val="22"/>
        </w:rPr>
        <w:t>,</w:t>
      </w:r>
      <w:r w:rsidRPr="00092F4D">
        <w:rPr>
          <w:color w:val="000000" w:themeColor="text1"/>
          <w:sz w:val="22"/>
          <w:szCs w:val="22"/>
        </w:rPr>
        <w:t xml:space="preserve"> </w:t>
      </w:r>
      <w:proofErr w:type="spellStart"/>
      <w:r w:rsidRPr="00092F4D">
        <w:rPr>
          <w:color w:val="000000" w:themeColor="text1"/>
          <w:sz w:val="22"/>
          <w:szCs w:val="22"/>
        </w:rPr>
        <w:t>ChIP</w:t>
      </w:r>
      <w:proofErr w:type="spellEnd"/>
      <w:r w:rsidRPr="00092F4D">
        <w:rPr>
          <w:color w:val="000000" w:themeColor="text1"/>
          <w:sz w:val="22"/>
          <w:szCs w:val="22"/>
        </w:rPr>
        <w:t xml:space="preserve">-seq tracks show the binding </w:t>
      </w:r>
      <w:r>
        <w:rPr>
          <w:color w:val="000000" w:themeColor="text1"/>
          <w:sz w:val="22"/>
          <w:szCs w:val="22"/>
        </w:rPr>
        <w:t>site</w:t>
      </w:r>
      <w:r w:rsidRPr="00092F4D">
        <w:rPr>
          <w:color w:val="000000" w:themeColor="text1"/>
          <w:sz w:val="22"/>
          <w:szCs w:val="22"/>
        </w:rPr>
        <w:t xml:space="preserve">s of PML, ER, and </w:t>
      </w:r>
      <w:proofErr w:type="spellStart"/>
      <w:r w:rsidRPr="00092F4D">
        <w:rPr>
          <w:color w:val="000000" w:themeColor="text1"/>
          <w:sz w:val="22"/>
          <w:szCs w:val="22"/>
        </w:rPr>
        <w:t>Myc</w:t>
      </w:r>
      <w:proofErr w:type="spellEnd"/>
      <w:r w:rsidRPr="00092F4D">
        <w:rPr>
          <w:color w:val="000000" w:themeColor="text1"/>
          <w:sz w:val="22"/>
          <w:szCs w:val="22"/>
        </w:rPr>
        <w:t xml:space="preserve"> on </w:t>
      </w:r>
      <w:r w:rsidRPr="00092F4D">
        <w:rPr>
          <w:i/>
          <w:color w:val="000000" w:themeColor="text1"/>
          <w:sz w:val="22"/>
          <w:szCs w:val="22"/>
        </w:rPr>
        <w:t>JAG1</w:t>
      </w:r>
      <w:r w:rsidRPr="00092F4D">
        <w:rPr>
          <w:color w:val="000000" w:themeColor="text1"/>
          <w:sz w:val="22"/>
          <w:szCs w:val="22"/>
        </w:rPr>
        <w:t>,</w:t>
      </w:r>
      <w:r w:rsidRPr="00092F4D">
        <w:rPr>
          <w:i/>
          <w:color w:val="000000" w:themeColor="text1"/>
          <w:sz w:val="22"/>
          <w:szCs w:val="22"/>
        </w:rPr>
        <w:t xml:space="preserve"> KLF4</w:t>
      </w:r>
      <w:r w:rsidRPr="00092F4D">
        <w:rPr>
          <w:color w:val="000000" w:themeColor="text1"/>
          <w:sz w:val="22"/>
          <w:szCs w:val="22"/>
        </w:rPr>
        <w:t>,</w:t>
      </w:r>
      <w:r w:rsidRPr="00092F4D">
        <w:rPr>
          <w:i/>
          <w:color w:val="000000" w:themeColor="text1"/>
          <w:sz w:val="22"/>
          <w:szCs w:val="22"/>
        </w:rPr>
        <w:t xml:space="preserve"> MYC</w:t>
      </w:r>
      <w:r w:rsidRPr="00092F4D">
        <w:rPr>
          <w:color w:val="000000" w:themeColor="text1"/>
          <w:sz w:val="22"/>
          <w:szCs w:val="22"/>
        </w:rPr>
        <w:t xml:space="preserve">, </w:t>
      </w:r>
      <w:r w:rsidRPr="00092F4D">
        <w:rPr>
          <w:i/>
          <w:color w:val="000000" w:themeColor="text1"/>
          <w:sz w:val="22"/>
          <w:szCs w:val="22"/>
        </w:rPr>
        <w:t>SNAI1</w:t>
      </w:r>
      <w:r w:rsidRPr="00092F4D">
        <w:rPr>
          <w:color w:val="000000" w:themeColor="text1"/>
          <w:sz w:val="22"/>
          <w:szCs w:val="22"/>
        </w:rPr>
        <w:t xml:space="preserve">, and </w:t>
      </w:r>
      <w:r w:rsidRPr="00092F4D">
        <w:rPr>
          <w:i/>
          <w:color w:val="000000" w:themeColor="text1"/>
          <w:sz w:val="22"/>
          <w:szCs w:val="22"/>
        </w:rPr>
        <w:t>YAP1</w:t>
      </w:r>
      <w:r w:rsidRPr="00092F4D">
        <w:rPr>
          <w:color w:val="000000" w:themeColor="text1"/>
          <w:sz w:val="22"/>
          <w:szCs w:val="22"/>
        </w:rPr>
        <w:t xml:space="preserve"> genes. The red line marks TSS.</w:t>
      </w:r>
    </w:p>
    <w:p w14:paraId="42253311" w14:textId="72A2C1AF" w:rsidR="004E49F5" w:rsidRPr="00092F4D" w:rsidRDefault="004E49F5" w:rsidP="00E80523">
      <w:pPr>
        <w:spacing w:line="480" w:lineRule="auto"/>
        <w:rPr>
          <w:sz w:val="22"/>
          <w:szCs w:val="22"/>
        </w:rPr>
      </w:pPr>
    </w:p>
    <w:p w14:paraId="2824DE7B" w14:textId="77777777" w:rsidR="004E49F5" w:rsidRPr="005E10F1" w:rsidRDefault="004E49F5" w:rsidP="00E80523">
      <w:pPr>
        <w:spacing w:line="480" w:lineRule="auto"/>
        <w:rPr>
          <w:b/>
          <w:bCs/>
          <w:sz w:val="22"/>
          <w:szCs w:val="22"/>
        </w:rPr>
      </w:pPr>
      <w:r w:rsidRPr="005E10F1">
        <w:rPr>
          <w:b/>
          <w:bCs/>
          <w:sz w:val="22"/>
          <w:szCs w:val="22"/>
        </w:rPr>
        <w:t>Fig. S</w:t>
      </w:r>
      <w:r>
        <w:rPr>
          <w:b/>
          <w:bCs/>
          <w:sz w:val="22"/>
          <w:szCs w:val="22"/>
        </w:rPr>
        <w:t>8</w:t>
      </w:r>
      <w:r w:rsidRPr="005E10F1">
        <w:rPr>
          <w:b/>
          <w:bCs/>
          <w:sz w:val="22"/>
          <w:szCs w:val="22"/>
        </w:rPr>
        <w:t xml:space="preserve">. </w:t>
      </w:r>
      <w:r>
        <w:rPr>
          <w:b/>
          <w:bCs/>
          <w:sz w:val="22"/>
          <w:szCs w:val="22"/>
        </w:rPr>
        <w:t>P</w:t>
      </w:r>
      <w:r w:rsidRPr="005E10F1">
        <w:rPr>
          <w:b/>
          <w:bCs/>
          <w:sz w:val="22"/>
          <w:szCs w:val="22"/>
        </w:rPr>
        <w:t>roximity ligation assays detection of interactions</w:t>
      </w:r>
      <w:r>
        <w:rPr>
          <w:b/>
          <w:bCs/>
          <w:sz w:val="22"/>
          <w:szCs w:val="22"/>
        </w:rPr>
        <w:t xml:space="preserve"> between PML and ER and PML and WDR5</w:t>
      </w:r>
      <w:r w:rsidRPr="005E10F1">
        <w:rPr>
          <w:b/>
          <w:bCs/>
          <w:sz w:val="22"/>
          <w:szCs w:val="22"/>
        </w:rPr>
        <w:t>.</w:t>
      </w:r>
    </w:p>
    <w:p w14:paraId="02883558" w14:textId="1974EF0B" w:rsidR="004E49F5" w:rsidRDefault="004E49F5" w:rsidP="00E80523">
      <w:pPr>
        <w:adjustRightInd w:val="0"/>
        <w:snapToGrid w:val="0"/>
        <w:spacing w:line="480" w:lineRule="auto"/>
        <w:jc w:val="both"/>
        <w:rPr>
          <w:b/>
          <w:color w:val="000000" w:themeColor="text1"/>
          <w:sz w:val="22"/>
          <w:szCs w:val="22"/>
        </w:rPr>
      </w:pPr>
    </w:p>
    <w:p w14:paraId="3E733561" w14:textId="77777777" w:rsidR="004E49F5" w:rsidRPr="00092F4D" w:rsidRDefault="004E49F5" w:rsidP="00E80523">
      <w:pPr>
        <w:spacing w:line="480" w:lineRule="auto"/>
        <w:jc w:val="both"/>
        <w:rPr>
          <w:b/>
          <w:sz w:val="22"/>
          <w:szCs w:val="22"/>
        </w:rPr>
      </w:pPr>
      <w:r w:rsidRPr="00092F4D">
        <w:rPr>
          <w:b/>
          <w:color w:val="000000" w:themeColor="text1"/>
          <w:sz w:val="22"/>
          <w:szCs w:val="22"/>
        </w:rPr>
        <w:t>Fig. S</w:t>
      </w:r>
      <w:r>
        <w:rPr>
          <w:b/>
          <w:color w:val="000000" w:themeColor="text1"/>
          <w:sz w:val="22"/>
          <w:szCs w:val="22"/>
        </w:rPr>
        <w:t>9</w:t>
      </w:r>
      <w:r w:rsidRPr="00092F4D">
        <w:rPr>
          <w:b/>
          <w:color w:val="000000" w:themeColor="text1"/>
          <w:sz w:val="22"/>
          <w:szCs w:val="22"/>
        </w:rPr>
        <w:t xml:space="preserve">. </w:t>
      </w:r>
      <w:r w:rsidRPr="00092F4D">
        <w:rPr>
          <w:b/>
          <w:sz w:val="22"/>
          <w:szCs w:val="22"/>
        </w:rPr>
        <w:t xml:space="preserve">Images of </w:t>
      </w:r>
      <w:r w:rsidRPr="00092F4D">
        <w:rPr>
          <w:b/>
          <w:i/>
          <w:sz w:val="22"/>
          <w:szCs w:val="22"/>
        </w:rPr>
        <w:t>WDR5</w:t>
      </w:r>
      <w:r w:rsidRPr="00092F4D">
        <w:rPr>
          <w:b/>
          <w:sz w:val="22"/>
          <w:szCs w:val="22"/>
        </w:rPr>
        <w:t xml:space="preserve"> knockdown </w:t>
      </w:r>
      <w:proofErr w:type="spellStart"/>
      <w:r w:rsidRPr="00092F4D">
        <w:rPr>
          <w:b/>
          <w:sz w:val="22"/>
          <w:szCs w:val="22"/>
        </w:rPr>
        <w:t>tumorspheres</w:t>
      </w:r>
      <w:proofErr w:type="spellEnd"/>
      <w:r w:rsidRPr="00092F4D">
        <w:rPr>
          <w:b/>
          <w:sz w:val="22"/>
          <w:szCs w:val="22"/>
        </w:rPr>
        <w:t>.</w:t>
      </w:r>
    </w:p>
    <w:p w14:paraId="64D39DDC" w14:textId="77777777" w:rsidR="004E49F5" w:rsidRDefault="004E49F5" w:rsidP="00E80523">
      <w:pPr>
        <w:spacing w:line="480" w:lineRule="auto"/>
        <w:rPr>
          <w:sz w:val="22"/>
          <w:szCs w:val="22"/>
        </w:rPr>
      </w:pPr>
    </w:p>
    <w:p w14:paraId="01A351BA" w14:textId="7BA5EDF9" w:rsidR="00CB182B" w:rsidRPr="00E80523" w:rsidRDefault="004E49F5" w:rsidP="00E80523">
      <w:pPr>
        <w:spacing w:line="480" w:lineRule="auto"/>
        <w:rPr>
          <w:b/>
          <w:bCs/>
          <w:sz w:val="22"/>
          <w:szCs w:val="22"/>
        </w:rPr>
      </w:pPr>
      <w:r w:rsidRPr="005E10F1">
        <w:rPr>
          <w:b/>
          <w:bCs/>
          <w:sz w:val="22"/>
          <w:szCs w:val="22"/>
        </w:rPr>
        <w:t>Fig. S10. WB image raw data</w:t>
      </w:r>
    </w:p>
    <w:sectPr w:rsidR="00CB182B" w:rsidRPr="00E80523" w:rsidSect="00DB6951">
      <w:footerReference w:type="even" r:id="rId10"/>
      <w:footerReference w:type="default" r:id="rId11"/>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21E2B1" w14:textId="77777777" w:rsidR="0097078B" w:rsidRDefault="0097078B">
      <w:r>
        <w:separator/>
      </w:r>
    </w:p>
  </w:endnote>
  <w:endnote w:type="continuationSeparator" w:id="0">
    <w:p w14:paraId="6EB21F2E" w14:textId="77777777" w:rsidR="0097078B" w:rsidRDefault="009707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w:altName w:val="Times New Roman"/>
    <w:panose1 w:val="020B06040202020202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PingFang TC">
    <w:panose1 w:val="020B0400000000000000"/>
    <w:charset w:val="88"/>
    <w:family w:val="swiss"/>
    <w:pitch w:val="variable"/>
    <w:sig w:usb0="A00002FF" w:usb1="7ACFFDFB" w:usb2="00000017"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14225114"/>
      <w:docPartObj>
        <w:docPartGallery w:val="Page Numbers (Bottom of Page)"/>
        <w:docPartUnique/>
      </w:docPartObj>
    </w:sdtPr>
    <w:sdtContent>
      <w:p w14:paraId="584B5FBB" w14:textId="77777777" w:rsidR="00304D03" w:rsidRDefault="00000000" w:rsidP="00E65A4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22</w:t>
        </w:r>
        <w:r>
          <w:rPr>
            <w:rStyle w:val="PageNumber"/>
          </w:rPr>
          <w:fldChar w:fldCharType="end"/>
        </w:r>
      </w:p>
    </w:sdtContent>
  </w:sdt>
  <w:p w14:paraId="5EA46791" w14:textId="77777777" w:rsidR="00304D03" w:rsidRDefault="00304D03" w:rsidP="005E73E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93685525"/>
      <w:docPartObj>
        <w:docPartGallery w:val="Page Numbers (Bottom of Page)"/>
        <w:docPartUnique/>
      </w:docPartObj>
    </w:sdtPr>
    <w:sdtContent>
      <w:p w14:paraId="2326C157" w14:textId="77777777" w:rsidR="00304D03" w:rsidRDefault="00000000" w:rsidP="00E65A4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0D3E672" w14:textId="77777777" w:rsidR="00304D03" w:rsidRDefault="00304D03" w:rsidP="005E73E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A77A85" w14:textId="77777777" w:rsidR="0097078B" w:rsidRDefault="0097078B">
      <w:r>
        <w:separator/>
      </w:r>
    </w:p>
  </w:footnote>
  <w:footnote w:type="continuationSeparator" w:id="0">
    <w:p w14:paraId="6762D117" w14:textId="77777777" w:rsidR="0097078B" w:rsidRDefault="009707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0&lt;/ScanUnformatted&gt;&lt;ScanChanges&gt;1&lt;/ScanChanges&gt;&lt;Suspended&gt;1&lt;/Suspended&gt;&lt;/ENInstantFormat&gt;"/>
  </w:docVars>
  <w:rsids>
    <w:rsidRoot w:val="004E49F5"/>
    <w:rsid w:val="00002C8A"/>
    <w:rsid w:val="00003065"/>
    <w:rsid w:val="00015A95"/>
    <w:rsid w:val="00024788"/>
    <w:rsid w:val="000333A9"/>
    <w:rsid w:val="000356EF"/>
    <w:rsid w:val="000411C9"/>
    <w:rsid w:val="00044479"/>
    <w:rsid w:val="00051336"/>
    <w:rsid w:val="000605B0"/>
    <w:rsid w:val="00070D01"/>
    <w:rsid w:val="00071974"/>
    <w:rsid w:val="000811FA"/>
    <w:rsid w:val="00082ECC"/>
    <w:rsid w:val="000856DA"/>
    <w:rsid w:val="00094757"/>
    <w:rsid w:val="00097F57"/>
    <w:rsid w:val="000A2BC4"/>
    <w:rsid w:val="000A41BB"/>
    <w:rsid w:val="000C3B8D"/>
    <w:rsid w:val="000C4A79"/>
    <w:rsid w:val="000D4627"/>
    <w:rsid w:val="000E179F"/>
    <w:rsid w:val="000F04D4"/>
    <w:rsid w:val="000F2561"/>
    <w:rsid w:val="000F58BB"/>
    <w:rsid w:val="000F79D6"/>
    <w:rsid w:val="0010337B"/>
    <w:rsid w:val="00107250"/>
    <w:rsid w:val="0011367D"/>
    <w:rsid w:val="001149F6"/>
    <w:rsid w:val="00117862"/>
    <w:rsid w:val="001400EA"/>
    <w:rsid w:val="001410AF"/>
    <w:rsid w:val="00142178"/>
    <w:rsid w:val="00142858"/>
    <w:rsid w:val="0015595F"/>
    <w:rsid w:val="0016207D"/>
    <w:rsid w:val="001663EA"/>
    <w:rsid w:val="001764FF"/>
    <w:rsid w:val="001A1844"/>
    <w:rsid w:val="001B0CC1"/>
    <w:rsid w:val="001C1235"/>
    <w:rsid w:val="001C6441"/>
    <w:rsid w:val="001D4BC7"/>
    <w:rsid w:val="001D5D58"/>
    <w:rsid w:val="001D6B5A"/>
    <w:rsid w:val="001E2098"/>
    <w:rsid w:val="001F1366"/>
    <w:rsid w:val="002123AB"/>
    <w:rsid w:val="00214065"/>
    <w:rsid w:val="002220FA"/>
    <w:rsid w:val="00244F90"/>
    <w:rsid w:val="00251EA4"/>
    <w:rsid w:val="00262839"/>
    <w:rsid w:val="00262B88"/>
    <w:rsid w:val="00263703"/>
    <w:rsid w:val="0026608F"/>
    <w:rsid w:val="002778E6"/>
    <w:rsid w:val="002940CE"/>
    <w:rsid w:val="002A55EE"/>
    <w:rsid w:val="002B7D28"/>
    <w:rsid w:val="002C003C"/>
    <w:rsid w:val="002D19A2"/>
    <w:rsid w:val="002D7260"/>
    <w:rsid w:val="00304D03"/>
    <w:rsid w:val="00305C50"/>
    <w:rsid w:val="00313FC2"/>
    <w:rsid w:val="003174D4"/>
    <w:rsid w:val="00330842"/>
    <w:rsid w:val="0035168C"/>
    <w:rsid w:val="003540F2"/>
    <w:rsid w:val="0037115F"/>
    <w:rsid w:val="003753FA"/>
    <w:rsid w:val="0037647A"/>
    <w:rsid w:val="00383579"/>
    <w:rsid w:val="003846EE"/>
    <w:rsid w:val="003959D5"/>
    <w:rsid w:val="003A1D3D"/>
    <w:rsid w:val="003A2117"/>
    <w:rsid w:val="003A4213"/>
    <w:rsid w:val="003A6FF3"/>
    <w:rsid w:val="003B055F"/>
    <w:rsid w:val="003C0E3E"/>
    <w:rsid w:val="003C5489"/>
    <w:rsid w:val="003D45C6"/>
    <w:rsid w:val="003E1B64"/>
    <w:rsid w:val="003E2E7F"/>
    <w:rsid w:val="003E71FD"/>
    <w:rsid w:val="003F4DAE"/>
    <w:rsid w:val="004009C9"/>
    <w:rsid w:val="004077C6"/>
    <w:rsid w:val="004136CC"/>
    <w:rsid w:val="004138F3"/>
    <w:rsid w:val="004242FA"/>
    <w:rsid w:val="00426EA0"/>
    <w:rsid w:val="00427EEB"/>
    <w:rsid w:val="00441898"/>
    <w:rsid w:val="00442142"/>
    <w:rsid w:val="00447BF1"/>
    <w:rsid w:val="00467825"/>
    <w:rsid w:val="004832D0"/>
    <w:rsid w:val="00491231"/>
    <w:rsid w:val="004A5C32"/>
    <w:rsid w:val="004A7764"/>
    <w:rsid w:val="004B0383"/>
    <w:rsid w:val="004C77C5"/>
    <w:rsid w:val="004D7C64"/>
    <w:rsid w:val="004D7F30"/>
    <w:rsid w:val="004E49F5"/>
    <w:rsid w:val="004E4F44"/>
    <w:rsid w:val="004E4FB1"/>
    <w:rsid w:val="0050154D"/>
    <w:rsid w:val="0050365E"/>
    <w:rsid w:val="005079B1"/>
    <w:rsid w:val="00512A32"/>
    <w:rsid w:val="00514E58"/>
    <w:rsid w:val="00516E67"/>
    <w:rsid w:val="00540232"/>
    <w:rsid w:val="00543F16"/>
    <w:rsid w:val="00551A88"/>
    <w:rsid w:val="00553976"/>
    <w:rsid w:val="00553B0A"/>
    <w:rsid w:val="00567C48"/>
    <w:rsid w:val="00576954"/>
    <w:rsid w:val="005769C1"/>
    <w:rsid w:val="00593C59"/>
    <w:rsid w:val="005B25B5"/>
    <w:rsid w:val="005B2C72"/>
    <w:rsid w:val="005B3A72"/>
    <w:rsid w:val="005B5487"/>
    <w:rsid w:val="005C07F8"/>
    <w:rsid w:val="005C2583"/>
    <w:rsid w:val="005C50F0"/>
    <w:rsid w:val="005C6E99"/>
    <w:rsid w:val="005C7698"/>
    <w:rsid w:val="005D37B2"/>
    <w:rsid w:val="005D7C76"/>
    <w:rsid w:val="005E2998"/>
    <w:rsid w:val="005E763B"/>
    <w:rsid w:val="005F199D"/>
    <w:rsid w:val="0060637F"/>
    <w:rsid w:val="006121A5"/>
    <w:rsid w:val="006140FD"/>
    <w:rsid w:val="00617FAF"/>
    <w:rsid w:val="00620BBE"/>
    <w:rsid w:val="0062245B"/>
    <w:rsid w:val="00622DDE"/>
    <w:rsid w:val="0062506C"/>
    <w:rsid w:val="00633ADC"/>
    <w:rsid w:val="0064418D"/>
    <w:rsid w:val="00655706"/>
    <w:rsid w:val="00660348"/>
    <w:rsid w:val="00663B40"/>
    <w:rsid w:val="0066511D"/>
    <w:rsid w:val="0066684A"/>
    <w:rsid w:val="006754AE"/>
    <w:rsid w:val="00675D32"/>
    <w:rsid w:val="00677B4C"/>
    <w:rsid w:val="00680D3B"/>
    <w:rsid w:val="00683EEF"/>
    <w:rsid w:val="00684504"/>
    <w:rsid w:val="0068539A"/>
    <w:rsid w:val="00695477"/>
    <w:rsid w:val="00696AC7"/>
    <w:rsid w:val="00697546"/>
    <w:rsid w:val="00697925"/>
    <w:rsid w:val="006B78B2"/>
    <w:rsid w:val="006D2C01"/>
    <w:rsid w:val="006E3F2A"/>
    <w:rsid w:val="006E4772"/>
    <w:rsid w:val="006E7C3E"/>
    <w:rsid w:val="00703282"/>
    <w:rsid w:val="00710FE9"/>
    <w:rsid w:val="00717448"/>
    <w:rsid w:val="00722186"/>
    <w:rsid w:val="0073078A"/>
    <w:rsid w:val="00734064"/>
    <w:rsid w:val="00741B28"/>
    <w:rsid w:val="00754487"/>
    <w:rsid w:val="007632CD"/>
    <w:rsid w:val="00775E26"/>
    <w:rsid w:val="00786AA4"/>
    <w:rsid w:val="00790027"/>
    <w:rsid w:val="007A000D"/>
    <w:rsid w:val="007A5CE3"/>
    <w:rsid w:val="007C10F4"/>
    <w:rsid w:val="007C3BE5"/>
    <w:rsid w:val="007D068F"/>
    <w:rsid w:val="007D53CF"/>
    <w:rsid w:val="007E12B5"/>
    <w:rsid w:val="007F1AA6"/>
    <w:rsid w:val="00815D53"/>
    <w:rsid w:val="00816C94"/>
    <w:rsid w:val="00820E54"/>
    <w:rsid w:val="008255FD"/>
    <w:rsid w:val="00834197"/>
    <w:rsid w:val="00834C64"/>
    <w:rsid w:val="00841B1A"/>
    <w:rsid w:val="00842E53"/>
    <w:rsid w:val="008465CE"/>
    <w:rsid w:val="008601E7"/>
    <w:rsid w:val="00860A0C"/>
    <w:rsid w:val="008772BD"/>
    <w:rsid w:val="008803E1"/>
    <w:rsid w:val="008807B0"/>
    <w:rsid w:val="00881F02"/>
    <w:rsid w:val="008942BA"/>
    <w:rsid w:val="00894572"/>
    <w:rsid w:val="008A1663"/>
    <w:rsid w:val="008A35A1"/>
    <w:rsid w:val="008A6AF0"/>
    <w:rsid w:val="008B532F"/>
    <w:rsid w:val="008C1550"/>
    <w:rsid w:val="008C6BCF"/>
    <w:rsid w:val="008D6A6A"/>
    <w:rsid w:val="008E0C6C"/>
    <w:rsid w:val="00907F96"/>
    <w:rsid w:val="009208D3"/>
    <w:rsid w:val="00927500"/>
    <w:rsid w:val="00942574"/>
    <w:rsid w:val="00945E4C"/>
    <w:rsid w:val="0094641D"/>
    <w:rsid w:val="009517CC"/>
    <w:rsid w:val="0096158C"/>
    <w:rsid w:val="00962A5D"/>
    <w:rsid w:val="00966035"/>
    <w:rsid w:val="00966702"/>
    <w:rsid w:val="0097078B"/>
    <w:rsid w:val="00977B04"/>
    <w:rsid w:val="0099292F"/>
    <w:rsid w:val="009933F3"/>
    <w:rsid w:val="00994FAD"/>
    <w:rsid w:val="009A6FCD"/>
    <w:rsid w:val="009A74D3"/>
    <w:rsid w:val="009A7E2F"/>
    <w:rsid w:val="009B1781"/>
    <w:rsid w:val="009B783E"/>
    <w:rsid w:val="009C5244"/>
    <w:rsid w:val="009D49BB"/>
    <w:rsid w:val="009D6B09"/>
    <w:rsid w:val="009E6C97"/>
    <w:rsid w:val="00A04801"/>
    <w:rsid w:val="00A06886"/>
    <w:rsid w:val="00A11CB4"/>
    <w:rsid w:val="00A20DE3"/>
    <w:rsid w:val="00A217C2"/>
    <w:rsid w:val="00A22E2E"/>
    <w:rsid w:val="00A26356"/>
    <w:rsid w:val="00A30F8F"/>
    <w:rsid w:val="00A43C39"/>
    <w:rsid w:val="00A44064"/>
    <w:rsid w:val="00A445A0"/>
    <w:rsid w:val="00A45B3F"/>
    <w:rsid w:val="00A51547"/>
    <w:rsid w:val="00A54663"/>
    <w:rsid w:val="00A55B7B"/>
    <w:rsid w:val="00A62730"/>
    <w:rsid w:val="00A75F1D"/>
    <w:rsid w:val="00A8167D"/>
    <w:rsid w:val="00A8492A"/>
    <w:rsid w:val="00A859BD"/>
    <w:rsid w:val="00A92E88"/>
    <w:rsid w:val="00AA0F7F"/>
    <w:rsid w:val="00AA2262"/>
    <w:rsid w:val="00AA5E89"/>
    <w:rsid w:val="00AB4A72"/>
    <w:rsid w:val="00AC0284"/>
    <w:rsid w:val="00AD06AD"/>
    <w:rsid w:val="00AD13F2"/>
    <w:rsid w:val="00AE16C3"/>
    <w:rsid w:val="00AE4EB8"/>
    <w:rsid w:val="00AE5CE6"/>
    <w:rsid w:val="00AF65C2"/>
    <w:rsid w:val="00AF75EA"/>
    <w:rsid w:val="00B0110B"/>
    <w:rsid w:val="00B03F9D"/>
    <w:rsid w:val="00B0489A"/>
    <w:rsid w:val="00B1497A"/>
    <w:rsid w:val="00B227A2"/>
    <w:rsid w:val="00B27882"/>
    <w:rsid w:val="00B318F8"/>
    <w:rsid w:val="00B32515"/>
    <w:rsid w:val="00B42580"/>
    <w:rsid w:val="00B42BDE"/>
    <w:rsid w:val="00B557B0"/>
    <w:rsid w:val="00B61917"/>
    <w:rsid w:val="00B71495"/>
    <w:rsid w:val="00B73A13"/>
    <w:rsid w:val="00B73B53"/>
    <w:rsid w:val="00B96F9E"/>
    <w:rsid w:val="00BA2C97"/>
    <w:rsid w:val="00BB594E"/>
    <w:rsid w:val="00BC0E73"/>
    <w:rsid w:val="00BC2924"/>
    <w:rsid w:val="00BC292F"/>
    <w:rsid w:val="00BC6D34"/>
    <w:rsid w:val="00BD0F76"/>
    <w:rsid w:val="00BD34BD"/>
    <w:rsid w:val="00BF038F"/>
    <w:rsid w:val="00BF15A2"/>
    <w:rsid w:val="00BF54E7"/>
    <w:rsid w:val="00BF7232"/>
    <w:rsid w:val="00C02864"/>
    <w:rsid w:val="00C03922"/>
    <w:rsid w:val="00C0466C"/>
    <w:rsid w:val="00C06D7C"/>
    <w:rsid w:val="00C07CA4"/>
    <w:rsid w:val="00C16B86"/>
    <w:rsid w:val="00C20BA2"/>
    <w:rsid w:val="00C228D2"/>
    <w:rsid w:val="00C24F01"/>
    <w:rsid w:val="00C260DD"/>
    <w:rsid w:val="00C40A8A"/>
    <w:rsid w:val="00C42EC3"/>
    <w:rsid w:val="00C437F2"/>
    <w:rsid w:val="00C45B7E"/>
    <w:rsid w:val="00C54CC8"/>
    <w:rsid w:val="00C553FB"/>
    <w:rsid w:val="00C6354D"/>
    <w:rsid w:val="00C63A13"/>
    <w:rsid w:val="00C65CFD"/>
    <w:rsid w:val="00C759E7"/>
    <w:rsid w:val="00C75A8C"/>
    <w:rsid w:val="00C76053"/>
    <w:rsid w:val="00C77938"/>
    <w:rsid w:val="00C93980"/>
    <w:rsid w:val="00C952EB"/>
    <w:rsid w:val="00CA113B"/>
    <w:rsid w:val="00CB182B"/>
    <w:rsid w:val="00CB1FCE"/>
    <w:rsid w:val="00CB48BF"/>
    <w:rsid w:val="00CD4805"/>
    <w:rsid w:val="00CD6B8E"/>
    <w:rsid w:val="00CE6E26"/>
    <w:rsid w:val="00CE7D91"/>
    <w:rsid w:val="00CF3007"/>
    <w:rsid w:val="00D010B2"/>
    <w:rsid w:val="00D01693"/>
    <w:rsid w:val="00D034FE"/>
    <w:rsid w:val="00D13248"/>
    <w:rsid w:val="00D146F8"/>
    <w:rsid w:val="00D344EB"/>
    <w:rsid w:val="00D43313"/>
    <w:rsid w:val="00D443D3"/>
    <w:rsid w:val="00D507DD"/>
    <w:rsid w:val="00D52849"/>
    <w:rsid w:val="00D64832"/>
    <w:rsid w:val="00D67424"/>
    <w:rsid w:val="00D725A6"/>
    <w:rsid w:val="00D743CA"/>
    <w:rsid w:val="00D76B64"/>
    <w:rsid w:val="00D77C86"/>
    <w:rsid w:val="00D8086F"/>
    <w:rsid w:val="00D84D05"/>
    <w:rsid w:val="00D8610B"/>
    <w:rsid w:val="00D933A6"/>
    <w:rsid w:val="00DA0F5A"/>
    <w:rsid w:val="00DA34BB"/>
    <w:rsid w:val="00DA4C25"/>
    <w:rsid w:val="00DA7267"/>
    <w:rsid w:val="00DB3ED7"/>
    <w:rsid w:val="00DB51AC"/>
    <w:rsid w:val="00DB6951"/>
    <w:rsid w:val="00DC387E"/>
    <w:rsid w:val="00DD381C"/>
    <w:rsid w:val="00DD3D46"/>
    <w:rsid w:val="00DD4E44"/>
    <w:rsid w:val="00DD51C7"/>
    <w:rsid w:val="00DE21BC"/>
    <w:rsid w:val="00DF72FF"/>
    <w:rsid w:val="00E04402"/>
    <w:rsid w:val="00E05B8A"/>
    <w:rsid w:val="00E11F78"/>
    <w:rsid w:val="00E139B3"/>
    <w:rsid w:val="00E13FBA"/>
    <w:rsid w:val="00E5454B"/>
    <w:rsid w:val="00E54BD9"/>
    <w:rsid w:val="00E56B82"/>
    <w:rsid w:val="00E636E2"/>
    <w:rsid w:val="00E63A11"/>
    <w:rsid w:val="00E64458"/>
    <w:rsid w:val="00E70A28"/>
    <w:rsid w:val="00E742E2"/>
    <w:rsid w:val="00E76F75"/>
    <w:rsid w:val="00E77605"/>
    <w:rsid w:val="00E80523"/>
    <w:rsid w:val="00E8136D"/>
    <w:rsid w:val="00E82CAE"/>
    <w:rsid w:val="00E97515"/>
    <w:rsid w:val="00EA0CA7"/>
    <w:rsid w:val="00EA4A10"/>
    <w:rsid w:val="00EA6ABE"/>
    <w:rsid w:val="00EB6925"/>
    <w:rsid w:val="00EC2961"/>
    <w:rsid w:val="00ED2889"/>
    <w:rsid w:val="00ED3AE2"/>
    <w:rsid w:val="00ED5B4F"/>
    <w:rsid w:val="00ED5BAC"/>
    <w:rsid w:val="00EE1D97"/>
    <w:rsid w:val="00EE40A9"/>
    <w:rsid w:val="00EE59D9"/>
    <w:rsid w:val="00EE5D14"/>
    <w:rsid w:val="00EF2C65"/>
    <w:rsid w:val="00F00485"/>
    <w:rsid w:val="00F065C6"/>
    <w:rsid w:val="00F11CD9"/>
    <w:rsid w:val="00F227A8"/>
    <w:rsid w:val="00F24DD3"/>
    <w:rsid w:val="00F267D1"/>
    <w:rsid w:val="00F3114F"/>
    <w:rsid w:val="00F34112"/>
    <w:rsid w:val="00F41EE1"/>
    <w:rsid w:val="00F44A6C"/>
    <w:rsid w:val="00F44AA2"/>
    <w:rsid w:val="00F46070"/>
    <w:rsid w:val="00F55380"/>
    <w:rsid w:val="00F57277"/>
    <w:rsid w:val="00F5764E"/>
    <w:rsid w:val="00F65775"/>
    <w:rsid w:val="00FA0B59"/>
    <w:rsid w:val="00FA64E7"/>
    <w:rsid w:val="00FB5FFB"/>
    <w:rsid w:val="00FD748D"/>
    <w:rsid w:val="00FE197B"/>
    <w:rsid w:val="00FE21ED"/>
    <w:rsid w:val="00FE2C1E"/>
    <w:rsid w:val="00FE7262"/>
    <w:rsid w:val="00FF0E5E"/>
    <w:rsid w:val="00FF736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34D29CBA"/>
  <w15:chartTrackingRefBased/>
  <w15:docId w15:val="{B936C390-BEBB-7042-B0E4-C893AFFDD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TW"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49F5"/>
    <w:rPr>
      <w:rFonts w:ascii="Times New Roman" w:eastAsia="PMingLiU" w:hAnsi="Times New Roman" w:cs="Times New Roman"/>
      <w:kern w:val="0"/>
      <w:lang w:eastAsia="zh-CN"/>
      <w14:ligatures w14:val="none"/>
    </w:rPr>
  </w:style>
  <w:style w:type="paragraph" w:styleId="Heading1">
    <w:name w:val="heading 1"/>
    <w:basedOn w:val="Normal"/>
    <w:next w:val="Normal"/>
    <w:link w:val="Heading1Char"/>
    <w:uiPriority w:val="9"/>
    <w:qFormat/>
    <w:rsid w:val="004E49F5"/>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rsid w:val="004E49F5"/>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rsid w:val="004E49F5"/>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4E49F5"/>
    <w:pPr>
      <w:keepNext/>
      <w:keepLines/>
      <w:spacing w:before="240" w:after="40"/>
      <w:outlineLvl w:val="3"/>
    </w:pPr>
    <w:rPr>
      <w:b/>
    </w:rPr>
  </w:style>
  <w:style w:type="paragraph" w:styleId="Heading5">
    <w:name w:val="heading 5"/>
    <w:basedOn w:val="Normal"/>
    <w:next w:val="Normal"/>
    <w:link w:val="Heading5Char"/>
    <w:uiPriority w:val="9"/>
    <w:semiHidden/>
    <w:unhideWhenUsed/>
    <w:qFormat/>
    <w:rsid w:val="004E49F5"/>
    <w:pPr>
      <w:keepNext/>
      <w:keepLines/>
      <w:spacing w:before="220" w:after="40"/>
      <w:outlineLvl w:val="4"/>
    </w:pPr>
    <w:rPr>
      <w:b/>
      <w:sz w:val="22"/>
      <w:szCs w:val="22"/>
    </w:rPr>
  </w:style>
  <w:style w:type="paragraph" w:styleId="Heading6">
    <w:name w:val="heading 6"/>
    <w:basedOn w:val="Normal"/>
    <w:next w:val="Normal"/>
    <w:link w:val="Heading6Char"/>
    <w:uiPriority w:val="9"/>
    <w:semiHidden/>
    <w:unhideWhenUsed/>
    <w:qFormat/>
    <w:rsid w:val="004E49F5"/>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49F5"/>
    <w:rPr>
      <w:rFonts w:ascii="Times New Roman" w:eastAsia="PMingLiU" w:hAnsi="Times New Roman" w:cs="Times New Roman"/>
      <w:b/>
      <w:kern w:val="0"/>
      <w:sz w:val="48"/>
      <w:szCs w:val="48"/>
      <w:lang w:eastAsia="zh-CN"/>
      <w14:ligatures w14:val="none"/>
    </w:rPr>
  </w:style>
  <w:style w:type="character" w:customStyle="1" w:styleId="Heading2Char">
    <w:name w:val="Heading 2 Char"/>
    <w:basedOn w:val="DefaultParagraphFont"/>
    <w:link w:val="Heading2"/>
    <w:uiPriority w:val="9"/>
    <w:semiHidden/>
    <w:rsid w:val="004E49F5"/>
    <w:rPr>
      <w:rFonts w:ascii="Times New Roman" w:eastAsia="PMingLiU" w:hAnsi="Times New Roman" w:cs="Times New Roman"/>
      <w:b/>
      <w:kern w:val="0"/>
      <w:sz w:val="36"/>
      <w:szCs w:val="36"/>
      <w:lang w:eastAsia="zh-CN"/>
      <w14:ligatures w14:val="none"/>
    </w:rPr>
  </w:style>
  <w:style w:type="character" w:customStyle="1" w:styleId="Heading3Char">
    <w:name w:val="Heading 3 Char"/>
    <w:basedOn w:val="DefaultParagraphFont"/>
    <w:link w:val="Heading3"/>
    <w:uiPriority w:val="9"/>
    <w:semiHidden/>
    <w:rsid w:val="004E49F5"/>
    <w:rPr>
      <w:rFonts w:ascii="Times New Roman" w:eastAsia="PMingLiU" w:hAnsi="Times New Roman" w:cs="Times New Roman"/>
      <w:b/>
      <w:kern w:val="0"/>
      <w:sz w:val="28"/>
      <w:szCs w:val="28"/>
      <w:lang w:eastAsia="zh-CN"/>
      <w14:ligatures w14:val="none"/>
    </w:rPr>
  </w:style>
  <w:style w:type="character" w:customStyle="1" w:styleId="Heading4Char">
    <w:name w:val="Heading 4 Char"/>
    <w:basedOn w:val="DefaultParagraphFont"/>
    <w:link w:val="Heading4"/>
    <w:uiPriority w:val="9"/>
    <w:semiHidden/>
    <w:rsid w:val="004E49F5"/>
    <w:rPr>
      <w:rFonts w:ascii="Times New Roman" w:eastAsia="PMingLiU" w:hAnsi="Times New Roman" w:cs="Times New Roman"/>
      <w:b/>
      <w:kern w:val="0"/>
      <w:lang w:eastAsia="zh-CN"/>
      <w14:ligatures w14:val="none"/>
    </w:rPr>
  </w:style>
  <w:style w:type="character" w:customStyle="1" w:styleId="Heading5Char">
    <w:name w:val="Heading 5 Char"/>
    <w:basedOn w:val="DefaultParagraphFont"/>
    <w:link w:val="Heading5"/>
    <w:uiPriority w:val="9"/>
    <w:semiHidden/>
    <w:rsid w:val="004E49F5"/>
    <w:rPr>
      <w:rFonts w:ascii="Times New Roman" w:eastAsia="PMingLiU" w:hAnsi="Times New Roman" w:cs="Times New Roman"/>
      <w:b/>
      <w:kern w:val="0"/>
      <w:sz w:val="22"/>
      <w:szCs w:val="22"/>
      <w:lang w:eastAsia="zh-CN"/>
      <w14:ligatures w14:val="none"/>
    </w:rPr>
  </w:style>
  <w:style w:type="character" w:customStyle="1" w:styleId="Heading6Char">
    <w:name w:val="Heading 6 Char"/>
    <w:basedOn w:val="DefaultParagraphFont"/>
    <w:link w:val="Heading6"/>
    <w:uiPriority w:val="9"/>
    <w:semiHidden/>
    <w:rsid w:val="004E49F5"/>
    <w:rPr>
      <w:rFonts w:ascii="Times New Roman" w:eastAsia="PMingLiU" w:hAnsi="Times New Roman" w:cs="Times New Roman"/>
      <w:b/>
      <w:kern w:val="0"/>
      <w:sz w:val="20"/>
      <w:szCs w:val="20"/>
      <w:lang w:eastAsia="zh-CN"/>
      <w14:ligatures w14:val="none"/>
    </w:rPr>
  </w:style>
  <w:style w:type="paragraph" w:styleId="Title">
    <w:name w:val="Title"/>
    <w:basedOn w:val="Normal"/>
    <w:next w:val="Normal"/>
    <w:link w:val="TitleChar"/>
    <w:uiPriority w:val="10"/>
    <w:qFormat/>
    <w:rsid w:val="004E49F5"/>
    <w:pPr>
      <w:keepNext/>
      <w:keepLines/>
      <w:spacing w:before="480" w:after="120"/>
    </w:pPr>
    <w:rPr>
      <w:b/>
      <w:sz w:val="72"/>
      <w:szCs w:val="72"/>
    </w:rPr>
  </w:style>
  <w:style w:type="character" w:customStyle="1" w:styleId="TitleChar">
    <w:name w:val="Title Char"/>
    <w:basedOn w:val="DefaultParagraphFont"/>
    <w:link w:val="Title"/>
    <w:uiPriority w:val="10"/>
    <w:rsid w:val="004E49F5"/>
    <w:rPr>
      <w:rFonts w:ascii="Times New Roman" w:eastAsia="PMingLiU" w:hAnsi="Times New Roman" w:cs="Times New Roman"/>
      <w:b/>
      <w:kern w:val="0"/>
      <w:sz w:val="72"/>
      <w:szCs w:val="72"/>
      <w:lang w:eastAsia="zh-CN"/>
      <w14:ligatures w14:val="none"/>
    </w:rPr>
  </w:style>
  <w:style w:type="paragraph" w:styleId="NormalWeb">
    <w:name w:val="Normal (Web)"/>
    <w:basedOn w:val="Normal"/>
    <w:uiPriority w:val="99"/>
    <w:semiHidden/>
    <w:unhideWhenUsed/>
    <w:rsid w:val="004E49F5"/>
    <w:pPr>
      <w:spacing w:before="100" w:beforeAutospacing="1" w:after="100" w:afterAutospacing="1"/>
    </w:pPr>
  </w:style>
  <w:style w:type="character" w:styleId="Hyperlink">
    <w:name w:val="Hyperlink"/>
    <w:basedOn w:val="DefaultParagraphFont"/>
    <w:uiPriority w:val="99"/>
    <w:unhideWhenUsed/>
    <w:rsid w:val="004E49F5"/>
    <w:rPr>
      <w:color w:val="0000FF"/>
      <w:u w:val="single"/>
    </w:rPr>
  </w:style>
  <w:style w:type="table" w:styleId="ListTable7Colorful">
    <w:name w:val="List Table 7 Colorful"/>
    <w:basedOn w:val="TableNormal"/>
    <w:uiPriority w:val="52"/>
    <w:rsid w:val="004E49F5"/>
    <w:rPr>
      <w:rFonts w:ascii="Times New Roman" w:eastAsia="PMingLiU" w:hAnsi="Times New Roman" w:cs="Times New Roman"/>
      <w:color w:val="000000" w:themeColor="text1"/>
      <w:kern w:val="0"/>
      <w:sz w:val="22"/>
      <w:szCs w:val="22"/>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docsum-journal-citation">
    <w:name w:val="docsum-journal-citation"/>
    <w:basedOn w:val="DefaultParagraphFont"/>
    <w:rsid w:val="004E49F5"/>
  </w:style>
  <w:style w:type="character" w:customStyle="1" w:styleId="citation-part">
    <w:name w:val="citation-part"/>
    <w:basedOn w:val="DefaultParagraphFont"/>
    <w:rsid w:val="004E49F5"/>
  </w:style>
  <w:style w:type="character" w:customStyle="1" w:styleId="docsum-pmid">
    <w:name w:val="docsum-pmid"/>
    <w:basedOn w:val="DefaultParagraphFont"/>
    <w:rsid w:val="004E49F5"/>
  </w:style>
  <w:style w:type="paragraph" w:styleId="ListParagraph">
    <w:name w:val="List Paragraph"/>
    <w:basedOn w:val="Normal"/>
    <w:qFormat/>
    <w:rsid w:val="004E49F5"/>
    <w:pPr>
      <w:ind w:left="720"/>
      <w:contextualSpacing/>
    </w:pPr>
    <w:rPr>
      <w:rFonts w:ascii="Times" w:eastAsiaTheme="minorEastAsia" w:hAnsi="Times" w:cstheme="minorBidi"/>
    </w:rPr>
  </w:style>
  <w:style w:type="character" w:styleId="FollowedHyperlink">
    <w:name w:val="FollowedHyperlink"/>
    <w:basedOn w:val="DefaultParagraphFont"/>
    <w:uiPriority w:val="99"/>
    <w:semiHidden/>
    <w:unhideWhenUsed/>
    <w:rsid w:val="004E49F5"/>
    <w:rPr>
      <w:color w:val="954F72" w:themeColor="followedHyperlink"/>
      <w:u w:val="single"/>
    </w:rPr>
  </w:style>
  <w:style w:type="paragraph" w:customStyle="1" w:styleId="EndNoteBibliographyTitle">
    <w:name w:val="EndNote Bibliography Title"/>
    <w:basedOn w:val="Normal"/>
    <w:link w:val="EndNoteBibliographyTitleChar"/>
    <w:rsid w:val="004E49F5"/>
    <w:pPr>
      <w:jc w:val="center"/>
    </w:pPr>
  </w:style>
  <w:style w:type="character" w:customStyle="1" w:styleId="EndNoteBibliographyTitleChar">
    <w:name w:val="EndNote Bibliography Title Char"/>
    <w:basedOn w:val="DefaultParagraphFont"/>
    <w:link w:val="EndNoteBibliographyTitle"/>
    <w:rsid w:val="004E49F5"/>
    <w:rPr>
      <w:rFonts w:ascii="Times New Roman" w:eastAsia="PMingLiU" w:hAnsi="Times New Roman" w:cs="Times New Roman"/>
      <w:kern w:val="0"/>
      <w:lang w:eastAsia="zh-CN"/>
      <w14:ligatures w14:val="none"/>
    </w:rPr>
  </w:style>
  <w:style w:type="paragraph" w:customStyle="1" w:styleId="EndNoteBibliography">
    <w:name w:val="EndNote Bibliography"/>
    <w:basedOn w:val="Normal"/>
    <w:link w:val="EndNoteBibliographyChar"/>
    <w:rsid w:val="004E49F5"/>
    <w:pPr>
      <w:jc w:val="both"/>
    </w:pPr>
  </w:style>
  <w:style w:type="character" w:customStyle="1" w:styleId="EndNoteBibliographyChar">
    <w:name w:val="EndNote Bibliography Char"/>
    <w:basedOn w:val="DefaultParagraphFont"/>
    <w:link w:val="EndNoteBibliography"/>
    <w:rsid w:val="004E49F5"/>
    <w:rPr>
      <w:rFonts w:ascii="Times New Roman" w:eastAsia="PMingLiU" w:hAnsi="Times New Roman" w:cs="Times New Roman"/>
      <w:kern w:val="0"/>
      <w:lang w:eastAsia="zh-CN"/>
      <w14:ligatures w14:val="none"/>
    </w:rPr>
  </w:style>
  <w:style w:type="character" w:customStyle="1" w:styleId="UnresolvedMention1">
    <w:name w:val="Unresolved Mention1"/>
    <w:basedOn w:val="DefaultParagraphFont"/>
    <w:uiPriority w:val="99"/>
    <w:semiHidden/>
    <w:unhideWhenUsed/>
    <w:rsid w:val="004E49F5"/>
    <w:rPr>
      <w:color w:val="605E5C"/>
      <w:shd w:val="clear" w:color="auto" w:fill="E1DFDD"/>
    </w:rPr>
  </w:style>
  <w:style w:type="paragraph" w:styleId="Subtitle">
    <w:name w:val="Subtitle"/>
    <w:basedOn w:val="Normal"/>
    <w:next w:val="Normal"/>
    <w:link w:val="SubtitleChar"/>
    <w:uiPriority w:val="11"/>
    <w:qFormat/>
    <w:rsid w:val="004E49F5"/>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4E49F5"/>
    <w:rPr>
      <w:rFonts w:ascii="Georgia" w:eastAsia="Georgia" w:hAnsi="Georgia" w:cs="Georgia"/>
      <w:i/>
      <w:color w:val="666666"/>
      <w:kern w:val="0"/>
      <w:sz w:val="48"/>
      <w:szCs w:val="48"/>
      <w:lang w:eastAsia="zh-CN"/>
      <w14:ligatures w14:val="none"/>
    </w:rPr>
  </w:style>
  <w:style w:type="character" w:styleId="CommentReference">
    <w:name w:val="annotation reference"/>
    <w:basedOn w:val="DefaultParagraphFont"/>
    <w:uiPriority w:val="99"/>
    <w:semiHidden/>
    <w:unhideWhenUsed/>
    <w:rsid w:val="004E49F5"/>
    <w:rPr>
      <w:sz w:val="16"/>
      <w:szCs w:val="16"/>
    </w:rPr>
  </w:style>
  <w:style w:type="paragraph" w:styleId="CommentText">
    <w:name w:val="annotation text"/>
    <w:basedOn w:val="Normal"/>
    <w:link w:val="CommentTextChar"/>
    <w:uiPriority w:val="99"/>
    <w:semiHidden/>
    <w:unhideWhenUsed/>
    <w:rsid w:val="004E49F5"/>
    <w:rPr>
      <w:sz w:val="20"/>
      <w:szCs w:val="20"/>
    </w:rPr>
  </w:style>
  <w:style w:type="character" w:customStyle="1" w:styleId="CommentTextChar">
    <w:name w:val="Comment Text Char"/>
    <w:basedOn w:val="DefaultParagraphFont"/>
    <w:link w:val="CommentText"/>
    <w:uiPriority w:val="99"/>
    <w:semiHidden/>
    <w:rsid w:val="004E49F5"/>
    <w:rPr>
      <w:rFonts w:ascii="Times New Roman" w:eastAsia="PMingLiU" w:hAnsi="Times New Roman" w:cs="Times New Roman"/>
      <w:kern w:val="0"/>
      <w:sz w:val="20"/>
      <w:szCs w:val="20"/>
      <w:lang w:eastAsia="zh-CN"/>
      <w14:ligatures w14:val="none"/>
    </w:rPr>
  </w:style>
  <w:style w:type="paragraph" w:styleId="CommentSubject">
    <w:name w:val="annotation subject"/>
    <w:basedOn w:val="CommentText"/>
    <w:next w:val="CommentText"/>
    <w:link w:val="CommentSubjectChar"/>
    <w:uiPriority w:val="99"/>
    <w:semiHidden/>
    <w:unhideWhenUsed/>
    <w:rsid w:val="004E49F5"/>
    <w:rPr>
      <w:b/>
      <w:bCs/>
    </w:rPr>
  </w:style>
  <w:style w:type="character" w:customStyle="1" w:styleId="CommentSubjectChar">
    <w:name w:val="Comment Subject Char"/>
    <w:basedOn w:val="CommentTextChar"/>
    <w:link w:val="CommentSubject"/>
    <w:uiPriority w:val="99"/>
    <w:semiHidden/>
    <w:rsid w:val="004E49F5"/>
    <w:rPr>
      <w:rFonts w:ascii="Times New Roman" w:eastAsia="PMingLiU" w:hAnsi="Times New Roman" w:cs="Times New Roman"/>
      <w:b/>
      <w:bCs/>
      <w:kern w:val="0"/>
      <w:sz w:val="20"/>
      <w:szCs w:val="20"/>
      <w:lang w:eastAsia="zh-CN"/>
      <w14:ligatures w14:val="none"/>
    </w:rPr>
  </w:style>
  <w:style w:type="paragraph" w:styleId="BalloonText">
    <w:name w:val="Balloon Text"/>
    <w:basedOn w:val="Normal"/>
    <w:link w:val="BalloonTextChar"/>
    <w:uiPriority w:val="99"/>
    <w:semiHidden/>
    <w:unhideWhenUsed/>
    <w:rsid w:val="004E49F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49F5"/>
    <w:rPr>
      <w:rFonts w:ascii="Segoe UI" w:eastAsia="PMingLiU" w:hAnsi="Segoe UI" w:cs="Segoe UI"/>
      <w:kern w:val="0"/>
      <w:sz w:val="18"/>
      <w:szCs w:val="18"/>
      <w:lang w:eastAsia="zh-CN"/>
      <w14:ligatures w14:val="none"/>
    </w:rPr>
  </w:style>
  <w:style w:type="paragraph" w:styleId="Revision">
    <w:name w:val="Revision"/>
    <w:hidden/>
    <w:uiPriority w:val="99"/>
    <w:semiHidden/>
    <w:rsid w:val="004E49F5"/>
    <w:rPr>
      <w:rFonts w:ascii="Times New Roman" w:eastAsia="PMingLiU" w:hAnsi="Times New Roman" w:cs="Times New Roman"/>
      <w:kern w:val="0"/>
      <w:lang w:eastAsia="zh-CN"/>
      <w14:ligatures w14:val="none"/>
    </w:rPr>
  </w:style>
  <w:style w:type="character" w:styleId="UnresolvedMention">
    <w:name w:val="Unresolved Mention"/>
    <w:basedOn w:val="DefaultParagraphFont"/>
    <w:uiPriority w:val="99"/>
    <w:semiHidden/>
    <w:unhideWhenUsed/>
    <w:rsid w:val="004E49F5"/>
    <w:rPr>
      <w:color w:val="605E5C"/>
      <w:shd w:val="clear" w:color="auto" w:fill="E1DFDD"/>
    </w:rPr>
  </w:style>
  <w:style w:type="table" w:styleId="PlainTable5">
    <w:name w:val="Plain Table 5"/>
    <w:basedOn w:val="TableNormal"/>
    <w:uiPriority w:val="45"/>
    <w:rsid w:val="004E49F5"/>
    <w:rPr>
      <w:rFonts w:ascii="Times New Roman" w:eastAsia="PMingLiU" w:hAnsi="Times New Roman" w:cs="Times New Roman"/>
      <w:kern w:val="0"/>
      <w:lang w:eastAsia="zh-CN"/>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Emphasis">
    <w:name w:val="Emphasis"/>
    <w:basedOn w:val="DefaultParagraphFont"/>
    <w:uiPriority w:val="20"/>
    <w:qFormat/>
    <w:rsid w:val="004E49F5"/>
    <w:rPr>
      <w:i/>
      <w:iCs/>
    </w:rPr>
  </w:style>
  <w:style w:type="paragraph" w:styleId="Footer">
    <w:name w:val="footer"/>
    <w:basedOn w:val="Normal"/>
    <w:link w:val="FooterChar"/>
    <w:uiPriority w:val="99"/>
    <w:unhideWhenUsed/>
    <w:rsid w:val="004E49F5"/>
    <w:pPr>
      <w:tabs>
        <w:tab w:val="center" w:pos="4680"/>
        <w:tab w:val="right" w:pos="9360"/>
      </w:tabs>
    </w:pPr>
  </w:style>
  <w:style w:type="character" w:customStyle="1" w:styleId="FooterChar">
    <w:name w:val="Footer Char"/>
    <w:basedOn w:val="DefaultParagraphFont"/>
    <w:link w:val="Footer"/>
    <w:uiPriority w:val="99"/>
    <w:rsid w:val="004E49F5"/>
    <w:rPr>
      <w:rFonts w:ascii="Times New Roman" w:eastAsia="PMingLiU" w:hAnsi="Times New Roman" w:cs="Times New Roman"/>
      <w:kern w:val="0"/>
      <w:lang w:eastAsia="zh-CN"/>
      <w14:ligatures w14:val="none"/>
    </w:rPr>
  </w:style>
  <w:style w:type="character" w:styleId="PageNumber">
    <w:name w:val="page number"/>
    <w:basedOn w:val="DefaultParagraphFont"/>
    <w:uiPriority w:val="99"/>
    <w:semiHidden/>
    <w:unhideWhenUsed/>
    <w:rsid w:val="004E49F5"/>
  </w:style>
  <w:style w:type="character" w:styleId="LineNumber">
    <w:name w:val="line number"/>
    <w:basedOn w:val="DefaultParagraphFont"/>
    <w:uiPriority w:val="99"/>
    <w:semiHidden/>
    <w:unhideWhenUsed/>
    <w:rsid w:val="004E49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ncodeproject.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ga.mgh.harvard.edu/primerbank/index.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gdac.broadinstitut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65EA09-ACF8-DB49-8C8E-C366904B1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8</Pages>
  <Words>1912</Words>
  <Characters>10904</Characters>
  <Application>Microsoft Office Word</Application>
  <DocSecurity>0</DocSecurity>
  <Lines>90</Lines>
  <Paragraphs>25</Paragraphs>
  <ScaleCrop>false</ScaleCrop>
  <Company/>
  <LinksUpToDate>false</LinksUpToDate>
  <CharactersWithSpaces>12791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Chun-Peng Pai</dc:creator>
  <cp:keywords/>
  <dc:description/>
  <cp:lastModifiedBy>Chun-Peng Pai</cp:lastModifiedBy>
  <cp:revision>5</cp:revision>
  <dcterms:created xsi:type="dcterms:W3CDTF">2023-08-15T16:45:00Z</dcterms:created>
  <dcterms:modified xsi:type="dcterms:W3CDTF">2023-08-15T17:16:00Z</dcterms:modified>
</cp:coreProperties>
</file>