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80" w:lineRule="auto"/>
        <w:rPr>
          <w:rFonts w:hint="default" w:ascii="Arial" w:hAnsi="Arial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color w:val="000000" w:themeColor="text1"/>
          <w14:textFill>
            <w14:solidFill>
              <w14:schemeClr w14:val="tx1"/>
            </w14:solidFill>
          </w14:textFill>
        </w:rPr>
        <w:t>Appendix 1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top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Database</w:t>
            </w:r>
          </w:p>
        </w:tc>
        <w:tc>
          <w:tcPr>
            <w:tcW w:w="7675" w:type="dxa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Search strategy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top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PubMed (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669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7675" w:type="dxa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(("Cabrol"[Title/Abstract] OR "modified cabrol"[Title/Abstract] OR "aortic root replacement"[Ti</w:t>
            </w:r>
            <w:bookmarkStart w:id="0" w:name="_GoBack"/>
            <w:bookmarkEnd w:id="0"/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tle/Abstract] OR "composite valve graft"[Title/Abstract]) AND ("aortic root aneurysm"[Title/Abstract] OR "aneurysm aortic root"[Title/Abstract] OR "aortic root aneurysms"[Title/Abstract] OR ("aneurysm, ascending aorta"[MeSH Terms] OR ("aort*"[Title/Abstract] AND "aneurysm ascending"[Title/Abstract]) OR ("Ascending"[Title/Abstract] AND "aort*"[Title/Abstract] AND "aneurysm*"[Title/Abstract]) OR "aneurysm ascending aortic"[Title/Abstract]) OR ("dissection, ascending aorta"[MeSH Terms] OR ("aort*"[Title/Abstract] AND "dissection ascending"[Title/Abstract]) OR ("Ascending"[Title/Abstract] AND "aort*"[Title/Abstract] AND "dissection*"[Title/Abstract]) OR "dissection ascending aortic"[Title/Abstract] OR "dissection aortic root"[Title/Abstract] OR "root dissection aortic"[Title/Abstract] OR "aortic root dissection*"[Title/Abstract]) OR ("aortic valve insufficiency"[MeSH Terms] OR "insufficiency aortic valve"[Title/Abstract] OR "aortic valve incompetence"[Title/Abstract] OR "incompetence aortic valve"[Title/Abstract] OR "aortic regurgitation"[Title/Abstract] OR "regurgitation aortic"[Title/Abstract] OR "regurgitation aortic valve"[Title/Abstract] OR "aortic incompetence"[Title/Abstract] OR "incompetence aortic"[Title/Abstract]))) NOT ("case reports"[Publication Type] OR "case report"[Title])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top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Embase (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826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7675" w:type="dxa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('aortic root aneurysm'/exp OR 'aortic sinus aneurysm'/exp OR 'ascending aortic aneurysm'/exp OR 'type a aortic dissection'/exp OR 'aortic regurgitation'/exp) AND ('cabrol procedure'/exp OR 'cabrol technique'/exp OR 'modified cabrol':ab,ti OR 'aortic root replacement':ab,ti OR 'composite valve graft':ab,ti) NOT 'case report':ab,ti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top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Web of Science (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1025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7675" w:type="dxa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(((AB=(aortic root aneurysm)) OR AB=(aneurysm,ascending aorta)) OR AB=(dissection, ascending aorta)) AND ((((AB=(cabrol)) OR AB=(modified cabrol)) OR AB=(aortic root replacement)) OR AB=(composite valve graft)) NOT (TI=(case report))</w:t>
            </w:r>
          </w:p>
        </w:tc>
      </w:tr>
    </w:tbl>
    <w:p/>
    <w:p/>
    <w:p/>
    <w:p/>
    <w:p/>
    <w:p/>
    <w:p/>
    <w:p/>
    <w:p/>
    <w:p>
      <w:pPr>
        <w:pStyle w:val="9"/>
        <w:spacing w:line="480" w:lineRule="auto"/>
        <w:rPr>
          <w:rFonts w:ascii="Times New Roman" w:hAnsi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9"/>
        <w:spacing w:line="480" w:lineRule="auto"/>
        <w:rPr>
          <w:rFonts w:hint="default" w:ascii="Arial" w:hAnsi="Arial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color w:val="000000" w:themeColor="text1"/>
          <w14:textFill>
            <w14:solidFill>
              <w14:schemeClr w14:val="tx1"/>
            </w14:solidFill>
          </w14:textFill>
        </w:rPr>
        <w:t>Appendix 2</w:t>
      </w:r>
    </w:p>
    <w:tbl>
      <w:tblPr>
        <w:tblStyle w:val="6"/>
        <w:tblW w:w="8332" w:type="dxa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08"/>
        <w:gridCol w:w="542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hint="default" w:ascii="Arial" w:hAnsi="Arial" w:eastAsia="Times New Roman" w:cs="Arial"/>
                <w:b/>
                <w:bCs/>
                <w:color w:val="000000" w:themeColor="text1"/>
                <w:sz w:val="22"/>
                <w:szCs w:val="22"/>
                <w:lang w:eastAsia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 w:themeColor="text1"/>
                <w:sz w:val="22"/>
                <w:szCs w:val="22"/>
                <w:lang w:eastAsia="nl-NL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5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hint="default" w:ascii="Arial" w:hAnsi="Arial" w:eastAsia="Times New Roman" w:cs="Arial"/>
                <w:b/>
                <w:bCs/>
                <w:color w:val="000000" w:themeColor="text1"/>
                <w:sz w:val="22"/>
                <w:szCs w:val="22"/>
                <w:lang w:eastAsia="nl-NL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Times New Roman" w:cs="Arial"/>
                <w:b/>
                <w:bCs/>
                <w:color w:val="000000" w:themeColor="text1"/>
                <w:sz w:val="22"/>
                <w:szCs w:val="22"/>
                <w:lang w:eastAsia="nl-NL"/>
                <w14:textFill>
                  <w14:solidFill>
                    <w14:schemeClr w14:val="tx1"/>
                  </w14:solidFill>
                </w14:textFill>
              </w:rPr>
              <w:t>Description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First author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Publication Year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Journal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Country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Country where patients were operated in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Operative period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Patient Number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Follow-up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Mean in years; calculated from median and interquartile range when mean was not given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Age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Mean in years; calculated from median and interquartile range when mean was not given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Sex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CTD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BAV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Prior cardiac surgery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Prior aortic valve surgery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Acute type A dissection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 xml:space="preserve">As indication for </w:t>
            </w:r>
            <w:r>
              <w:rPr>
                <w:rFonts w:hint="default" w:ascii="Arial" w:hAnsi="Arial" w:cs="Arial"/>
                <w:sz w:val="22"/>
                <w:szCs w:val="22"/>
                <w:lang w:eastAsia="zh-CN"/>
              </w:rPr>
              <w:t>Cabrol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procedure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Acute infective endocarditis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 xml:space="preserve">As indication for </w:t>
            </w:r>
            <w:r>
              <w:rPr>
                <w:rFonts w:hint="default" w:ascii="Arial" w:hAnsi="Arial" w:cs="Arial"/>
                <w:sz w:val="22"/>
                <w:szCs w:val="22"/>
                <w:lang w:eastAsia="zh-CN"/>
              </w:rPr>
              <w:t>Cabrol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procedure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Emergency surgery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Within 24 hours after diagnosis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Homograft surgery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Patients with non-</w:t>
            </w:r>
            <w:r>
              <w:rPr>
                <w:rFonts w:hint="default" w:ascii="Arial" w:hAnsi="Arial" w:cs="Arial"/>
                <w:sz w:val="22"/>
                <w:szCs w:val="22"/>
                <w:lang w:eastAsia="zh-CN"/>
              </w:rPr>
              <w:t>Cabrol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procedures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Valve-sparing surgery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Patients with non-</w:t>
            </w:r>
            <w:r>
              <w:rPr>
                <w:rFonts w:hint="default" w:ascii="Arial" w:hAnsi="Arial" w:cs="Arial"/>
                <w:sz w:val="22"/>
                <w:szCs w:val="22"/>
                <w:lang w:eastAsia="zh-CN"/>
              </w:rPr>
              <w:t>Cabrol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procedures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Other surgery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Patients with non-</w:t>
            </w:r>
            <w:r>
              <w:rPr>
                <w:rFonts w:hint="default" w:ascii="Arial" w:hAnsi="Arial" w:cs="Arial"/>
                <w:sz w:val="22"/>
                <w:szCs w:val="22"/>
                <w:lang w:eastAsia="zh-CN"/>
              </w:rPr>
              <w:t>Cabrol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procedures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Mechanical prosthesis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 xml:space="preserve">Valve choice for </w:t>
            </w:r>
            <w:r>
              <w:rPr>
                <w:rFonts w:hint="default" w:ascii="Arial" w:hAnsi="Arial" w:cs="Arial"/>
                <w:sz w:val="22"/>
                <w:szCs w:val="22"/>
                <w:lang w:eastAsia="zh-CN"/>
              </w:rPr>
              <w:t>Cabrol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procedure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Bioprosthesis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 xml:space="preserve">Valve choice for </w:t>
            </w:r>
            <w:r>
              <w:rPr>
                <w:rFonts w:hint="default" w:ascii="Arial" w:hAnsi="Arial" w:cs="Arial"/>
                <w:sz w:val="22"/>
                <w:szCs w:val="22"/>
                <w:lang w:eastAsia="zh-CN"/>
              </w:rPr>
              <w:t>Cabrol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procedure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Aortic hemiarch repair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Aortic arch repair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CABG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Mitral valve surgery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Reexploration for bleeding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In-hospital or within 30 days post-operatively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Early mortality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In-hospital mortality and 30 days mortality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Late mortality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According to guidelines (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Root reoperation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According to guidelines (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Hemorrhage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According to guidelines (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Thromboembolism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According to guidelines (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Endocarditis</w:t>
            </w:r>
          </w:p>
        </w:tc>
        <w:tc>
          <w:tcPr>
            <w:tcW w:w="54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According to guidelines (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val="en-US" w:eastAsia="zh-CN"/>
              </w:rPr>
              <w:t>16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MAVRE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color w:val="auto"/>
                <w:sz w:val="22"/>
                <w:szCs w:val="22"/>
                <w:lang w:eastAsia="nl-NL"/>
              </w:rPr>
              <w:t>Composite of late valve-related mortality, reoperation, hemorrhage, thromboembolism and endocarditis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9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Cabrol-related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graft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complications</w:t>
            </w:r>
          </w:p>
        </w:tc>
        <w:tc>
          <w:tcPr>
            <w:tcW w:w="54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Arial" w:hAnsi="Arial" w:cs="Arial"/>
                <w:sz w:val="22"/>
                <w:szCs w:val="22"/>
                <w:lang w:eastAsia="nl-NL"/>
              </w:rPr>
            </w:pP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Reported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  <w:lang w:eastAsia="nl-NL"/>
              </w:rPr>
              <w:t>complications relatedto the Cabrol graft</w:t>
            </w:r>
          </w:p>
        </w:tc>
      </w:tr>
    </w:tbl>
    <w:p>
      <w:pPr>
        <w:jc w:val="left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Arial" w:hAnsi="Arial" w:cs="Arial"/>
          <w:sz w:val="22"/>
          <w:szCs w:val="22"/>
          <w:lang w:eastAsia="nl-NL"/>
        </w:rPr>
        <w:t>CTD indicates connective disease; BAV, bicuspid aortic valve; CABG, coronary artery</w:t>
      </w:r>
      <w:r>
        <w:rPr>
          <w:rFonts w:hint="default" w:ascii="Arial" w:hAnsi="Arial" w:cs="Arial"/>
          <w:sz w:val="22"/>
          <w:szCs w:val="22"/>
          <w:lang w:val="en-US" w:eastAsia="zh-CN"/>
        </w:rPr>
        <w:t xml:space="preserve"> </w:t>
      </w:r>
      <w:r>
        <w:rPr>
          <w:rFonts w:hint="default" w:ascii="Arial" w:hAnsi="Arial" w:cs="Arial"/>
          <w:sz w:val="22"/>
          <w:szCs w:val="22"/>
          <w:lang w:eastAsia="nl-NL"/>
        </w:rPr>
        <w:t>bypass grafting; MAVRE, major adverse valve-related event</w:t>
      </w:r>
    </w:p>
    <w:p>
      <w:pPr>
        <w:pStyle w:val="9"/>
        <w:spacing w:line="480" w:lineRule="auto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  <w:b/>
        </w:rPr>
        <w:t>Appendix 3</w:t>
      </w:r>
    </w:p>
    <w:tbl>
      <w:tblPr>
        <w:tblStyle w:val="6"/>
        <w:tblpPr w:leftFromText="180" w:rightFromText="180" w:vertAnchor="text" w:horzAnchor="margin" w:tblpXSpec="center" w:tblpY="284"/>
        <w:tblW w:w="151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320"/>
        <w:gridCol w:w="986"/>
        <w:gridCol w:w="1242"/>
        <w:gridCol w:w="1305"/>
        <w:gridCol w:w="1170"/>
        <w:gridCol w:w="1158"/>
        <w:gridCol w:w="1617"/>
        <w:gridCol w:w="765"/>
        <w:gridCol w:w="1525"/>
        <w:gridCol w:w="760"/>
        <w:gridCol w:w="933"/>
        <w:gridCol w:w="1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 author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Publication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year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Country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Operative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period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(N)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age (years)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Sex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(% male)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 follow-up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(years)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CTD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(% )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Preoperation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(% )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 (% )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Classic (% )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Modified (% 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Cabrol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1986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France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1976-1983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47.5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84%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4.5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32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Coselli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US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1986-1988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81%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24%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26%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41%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Svensson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1992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US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en-US"/>
              </w:rPr>
              <w:t>1979-1991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3.6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Lund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Denmark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1988-1990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76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2.5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47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Mldulla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US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1986-1994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2.8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Aoyagi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Japan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1973-1992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42.5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6.7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Jault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France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1979-1991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212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53.6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5.5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Bachet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France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1973-1994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44.8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3.8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Gelsomino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2003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Italy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1986-2002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58.7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84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7.3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13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Garlicki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2006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Poland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2001-2005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88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1.7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24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76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Kitamura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Japan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1988-2001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66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8.6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42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11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Ziganshin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US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1995-2012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60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88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3.3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33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Lamana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Brazil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2002-2013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2.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Tanaka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2020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US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1991-2018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48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24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2.6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56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74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67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Pedroza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2023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US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2004-2020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53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5.5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100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%</w:t>
            </w:r>
          </w:p>
        </w:tc>
      </w:tr>
    </w:tbl>
    <w:p>
      <w:pPr>
        <w:pStyle w:val="9"/>
        <w:spacing w:line="480" w:lineRule="auto"/>
        <w:rPr>
          <w:rFonts w:hint="default" w:ascii="Calibri" w:hAnsi="Calibri" w:cs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sz w:val="22"/>
          <w:szCs w:val="22"/>
          <w:lang w:val="en-US" w:eastAsia="zh-CN"/>
        </w:rPr>
        <w:t>*</w:t>
      </w:r>
      <w:r>
        <w:rPr>
          <w:rFonts w:hint="default" w:ascii="Calibri" w:hAnsi="Calibri" w:cs="Calibri"/>
          <w:b w:val="0"/>
          <w:bCs/>
          <w:color w:val="000000" w:themeColor="text1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Presented figures are derived from the description in the article</w:t>
      </w:r>
    </w:p>
    <w:p>
      <w:pPr>
        <w:pStyle w:val="9"/>
        <w:spacing w:line="480" w:lineRule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9"/>
        <w:spacing w:line="480" w:lineRule="auto"/>
        <w:rPr>
          <w:rFonts w:hint="default" w:ascii="Calibri" w:hAnsi="Calibri" w:cs="Calibri"/>
          <w:b/>
        </w:rPr>
      </w:pPr>
      <w:r>
        <w:rPr>
          <w:rFonts w:hint="default" w:ascii="Calibri" w:hAnsi="Calibri" w:cs="Calibri"/>
          <w:b/>
        </w:rPr>
        <w:t>Appendix 4</w:t>
      </w:r>
    </w:p>
    <w:tbl>
      <w:tblPr>
        <w:tblStyle w:val="6"/>
        <w:tblpPr w:leftFromText="180" w:rightFromText="180" w:vertAnchor="text" w:horzAnchor="margin" w:tblpXSpec="center" w:tblpY="284"/>
        <w:tblW w:w="153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267"/>
        <w:gridCol w:w="1107"/>
        <w:gridCol w:w="1573"/>
        <w:gridCol w:w="1107"/>
        <w:gridCol w:w="1360"/>
        <w:gridCol w:w="1560"/>
        <w:gridCol w:w="1975"/>
        <w:gridCol w:w="1427"/>
        <w:gridCol w:w="1227"/>
        <w:gridCol w:w="15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2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First author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Publication year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Early mortality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Reexploration for bleeding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Late mortality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Root reoperation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Hemorrhage</w:t>
            </w:r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Thromboembolism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Endocarditis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MAVRE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Complications of grafts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jc w:val="center"/>
              <w:rPr>
                <w:rFonts w:hint="default" w:ascii="Calibri" w:hAnsi="Calibri" w:eastAsia="Times New Roman" w:cs="Calibri"/>
                <w:b/>
                <w:bCs/>
                <w:sz w:val="22"/>
                <w:szCs w:val="22"/>
              </w:rPr>
            </w:pPr>
          </w:p>
        </w:tc>
        <w:tc>
          <w:tcPr>
            <w:tcW w:w="126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jc w:val="center"/>
              <w:rPr>
                <w:rFonts w:hint="default" w:ascii="Calibri" w:hAnsi="Calibri" w:eastAsia="Times New Roman" w:cs="Calibri"/>
                <w:b/>
                <w:bCs/>
                <w:sz w:val="22"/>
                <w:szCs w:val="22"/>
              </w:rPr>
            </w:pPr>
          </w:p>
        </w:tc>
        <w:tc>
          <w:tcPr>
            <w:tcW w:w="110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57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10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36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56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97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22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  <w:tc>
          <w:tcPr>
            <w:tcW w:w="154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 / 100-year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Cabrol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1986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0.89 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0.89 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2.44 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0.11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0.22 </w:t>
            </w:r>
          </w:p>
        </w:tc>
        <w:tc>
          <w:tcPr>
            <w:tcW w:w="19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0.11 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0.22 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1.11 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Coselli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1989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Svensson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1992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2.30 </w:t>
            </w:r>
          </w:p>
        </w:tc>
        <w:tc>
          <w:tcPr>
            <w:tcW w:w="1573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4.42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0.71 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975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2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Lund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1993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16.47 </w:t>
            </w:r>
          </w:p>
        </w:tc>
        <w:tc>
          <w:tcPr>
            <w:tcW w:w="1573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2.35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2.35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2.35 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7.06 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Mldulla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1994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7.14 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1.19 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7.14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1.19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1.19 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1.19 </w:t>
            </w:r>
          </w:p>
        </w:tc>
        <w:tc>
          <w:tcPr>
            <w:tcW w:w="12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Aoyagi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1994</w:t>
            </w: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73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0.37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0.37 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0.37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0.37 </w:t>
            </w:r>
          </w:p>
        </w:tc>
        <w:tc>
          <w:tcPr>
            <w:tcW w:w="12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Jault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1994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1.11 </w:t>
            </w:r>
          </w:p>
        </w:tc>
        <w:tc>
          <w:tcPr>
            <w:tcW w:w="1573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3.34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0.04 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975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2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Bachet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1996</w:t>
            </w: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73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3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1.01 </w:t>
            </w:r>
          </w:p>
        </w:tc>
        <w:tc>
          <w:tcPr>
            <w:tcW w:w="14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2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Gelsomino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2003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2.74 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0.30 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1.83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0.30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0.15 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0.15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0.61 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2.44 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Garlicki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2006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4.71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Kitamura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2011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0.32 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0.32 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2.26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0.16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0.16 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0.16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0.32 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0.32 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Ziganshin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2013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2.27 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4.55 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4.55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0.38 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0.76 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0.76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0.38 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1.52 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Lamana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2015</w:t>
            </w: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73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3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975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2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Tanaka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2020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5.95 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2.29 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6.41 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1.37 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6.87 </w:t>
            </w:r>
          </w:p>
        </w:tc>
        <w:tc>
          <w:tcPr>
            <w:tcW w:w="14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7.33 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0.92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202" w:type="dxa"/>
            <w:vAlign w:val="center"/>
          </w:tcPr>
          <w:p>
            <w:pPr>
              <w:jc w:val="left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Pedroza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nl-NL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  <w:t>2023</w:t>
            </w: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73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10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3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60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975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227" w:type="dxa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2"/>
                <w:szCs w:val="22"/>
                <w:lang w:val="en-US" w:eastAsia="nl-NL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1.01 </w:t>
            </w:r>
          </w:p>
        </w:tc>
      </w:tr>
    </w:tbl>
    <w:p>
      <w:pPr>
        <w:pStyle w:val="9"/>
        <w:spacing w:line="480" w:lineRule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NGQwNjdiYzBjMDU1MThhMjg3OTA0ZjI2MWRhMDYifQ=="/>
  </w:docVars>
  <w:rsids>
    <w:rsidRoot w:val="00000000"/>
    <w:rsid w:val="00E05DED"/>
    <w:rsid w:val="02D7069C"/>
    <w:rsid w:val="06795DEF"/>
    <w:rsid w:val="069B28B4"/>
    <w:rsid w:val="0E7732C4"/>
    <w:rsid w:val="10A870D7"/>
    <w:rsid w:val="13415C47"/>
    <w:rsid w:val="167D2153"/>
    <w:rsid w:val="17C76AD9"/>
    <w:rsid w:val="1C0B0D64"/>
    <w:rsid w:val="1E9439C2"/>
    <w:rsid w:val="22D10D37"/>
    <w:rsid w:val="29CA4207"/>
    <w:rsid w:val="2E141EF5"/>
    <w:rsid w:val="2F5E48F2"/>
    <w:rsid w:val="31FD1A38"/>
    <w:rsid w:val="32DF4E7E"/>
    <w:rsid w:val="34A95A22"/>
    <w:rsid w:val="35830615"/>
    <w:rsid w:val="38662D64"/>
    <w:rsid w:val="3A9A7E29"/>
    <w:rsid w:val="3D98669F"/>
    <w:rsid w:val="3E3869B7"/>
    <w:rsid w:val="3F6E71F8"/>
    <w:rsid w:val="3FE77469"/>
    <w:rsid w:val="42845443"/>
    <w:rsid w:val="45B45200"/>
    <w:rsid w:val="4705760E"/>
    <w:rsid w:val="478163F5"/>
    <w:rsid w:val="48BB76E5"/>
    <w:rsid w:val="4A227A1C"/>
    <w:rsid w:val="4BAD77B9"/>
    <w:rsid w:val="4C032CEB"/>
    <w:rsid w:val="4E1E499E"/>
    <w:rsid w:val="54DC5540"/>
    <w:rsid w:val="588819C2"/>
    <w:rsid w:val="5A327BE8"/>
    <w:rsid w:val="5ABF2DFD"/>
    <w:rsid w:val="5DA9139E"/>
    <w:rsid w:val="5EC50CC7"/>
    <w:rsid w:val="624327CD"/>
    <w:rsid w:val="63FC70D8"/>
    <w:rsid w:val="72751B9A"/>
    <w:rsid w:val="76077F1B"/>
    <w:rsid w:val="7798281C"/>
    <w:rsid w:val="77FD5631"/>
    <w:rsid w:val="7DF20FFC"/>
    <w:rsid w:val="7DFE4A15"/>
    <w:rsid w:val="7E355268"/>
    <w:rsid w:val="7FA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ind w:firstLine="0" w:firstLineChars="0"/>
      <w:outlineLvl w:val="0"/>
    </w:pPr>
    <w:rPr>
      <w:rFonts w:eastAsia="Cambria" w:cs="Times New Roman"/>
      <w:b/>
      <w:szCs w:val="24"/>
    </w:rPr>
  </w:style>
  <w:style w:type="paragraph" w:styleId="4">
    <w:name w:val="heading 2"/>
    <w:basedOn w:val="2"/>
    <w:next w:val="1"/>
    <w:qFormat/>
    <w:uiPriority w:val="2"/>
    <w:pPr>
      <w:numPr>
        <w:ilvl w:val="1"/>
      </w:numPr>
      <w:spacing w:after="200"/>
      <w:outlineLvl w:val="1"/>
    </w:p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5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No Spacing1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10">
    <w:name w:val="font1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847</Words>
  <Characters>5330</Characters>
  <Lines>0</Lines>
  <Paragraphs>0</Paragraphs>
  <TotalTime>35</TotalTime>
  <ScaleCrop>false</ScaleCrop>
  <LinksUpToDate>false</LinksUpToDate>
  <CharactersWithSpaces>5871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2023-05-28T13:59:00Z</dcterms:created>
  <dc:creator>27237</dc:creator>
  <cp:lastModifiedBy>NLNLZNL</cp:lastModifiedBy>
  <dcterms:modified xsi:type="dcterms:W3CDTF">2023-07-25T14:21:35Z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1B489F88D1DB42189FAD5D14230803B0_12</vt:lpwstr>
  </property>
</Properties>
</file>