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10" w:rsidRPr="00C254C0" w:rsidRDefault="006B0D10" w:rsidP="006B0D10">
      <w:pPr>
        <w:rPr>
          <w:rFonts w:ascii="Palatino Linotype" w:hAnsi="Palatino Linotype"/>
          <w:b/>
          <w:sz w:val="24"/>
          <w:szCs w:val="24"/>
          <w:lang w:bidi="en-US"/>
        </w:rPr>
      </w:pPr>
      <w:r w:rsidRPr="00C254C0">
        <w:rPr>
          <w:rFonts w:ascii="Palatino Linotype" w:hAnsi="Palatino Linotype"/>
          <w:b/>
          <w:sz w:val="24"/>
          <w:szCs w:val="24"/>
          <w:lang w:bidi="en-US"/>
        </w:rPr>
        <w:t xml:space="preserve">Supplementary Materials: </w:t>
      </w:r>
    </w:p>
    <w:p w:rsidR="006B0D10" w:rsidRPr="006B0D10" w:rsidRDefault="006B0D10" w:rsidP="006B0D10">
      <w:pPr>
        <w:rPr>
          <w:b/>
          <w:lang w:bidi="en-US"/>
        </w:rPr>
      </w:pPr>
      <w:r w:rsidRPr="006B0D10">
        <w:rPr>
          <w:b/>
          <w:noProof/>
          <w:lang w:val="kk-KZ" w:eastAsia="kk-KZ"/>
        </w:rPr>
        <w:drawing>
          <wp:inline distT="0" distB="0" distL="0" distR="0" wp14:anchorId="522253E5" wp14:editId="09F9563B">
            <wp:extent cx="5940425" cy="3071758"/>
            <wp:effectExtent l="0" t="0" r="3175" b="0"/>
            <wp:docPr id="11" name="Picture 11" descr="I:\Manuscript August\S1\Untitled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Manuscript August\S1\Untitled-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10" w:rsidRPr="00C254C0" w:rsidRDefault="006B0D10" w:rsidP="00C254C0">
      <w:pPr>
        <w:jc w:val="both"/>
        <w:rPr>
          <w:rFonts w:ascii="Palatino Linotype" w:hAnsi="Palatino Linotype"/>
          <w:sz w:val="24"/>
          <w:szCs w:val="24"/>
          <w:lang w:bidi="en-US"/>
        </w:rPr>
      </w:pPr>
      <w:r w:rsidRPr="00C254C0">
        <w:rPr>
          <w:rFonts w:ascii="Palatino Linotype" w:hAnsi="Palatino Linotype"/>
          <w:b/>
          <w:sz w:val="24"/>
          <w:szCs w:val="24"/>
          <w:lang w:bidi="en-US"/>
        </w:rPr>
        <w:t xml:space="preserve">Figure S1. </w:t>
      </w:r>
      <w:r w:rsidRPr="00C254C0">
        <w:rPr>
          <w:rFonts w:ascii="Palatino Linotype" w:hAnsi="Palatino Linotype"/>
          <w:sz w:val="24"/>
          <w:szCs w:val="24"/>
          <w:lang w:bidi="en-US"/>
        </w:rPr>
        <w:t>MCF-7 cells after EMT induction. (a) GFP channel. MCF-7 cells after doxycycline treatment. The treatment by doxycycline enable to initiate the expression of GFP tagged ZEB-1 protein. The efficiency of EMT launch</w:t>
      </w:r>
      <w:bookmarkStart w:id="0" w:name="_GoBack"/>
      <w:bookmarkEnd w:id="0"/>
      <w:r w:rsidRPr="00C254C0">
        <w:rPr>
          <w:rFonts w:ascii="Palatino Linotype" w:hAnsi="Palatino Linotype"/>
          <w:sz w:val="24"/>
          <w:szCs w:val="24"/>
          <w:lang w:bidi="en-US"/>
        </w:rPr>
        <w:t xml:space="preserve">ed process in the cells was visually seen by the green fluorescent nucleus staining. (b) </w:t>
      </w:r>
      <w:proofErr w:type="spellStart"/>
      <w:r w:rsidRPr="00C254C0">
        <w:rPr>
          <w:rFonts w:ascii="Palatino Linotype" w:hAnsi="Palatino Linotype"/>
          <w:sz w:val="24"/>
          <w:szCs w:val="24"/>
          <w:lang w:bidi="en-US"/>
        </w:rPr>
        <w:t>Widefield</w:t>
      </w:r>
      <w:proofErr w:type="spellEnd"/>
      <w:r w:rsidRPr="00C254C0">
        <w:rPr>
          <w:rFonts w:ascii="Palatino Linotype" w:hAnsi="Palatino Linotype"/>
          <w:sz w:val="24"/>
          <w:szCs w:val="24"/>
          <w:lang w:bidi="en-US"/>
        </w:rPr>
        <w:t>. Scale bar 10µm.</w:t>
      </w:r>
    </w:p>
    <w:p w:rsidR="003567C1" w:rsidRDefault="003567C1"/>
    <w:sectPr w:rsidR="00356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3567C1"/>
    <w:rsid w:val="006B0D10"/>
    <w:rsid w:val="006D3784"/>
    <w:rsid w:val="00C2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3</cp:revision>
  <dcterms:created xsi:type="dcterms:W3CDTF">2023-08-17T08:21:00Z</dcterms:created>
  <dcterms:modified xsi:type="dcterms:W3CDTF">2023-08-17T09:23:00Z</dcterms:modified>
</cp:coreProperties>
</file>