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502C2" w14:textId="77777777" w:rsidR="003528A9" w:rsidRPr="002B5709" w:rsidRDefault="003528A9" w:rsidP="003528A9">
      <w:pPr>
        <w:pStyle w:val="EndNoteBibliography"/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5709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611793CE" w14:textId="77777777" w:rsidR="003528A9" w:rsidRDefault="003528A9" w:rsidP="003528A9">
      <w:pPr>
        <w:pStyle w:val="ListParagraph"/>
        <w:ind w:left="284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</w:rPr>
      </w:pPr>
    </w:p>
    <w:p w14:paraId="608E430A" w14:textId="77777777" w:rsidR="003528A9" w:rsidRDefault="003528A9" w:rsidP="003528A9">
      <w:pPr>
        <w:pStyle w:val="ListParagraph"/>
        <w:numPr>
          <w:ilvl w:val="0"/>
          <w:numId w:val="1"/>
        </w:numPr>
        <w:ind w:left="284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</w:rPr>
        <w:t>Size and Zeta Potential Analysis of PXs by Dynamic Light Scattering and Laser Doppler Anemometry</w:t>
      </w:r>
    </w:p>
    <w:p w14:paraId="4CAEC47A" w14:textId="77777777" w:rsidR="003528A9" w:rsidRPr="00577939" w:rsidRDefault="003528A9" w:rsidP="003528A9">
      <w:pPr>
        <w:pStyle w:val="MDPI21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PS80-concentration optimization</w:t>
      </w:r>
    </w:p>
    <w:p w14:paraId="67B46119" w14:textId="77777777" w:rsidR="003528A9" w:rsidRPr="00722B2C" w:rsidRDefault="003528A9" w:rsidP="003528A9">
      <w:pPr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998"/>
        <w:gridCol w:w="283"/>
        <w:gridCol w:w="4133"/>
      </w:tblGrid>
      <w:tr w:rsidR="003528A9" w14:paraId="11C5FD4E" w14:textId="77777777" w:rsidTr="00CA064B">
        <w:tc>
          <w:tcPr>
            <w:tcW w:w="392" w:type="dxa"/>
          </w:tcPr>
          <w:p w14:paraId="0DFDE1B0" w14:textId="77777777" w:rsidR="003528A9" w:rsidRDefault="003528A9" w:rsidP="00CA064B">
            <w:pPr>
              <w:pStyle w:val="MDPI22heading2"/>
              <w:rPr>
                <w:i w:val="0"/>
                <w:noProof w:val="0"/>
              </w:rPr>
            </w:pPr>
            <w:r w:rsidRPr="00E73B49">
              <w:rPr>
                <w:rFonts w:ascii="Arial" w:hAnsi="Arial" w:cs="Arial"/>
                <w:b/>
                <w:i w:val="0"/>
                <w:noProof w:val="0"/>
                <w:sz w:val="24"/>
                <w:szCs w:val="24"/>
              </w:rPr>
              <w:t>A</w:t>
            </w:r>
          </w:p>
        </w:tc>
        <w:tc>
          <w:tcPr>
            <w:tcW w:w="3998" w:type="dxa"/>
          </w:tcPr>
          <w:p w14:paraId="5FC7DC1A" w14:textId="77777777" w:rsidR="003528A9" w:rsidRDefault="003528A9" w:rsidP="00CA064B">
            <w:pPr>
              <w:pStyle w:val="MDPI22heading2"/>
              <w:rPr>
                <w:i w:val="0"/>
                <w:noProof w:val="0"/>
              </w:rPr>
            </w:pPr>
            <w:r w:rsidRPr="00C352EC">
              <w:rPr>
                <w:snapToGrid/>
                <w:szCs w:val="22"/>
              </w:rPr>
              <w:object w:dxaOrig="10319" w:dyaOrig="6180" w14:anchorId="2493B08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96.5pt;height:119.25pt;mso-width-percent:0;mso-height-percent:0;mso-width-percent:0;mso-height-percent:0" o:ole="">
                  <v:imagedata r:id="rId5" o:title=""/>
                </v:shape>
                <o:OLEObject Type="Embed" ProgID="Prism5.Document" ShapeID="_x0000_i1025" DrawAspect="Content" ObjectID="_1754232871" r:id="rId6"/>
              </w:object>
            </w:r>
          </w:p>
        </w:tc>
        <w:tc>
          <w:tcPr>
            <w:tcW w:w="283" w:type="dxa"/>
          </w:tcPr>
          <w:p w14:paraId="1153B002" w14:textId="77777777" w:rsidR="003528A9" w:rsidRDefault="003528A9" w:rsidP="00CA064B">
            <w:pPr>
              <w:pStyle w:val="MDPI22heading2"/>
              <w:ind w:left="-72"/>
              <w:rPr>
                <w:i w:val="0"/>
                <w:noProof w:val="0"/>
              </w:rPr>
            </w:pPr>
            <w:r w:rsidRPr="00E73B49">
              <w:rPr>
                <w:rFonts w:ascii="Arial" w:hAnsi="Arial" w:cs="Arial"/>
                <w:b/>
                <w:i w:val="0"/>
                <w:noProof w:val="0"/>
                <w:sz w:val="24"/>
                <w:szCs w:val="24"/>
              </w:rPr>
              <w:t>B</w:t>
            </w:r>
          </w:p>
        </w:tc>
        <w:tc>
          <w:tcPr>
            <w:tcW w:w="4133" w:type="dxa"/>
          </w:tcPr>
          <w:p w14:paraId="5293F90B" w14:textId="77777777" w:rsidR="003528A9" w:rsidRDefault="003528A9" w:rsidP="00CA064B">
            <w:pPr>
              <w:pStyle w:val="MDPI22heading2"/>
              <w:rPr>
                <w:i w:val="0"/>
                <w:noProof w:val="0"/>
              </w:rPr>
            </w:pPr>
            <w:r w:rsidRPr="00C352EC">
              <w:rPr>
                <w:i w:val="0"/>
                <w:snapToGrid/>
                <w:szCs w:val="22"/>
              </w:rPr>
              <w:object w:dxaOrig="10318" w:dyaOrig="6123" w14:anchorId="50E8CF0A">
                <v:shape id="_x0000_i1026" type="#_x0000_t75" alt="" style="width:199.5pt;height:117pt;mso-width-percent:0;mso-height-percent:0;mso-width-percent:0;mso-height-percent:0" o:ole="">
                  <v:imagedata r:id="rId7" o:title=""/>
                </v:shape>
                <o:OLEObject Type="Embed" ProgID="Prism5.Document" ShapeID="_x0000_i1026" DrawAspect="Content" ObjectID="_1754232872" r:id="rId8"/>
              </w:object>
            </w:r>
          </w:p>
        </w:tc>
      </w:tr>
    </w:tbl>
    <w:p w14:paraId="739358CC" w14:textId="77777777" w:rsidR="003528A9" w:rsidRDefault="003528A9" w:rsidP="003528A9">
      <w:pPr>
        <w:pStyle w:val="MDPI51figurecaption"/>
        <w:spacing w:line="360" w:lineRule="auto"/>
        <w:rPr>
          <w:rFonts w:ascii="Times New Roman" w:hAnsi="Times New Roman"/>
          <w:color w:val="auto"/>
        </w:rPr>
      </w:pPr>
      <w:r w:rsidRPr="00C0308A">
        <w:rPr>
          <w:rFonts w:ascii="Times New Roman" w:hAnsi="Times New Roman"/>
          <w:b/>
          <w:color w:val="auto"/>
        </w:rPr>
        <w:t xml:space="preserve">Figure </w:t>
      </w:r>
      <w:r>
        <w:rPr>
          <w:rFonts w:ascii="Times New Roman" w:hAnsi="Times New Roman"/>
          <w:b/>
          <w:color w:val="auto"/>
        </w:rPr>
        <w:t>S1</w:t>
      </w:r>
      <w:r w:rsidRPr="00C0308A">
        <w:rPr>
          <w:rFonts w:ascii="Times New Roman" w:hAnsi="Times New Roman"/>
          <w:b/>
          <w:color w:val="auto"/>
        </w:rPr>
        <w:t>.</w:t>
      </w:r>
      <w:r>
        <w:rPr>
          <w:rFonts w:ascii="Times New Roman" w:hAnsi="Times New Roman"/>
          <w:b/>
          <w:color w:val="auto"/>
        </w:rPr>
        <w:t xml:space="preserve"> </w:t>
      </w:r>
      <w:r>
        <w:rPr>
          <w:rFonts w:ascii="Times New Roman" w:hAnsi="Times New Roman"/>
          <w:bCs/>
          <w:color w:val="auto"/>
        </w:rPr>
        <w:t xml:space="preserve">DLS measurements of </w:t>
      </w:r>
      <w:r w:rsidRPr="00E67C74">
        <w:rPr>
          <w:rFonts w:ascii="Times New Roman" w:hAnsi="Times New Roman"/>
          <w:bCs/>
          <w:color w:val="auto"/>
        </w:rPr>
        <w:t>PS8</w:t>
      </w:r>
      <w:r>
        <w:rPr>
          <w:rFonts w:ascii="Times New Roman" w:hAnsi="Times New Roman"/>
          <w:bCs/>
          <w:color w:val="auto"/>
        </w:rPr>
        <w:t>0-</w:t>
      </w:r>
      <w:r w:rsidRPr="008B537A">
        <w:rPr>
          <w:rFonts w:ascii="Times New Roman" w:hAnsi="Times New Roman"/>
          <w:bCs/>
          <w:color w:val="auto"/>
        </w:rPr>
        <w:t>b</w:t>
      </w:r>
      <w:r>
        <w:rPr>
          <w:rFonts w:ascii="Times New Roman" w:hAnsi="Times New Roman"/>
          <w:bCs/>
          <w:color w:val="auto"/>
        </w:rPr>
        <w:t>-</w:t>
      </w:r>
      <w:r w:rsidRPr="008B537A">
        <w:rPr>
          <w:rFonts w:ascii="Times New Roman" w:hAnsi="Times New Roman"/>
          <w:bCs/>
          <w:color w:val="auto"/>
        </w:rPr>
        <w:t xml:space="preserve">PEI </w:t>
      </w:r>
      <w:r w:rsidRPr="00E67C74">
        <w:rPr>
          <w:rFonts w:ascii="Times New Roman" w:hAnsi="Times New Roman"/>
          <w:bCs/>
          <w:color w:val="auto"/>
        </w:rPr>
        <w:t>PXs</w:t>
      </w:r>
      <w:r>
        <w:rPr>
          <w:rFonts w:ascii="Times New Roman" w:hAnsi="Times New Roman"/>
          <w:bCs/>
          <w:color w:val="auto"/>
        </w:rPr>
        <w:t xml:space="preserve"> (</w:t>
      </w:r>
      <w:r w:rsidRPr="008B537A">
        <w:rPr>
          <w:rFonts w:ascii="Times New Roman" w:hAnsi="Times New Roman"/>
          <w:b/>
          <w:color w:val="auto"/>
        </w:rPr>
        <w:t>A</w:t>
      </w:r>
      <w:r>
        <w:rPr>
          <w:rFonts w:ascii="Times New Roman" w:hAnsi="Times New Roman"/>
          <w:bCs/>
          <w:color w:val="auto"/>
        </w:rPr>
        <w:t>) and PS80-</w:t>
      </w:r>
      <w:r w:rsidRPr="009001B7">
        <w:rPr>
          <w:rFonts w:ascii="Times New Roman" w:hAnsi="Times New Roman"/>
          <w:bCs/>
          <w:color w:val="auto"/>
        </w:rPr>
        <w:t>NM</w:t>
      </w:r>
      <w:r w:rsidRPr="00011ABE">
        <w:rPr>
          <w:rFonts w:ascii="Times New Roman" w:hAnsi="Times New Roman"/>
          <w:bCs/>
          <w:color w:val="auto"/>
          <w:vertAlign w:val="subscript"/>
        </w:rPr>
        <w:t>0.2</w:t>
      </w:r>
      <w:r w:rsidRPr="009001B7">
        <w:rPr>
          <w:rFonts w:ascii="Times New Roman" w:hAnsi="Times New Roman"/>
          <w:bCs/>
          <w:color w:val="auto"/>
        </w:rPr>
        <w:t>/CP</w:t>
      </w:r>
      <w:r w:rsidRPr="00011ABE">
        <w:rPr>
          <w:rFonts w:ascii="Times New Roman" w:hAnsi="Times New Roman"/>
          <w:bCs/>
          <w:color w:val="auto"/>
          <w:vertAlign w:val="subscript"/>
        </w:rPr>
        <w:t xml:space="preserve">0.8 </w:t>
      </w:r>
      <w:r>
        <w:rPr>
          <w:rFonts w:ascii="Times New Roman" w:hAnsi="Times New Roman"/>
          <w:bCs/>
          <w:color w:val="auto"/>
        </w:rPr>
        <w:t>PXs (</w:t>
      </w:r>
      <w:r w:rsidRPr="009001B7">
        <w:rPr>
          <w:rFonts w:ascii="Times New Roman" w:hAnsi="Times New Roman"/>
          <w:b/>
          <w:color w:val="auto"/>
        </w:rPr>
        <w:t>B</w:t>
      </w:r>
      <w:r>
        <w:rPr>
          <w:rFonts w:ascii="Times New Roman" w:hAnsi="Times New Roman"/>
          <w:bCs/>
          <w:color w:val="auto"/>
        </w:rPr>
        <w:t xml:space="preserve">) coated with varying PS80 concentrations (0.01% - 0.5% PS80) in comparison to uncoated particles (0% PS80). </w:t>
      </w:r>
      <w:r w:rsidRPr="00FD4F2A">
        <w:rPr>
          <w:rFonts w:ascii="Times New Roman" w:hAnsi="Times New Roman"/>
          <w:szCs w:val="18"/>
        </w:rPr>
        <w:t>(Data points indicate mean ± SD, n = 3</w:t>
      </w:r>
      <w:r>
        <w:rPr>
          <w:rFonts w:ascii="Times New Roman" w:hAnsi="Times New Roman"/>
          <w:szCs w:val="18"/>
        </w:rPr>
        <w:t>).</w:t>
      </w:r>
    </w:p>
    <w:p w14:paraId="76C2848A" w14:textId="77777777" w:rsidR="003528A9" w:rsidRPr="007B12DF" w:rsidRDefault="003528A9" w:rsidP="003528A9">
      <w:pPr>
        <w:rPr>
          <w:lang w:val="en-US"/>
        </w:rPr>
      </w:pPr>
    </w:p>
    <w:p w14:paraId="1F639AD8" w14:textId="77777777" w:rsidR="003528A9" w:rsidRDefault="003528A9" w:rsidP="003528A9">
      <w:pPr>
        <w:pStyle w:val="ListParagraph"/>
        <w:numPr>
          <w:ilvl w:val="0"/>
          <w:numId w:val="1"/>
        </w:numPr>
        <w:ind w:left="284"/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</w:rPr>
      </w:pPr>
      <w:r>
        <w:rPr>
          <w:rFonts w:ascii="Times New Roman" w:eastAsiaTheme="majorEastAsia" w:hAnsi="Times New Roman" w:cstheme="majorBidi"/>
          <w:b/>
          <w:bCs/>
          <w:color w:val="000000" w:themeColor="text1"/>
          <w:sz w:val="24"/>
          <w:szCs w:val="24"/>
        </w:rPr>
        <w:t>Quantification of cellular uptake into glioblastoma cells by flow cytometry</w:t>
      </w:r>
    </w:p>
    <w:p w14:paraId="4B381BEC" w14:textId="77777777" w:rsidR="003528A9" w:rsidRPr="00577939" w:rsidRDefault="003528A9" w:rsidP="003528A9">
      <w:pPr>
        <w:pStyle w:val="MDPI21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LRP1-Receptor expression of glioblastoma cells</w:t>
      </w:r>
    </w:p>
    <w:bookmarkStart w:id="0" w:name="_Toc73628655"/>
    <w:p w14:paraId="42940334" w14:textId="77777777" w:rsidR="003528A9" w:rsidRPr="000F52A6" w:rsidRDefault="003528A9" w:rsidP="003528A9">
      <w:pPr>
        <w:jc w:val="center"/>
        <w:rPr>
          <w:color w:val="C45911" w:themeColor="accent2" w:themeShade="BF"/>
          <w:lang w:val="en-US"/>
        </w:rPr>
      </w:pPr>
      <w:r>
        <w:rPr>
          <w:noProof/>
          <w:color w:val="C45911" w:themeColor="accent2" w:themeShade="BF"/>
          <w:lang w:val="en-US"/>
        </w:rPr>
        <w:object w:dxaOrig="3742" w:dyaOrig="4082" w14:anchorId="0E5B86DB">
          <v:shape id="_x0000_i1027" type="#_x0000_t75" alt="" style="width:150pt;height:162.75pt;mso-width-percent:0;mso-height-percent:0;mso-width-percent:0;mso-height-percent:0" o:ole="">
            <v:imagedata r:id="rId9" o:title=""/>
          </v:shape>
          <o:OLEObject Type="Embed" ProgID="Prism5.Document" ShapeID="_x0000_i1027" DrawAspect="Content" ObjectID="_1754232873" r:id="rId10"/>
        </w:object>
      </w:r>
    </w:p>
    <w:bookmarkEnd w:id="0"/>
    <w:p w14:paraId="434BACE5" w14:textId="77777777" w:rsidR="003528A9" w:rsidRPr="007B12DF" w:rsidRDefault="003528A9" w:rsidP="003528A9">
      <w:pPr>
        <w:pStyle w:val="MDPI51figurecaption"/>
        <w:spacing w:line="360" w:lineRule="auto"/>
        <w:rPr>
          <w:rFonts w:ascii="Times New Roman" w:hAnsi="Times New Roman"/>
          <w:color w:val="auto"/>
        </w:rPr>
      </w:pPr>
      <w:r w:rsidRPr="00C0308A">
        <w:rPr>
          <w:rFonts w:ascii="Times New Roman" w:hAnsi="Times New Roman"/>
          <w:b/>
          <w:color w:val="auto"/>
        </w:rPr>
        <w:t xml:space="preserve">Figure </w:t>
      </w:r>
      <w:r>
        <w:rPr>
          <w:rFonts w:ascii="Times New Roman" w:hAnsi="Times New Roman"/>
          <w:b/>
          <w:color w:val="auto"/>
        </w:rPr>
        <w:t>S2</w:t>
      </w:r>
      <w:r w:rsidRPr="00C0308A">
        <w:rPr>
          <w:rFonts w:ascii="Times New Roman" w:hAnsi="Times New Roman"/>
          <w:b/>
          <w:color w:val="auto"/>
        </w:rPr>
        <w:t>.</w:t>
      </w:r>
      <w:r w:rsidRPr="00C0308A">
        <w:rPr>
          <w:rFonts w:ascii="Times New Roman" w:hAnsi="Times New Roman"/>
          <w:color w:val="auto"/>
        </w:rPr>
        <w:t xml:space="preserve"> LRP1-receptor expression of U87 glioblastoma cells as determined </w:t>
      </w:r>
      <w:r>
        <w:rPr>
          <w:rFonts w:ascii="Times New Roman" w:hAnsi="Times New Roman"/>
          <w:color w:val="auto"/>
        </w:rPr>
        <w:t>by</w:t>
      </w:r>
      <w:r w:rsidRPr="00C0308A">
        <w:rPr>
          <w:rFonts w:ascii="Times New Roman" w:hAnsi="Times New Roman"/>
          <w:color w:val="auto"/>
        </w:rPr>
        <w:t xml:space="preserve"> flow cytometry </w:t>
      </w:r>
      <w:r>
        <w:rPr>
          <w:rFonts w:ascii="Times New Roman" w:hAnsi="Times New Roman"/>
          <w:color w:val="auto"/>
        </w:rPr>
        <w:t>and presented as median fluorescence intensity (MFI): Cells were first stained</w:t>
      </w:r>
      <w:r w:rsidRPr="00C0308A">
        <w:rPr>
          <w:rFonts w:ascii="Times New Roman" w:hAnsi="Times New Roman"/>
          <w:color w:val="auto"/>
        </w:rPr>
        <w:t xml:space="preserve"> with anti – LRP1 primary antibody </w:t>
      </w:r>
      <w:r>
        <w:rPr>
          <w:rFonts w:ascii="Times New Roman" w:hAnsi="Times New Roman"/>
          <w:color w:val="auto"/>
        </w:rPr>
        <w:t>or</w:t>
      </w:r>
      <w:r w:rsidRPr="00C0308A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>m</w:t>
      </w:r>
      <w:r w:rsidRPr="00C0308A">
        <w:rPr>
          <w:rFonts w:ascii="Times New Roman" w:hAnsi="Times New Roman"/>
          <w:color w:val="auto"/>
        </w:rPr>
        <w:t>ouse IgG1 monoclonal antibody as isotype control (IC)</w:t>
      </w:r>
      <w:r>
        <w:rPr>
          <w:rFonts w:ascii="Times New Roman" w:hAnsi="Times New Roman"/>
          <w:color w:val="auto"/>
        </w:rPr>
        <w:t xml:space="preserve"> to exclude unspecific binding</w:t>
      </w:r>
      <w:r w:rsidRPr="00C0308A">
        <w:rPr>
          <w:rFonts w:ascii="Times New Roman" w:hAnsi="Times New Roman"/>
          <w:color w:val="auto"/>
        </w:rPr>
        <w:t xml:space="preserve"> and</w:t>
      </w:r>
      <w:r>
        <w:rPr>
          <w:rFonts w:ascii="Times New Roman" w:hAnsi="Times New Roman"/>
          <w:color w:val="auto"/>
        </w:rPr>
        <w:t xml:space="preserve"> consequently reacted with</w:t>
      </w:r>
      <w:r w:rsidRPr="00C0308A">
        <w:rPr>
          <w:rFonts w:ascii="Times New Roman" w:hAnsi="Times New Roman"/>
          <w:color w:val="auto"/>
        </w:rPr>
        <w:t xml:space="preserve"> AF488-labeled secondary goat anti-mouse IgG H&amp;L antibody.</w:t>
      </w:r>
      <w:r>
        <w:rPr>
          <w:rFonts w:ascii="Times New Roman" w:hAnsi="Times New Roman"/>
          <w:color w:val="auto"/>
        </w:rPr>
        <w:t xml:space="preserve"> Blank samples were left unstained.</w:t>
      </w:r>
      <w:r w:rsidRPr="00C0308A">
        <w:rPr>
          <w:rFonts w:ascii="Times New Roman" w:hAnsi="Times New Roman"/>
          <w:color w:val="auto"/>
        </w:rPr>
        <w:t xml:space="preserve"> (Results are presented as </w:t>
      </w:r>
      <w:r w:rsidRPr="00C0308A">
        <w:rPr>
          <w:rFonts w:ascii="Times New Roman" w:hAnsi="Times New Roman"/>
          <w:color w:val="auto"/>
        </w:rPr>
        <w:lastRenderedPageBreak/>
        <w:t>median fluorescence intensity (MFI) and shown as mean</w:t>
      </w:r>
      <w:r>
        <w:rPr>
          <w:rFonts w:ascii="Times New Roman" w:hAnsi="Times New Roman"/>
          <w:color w:val="auto"/>
        </w:rPr>
        <w:t> </w:t>
      </w:r>
      <w:r w:rsidRPr="00C0308A">
        <w:rPr>
          <w:rFonts w:ascii="Times New Roman" w:hAnsi="Times New Roman"/>
          <w:color w:val="auto"/>
        </w:rPr>
        <w:t>±</w:t>
      </w:r>
      <w:r>
        <w:rPr>
          <w:rFonts w:ascii="Times New Roman" w:hAnsi="Times New Roman"/>
          <w:color w:val="auto"/>
        </w:rPr>
        <w:t> </w:t>
      </w:r>
      <w:r w:rsidRPr="00C0308A">
        <w:rPr>
          <w:rFonts w:ascii="Times New Roman" w:hAnsi="Times New Roman"/>
          <w:color w:val="auto"/>
        </w:rPr>
        <w:t>SD, n</w:t>
      </w:r>
      <w:r>
        <w:rPr>
          <w:rFonts w:ascii="Times New Roman" w:hAnsi="Times New Roman"/>
          <w:color w:val="auto"/>
        </w:rPr>
        <w:t> </w:t>
      </w:r>
      <w:r w:rsidRPr="00C0308A">
        <w:rPr>
          <w:rFonts w:ascii="Times New Roman" w:hAnsi="Times New Roman"/>
          <w:color w:val="auto"/>
        </w:rPr>
        <w:t>=</w:t>
      </w:r>
      <w:r>
        <w:rPr>
          <w:rFonts w:ascii="Times New Roman" w:hAnsi="Times New Roman"/>
          <w:color w:val="auto"/>
        </w:rPr>
        <w:t> </w:t>
      </w:r>
      <w:r w:rsidRPr="00C0308A">
        <w:rPr>
          <w:rFonts w:ascii="Times New Roman" w:hAnsi="Times New Roman"/>
          <w:color w:val="auto"/>
        </w:rPr>
        <w:t>3, one-way ANOVA with Bonferroni post-hoc test, *** p</w:t>
      </w:r>
      <w:r>
        <w:rPr>
          <w:rFonts w:ascii="Times New Roman" w:hAnsi="Times New Roman"/>
          <w:color w:val="auto"/>
        </w:rPr>
        <w:t> </w:t>
      </w:r>
      <w:r w:rsidRPr="00C0308A">
        <w:rPr>
          <w:rFonts w:ascii="Times New Roman" w:hAnsi="Times New Roman"/>
          <w:color w:val="auto"/>
        </w:rPr>
        <w:t>&lt;</w:t>
      </w:r>
      <w:r>
        <w:rPr>
          <w:rFonts w:ascii="Times New Roman" w:hAnsi="Times New Roman"/>
          <w:color w:val="auto"/>
        </w:rPr>
        <w:t> </w:t>
      </w:r>
      <w:r w:rsidRPr="00C0308A">
        <w:rPr>
          <w:rFonts w:ascii="Times New Roman" w:hAnsi="Times New Roman"/>
          <w:color w:val="auto"/>
        </w:rPr>
        <w:t>0.005).</w:t>
      </w:r>
    </w:p>
    <w:p w14:paraId="4934A036" w14:textId="77777777" w:rsidR="003528A9" w:rsidRPr="0020659F" w:rsidRDefault="003528A9" w:rsidP="003528A9">
      <w:pPr>
        <w:pStyle w:val="MDPI21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Trypan quenching </w:t>
      </w:r>
    </w:p>
    <w:p w14:paraId="02F31B5A" w14:textId="77777777" w:rsidR="003528A9" w:rsidRDefault="003528A9" w:rsidP="003528A9">
      <w:pPr>
        <w:pStyle w:val="MDPI51figurecaption"/>
        <w:spacing w:line="360" w:lineRule="auto"/>
        <w:jc w:val="center"/>
        <w:rPr>
          <w:rFonts w:ascii="Times New Roman" w:hAnsi="Times New Roman"/>
          <w:color w:val="C45911" w:themeColor="accent2" w:themeShade="BF"/>
        </w:rPr>
      </w:pPr>
      <w:r>
        <w:rPr>
          <w:noProof/>
        </w:rPr>
        <w:object w:dxaOrig="5670" w:dyaOrig="5046" w14:anchorId="68513954">
          <v:shape id="_x0000_i1028" type="#_x0000_t75" alt="" style="width:225.75pt;height:201.75pt;mso-width-percent:0;mso-height-percent:0;mso-width-percent:0;mso-height-percent:0" o:ole="">
            <v:imagedata r:id="rId11" o:title=""/>
          </v:shape>
          <o:OLEObject Type="Embed" ProgID="Prism5.Document" ShapeID="_x0000_i1028" DrawAspect="Content" ObjectID="_1754232874" r:id="rId12"/>
        </w:object>
      </w:r>
    </w:p>
    <w:p w14:paraId="436CF61B" w14:textId="77777777" w:rsidR="003528A9" w:rsidRDefault="003528A9" w:rsidP="003528A9">
      <w:pPr>
        <w:pStyle w:val="MDPI51figurecaption"/>
        <w:spacing w:line="360" w:lineRule="auto"/>
        <w:rPr>
          <w:rFonts w:ascii="Times New Roman" w:hAnsi="Times New Roman"/>
          <w:color w:val="auto"/>
        </w:rPr>
      </w:pPr>
      <w:r w:rsidRPr="00E231AE">
        <w:rPr>
          <w:rFonts w:ascii="Times New Roman" w:hAnsi="Times New Roman"/>
          <w:b/>
          <w:color w:val="auto"/>
        </w:rPr>
        <w:t xml:space="preserve">Figure </w:t>
      </w:r>
      <w:r w:rsidRPr="007541A3">
        <w:rPr>
          <w:rFonts w:ascii="Times New Roman" w:hAnsi="Times New Roman"/>
          <w:b/>
          <w:color w:val="auto"/>
        </w:rPr>
        <w:t>S</w:t>
      </w:r>
      <w:r>
        <w:rPr>
          <w:rFonts w:ascii="Times New Roman" w:hAnsi="Times New Roman"/>
          <w:b/>
          <w:color w:val="auto"/>
        </w:rPr>
        <w:t>3</w:t>
      </w:r>
      <w:r w:rsidRPr="00E231AE">
        <w:rPr>
          <w:rFonts w:ascii="Times New Roman" w:hAnsi="Times New Roman"/>
          <w:b/>
          <w:color w:val="auto"/>
        </w:rPr>
        <w:t>.</w:t>
      </w:r>
      <w:r w:rsidRPr="00E231AE">
        <w:rPr>
          <w:rFonts w:ascii="Times New Roman" w:hAnsi="Times New Roman"/>
          <w:color w:val="auto"/>
        </w:rPr>
        <w:t xml:space="preserve"> Cellular uptake of uncoated PXs</w:t>
      </w:r>
      <w:r>
        <w:rPr>
          <w:rFonts w:ascii="Times New Roman" w:hAnsi="Times New Roman"/>
          <w:color w:val="auto"/>
        </w:rPr>
        <w:t xml:space="preserve"> and </w:t>
      </w:r>
      <w:r w:rsidRPr="00E231AE">
        <w:rPr>
          <w:rFonts w:ascii="Times New Roman" w:hAnsi="Times New Roman"/>
          <w:color w:val="auto"/>
        </w:rPr>
        <w:t>ApoE</w:t>
      </w:r>
      <w:r>
        <w:rPr>
          <w:rFonts w:ascii="Times New Roman" w:hAnsi="Times New Roman"/>
          <w:color w:val="auto"/>
        </w:rPr>
        <w:t xml:space="preserve"> coated PXs</w:t>
      </w:r>
      <w:r w:rsidRPr="00E231AE">
        <w:rPr>
          <w:rFonts w:ascii="Times New Roman" w:hAnsi="Times New Roman"/>
          <w:color w:val="auto"/>
        </w:rPr>
        <w:t xml:space="preserve"> after 24</w:t>
      </w:r>
      <w:r>
        <w:rPr>
          <w:rFonts w:ascii="Times New Roman" w:hAnsi="Times New Roman"/>
          <w:color w:val="auto"/>
        </w:rPr>
        <w:t xml:space="preserve"> </w:t>
      </w:r>
      <w:r w:rsidRPr="00E231AE">
        <w:rPr>
          <w:rFonts w:ascii="Times New Roman" w:hAnsi="Times New Roman"/>
          <w:color w:val="auto"/>
        </w:rPr>
        <w:t>h incubation as quantified by flow cytometry performed wi</w:t>
      </w:r>
      <w:r>
        <w:rPr>
          <w:rFonts w:ascii="Times New Roman" w:hAnsi="Times New Roman"/>
          <w:color w:val="auto"/>
        </w:rPr>
        <w:t>th and without</w:t>
      </w:r>
      <w:r w:rsidRPr="00E231AE">
        <w:rPr>
          <w:rFonts w:ascii="Times New Roman" w:hAnsi="Times New Roman"/>
          <w:color w:val="auto"/>
        </w:rPr>
        <w:t xml:space="preserve"> trypan quenching and presented as median fluorescence intensitiy (MFI). Negative control: untreated cells (blank) and with free siRNA treated cells. (Results are shown as mean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±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SD, n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=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 xml:space="preserve">3, </w:t>
      </w:r>
      <w:r>
        <w:rPr>
          <w:rFonts w:ascii="Times New Roman" w:hAnsi="Times New Roman"/>
          <w:color w:val="auto"/>
        </w:rPr>
        <w:t>two</w:t>
      </w:r>
      <w:r w:rsidRPr="00E231AE">
        <w:rPr>
          <w:rFonts w:ascii="Times New Roman" w:hAnsi="Times New Roman"/>
          <w:color w:val="auto"/>
        </w:rPr>
        <w:t>-way ANOVA with Bonferroni post-hoc test,</w:t>
      </w:r>
      <w:r>
        <w:rPr>
          <w:rFonts w:ascii="Times New Roman" w:hAnsi="Times New Roman"/>
          <w:color w:val="auto"/>
        </w:rPr>
        <w:t xml:space="preserve"> </w:t>
      </w:r>
      <w:r w:rsidRPr="007F17F9">
        <w:rPr>
          <w:rFonts w:ascii="Times New Roman" w:hAnsi="Times New Roman"/>
          <w:color w:val="auto"/>
        </w:rPr>
        <w:t>n.s (= not significant) p</w:t>
      </w:r>
      <w:r>
        <w:rPr>
          <w:rFonts w:ascii="Times New Roman" w:hAnsi="Times New Roman"/>
          <w:color w:val="auto"/>
        </w:rPr>
        <w:t> </w:t>
      </w:r>
      <w:r w:rsidRPr="007F17F9">
        <w:rPr>
          <w:rFonts w:ascii="Times New Roman" w:hAnsi="Times New Roman"/>
          <w:color w:val="auto"/>
        </w:rPr>
        <w:t>&gt;</w:t>
      </w:r>
      <w:r>
        <w:rPr>
          <w:rFonts w:ascii="Times New Roman" w:hAnsi="Times New Roman"/>
          <w:color w:val="auto"/>
        </w:rPr>
        <w:t> </w:t>
      </w:r>
      <w:r w:rsidRPr="007F17F9">
        <w:rPr>
          <w:rFonts w:ascii="Times New Roman" w:hAnsi="Times New Roman"/>
          <w:color w:val="auto"/>
        </w:rPr>
        <w:t>0.05</w:t>
      </w:r>
      <w:r>
        <w:rPr>
          <w:rFonts w:ascii="Times New Roman" w:hAnsi="Times New Roman"/>
          <w:color w:val="auto"/>
        </w:rPr>
        <w:t>,</w:t>
      </w:r>
      <w:r w:rsidRPr="00E231AE">
        <w:rPr>
          <w:rFonts w:ascii="Times New Roman" w:hAnsi="Times New Roman"/>
          <w:color w:val="auto"/>
        </w:rPr>
        <w:t xml:space="preserve"> *</w:t>
      </w:r>
      <w:r>
        <w:rPr>
          <w:rFonts w:ascii="Times New Roman" w:hAnsi="Times New Roman"/>
          <w:color w:val="auto"/>
        </w:rPr>
        <w:t xml:space="preserve"> </w:t>
      </w:r>
      <w:r w:rsidRPr="00E231AE">
        <w:rPr>
          <w:rFonts w:ascii="Times New Roman" w:hAnsi="Times New Roman"/>
          <w:color w:val="auto"/>
        </w:rPr>
        <w:t>p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&lt;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0.05, ***</w:t>
      </w:r>
      <w:r>
        <w:rPr>
          <w:rFonts w:ascii="Times New Roman" w:hAnsi="Times New Roman"/>
          <w:color w:val="auto"/>
        </w:rPr>
        <w:t xml:space="preserve"> </w:t>
      </w:r>
      <w:r w:rsidRPr="00E231AE">
        <w:rPr>
          <w:rFonts w:ascii="Times New Roman" w:hAnsi="Times New Roman"/>
          <w:color w:val="auto"/>
        </w:rPr>
        <w:t>p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&lt;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0.005).</w:t>
      </w:r>
    </w:p>
    <w:p w14:paraId="462A3C4F" w14:textId="77777777" w:rsidR="003528A9" w:rsidRPr="0020659F" w:rsidRDefault="003528A9" w:rsidP="003528A9">
      <w:pPr>
        <w:pStyle w:val="MDPI21heading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Influence of PS80 caoting on celllar uptake efficacy </w:t>
      </w:r>
    </w:p>
    <w:p w14:paraId="5D586CA7" w14:textId="77777777" w:rsidR="003528A9" w:rsidRPr="00DE7D7D" w:rsidRDefault="003528A9" w:rsidP="003528A9">
      <w:pPr>
        <w:pStyle w:val="MDPI51figurecaption"/>
        <w:spacing w:line="360" w:lineRule="auto"/>
        <w:rPr>
          <w:rFonts w:ascii="Times New Roman" w:hAnsi="Times New Roman"/>
          <w:color w:val="auto"/>
        </w:rPr>
      </w:pPr>
    </w:p>
    <w:p w14:paraId="244D2739" w14:textId="77777777" w:rsidR="003528A9" w:rsidRPr="00A9335B" w:rsidRDefault="003528A9" w:rsidP="003528A9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object w:dxaOrig="5670" w:dyaOrig="4763" w14:anchorId="0F112715">
          <v:shape id="_x0000_i1029" type="#_x0000_t75" alt="" style="width:232.5pt;height:195.75pt;mso-width-percent:0;mso-height-percent:0;mso-width-percent:0;mso-height-percent:0" o:ole="">
            <v:imagedata r:id="rId13" o:title=""/>
          </v:shape>
          <o:OLEObject Type="Embed" ProgID="Prism5.Document" ShapeID="_x0000_i1029" DrawAspect="Content" ObjectID="_1754232875" r:id="rId14"/>
        </w:object>
      </w:r>
    </w:p>
    <w:p w14:paraId="3EE68668" w14:textId="77777777" w:rsidR="003528A9" w:rsidRPr="003D16F7" w:rsidRDefault="003528A9" w:rsidP="003528A9">
      <w:pPr>
        <w:pStyle w:val="MDPI51figurecaption"/>
        <w:spacing w:line="360" w:lineRule="auto"/>
        <w:rPr>
          <w:rFonts w:ascii="Times New Roman" w:hAnsi="Times New Roman"/>
          <w:color w:val="auto"/>
        </w:rPr>
      </w:pPr>
      <w:r w:rsidRPr="00E231AE">
        <w:rPr>
          <w:rFonts w:ascii="Times New Roman" w:hAnsi="Times New Roman"/>
          <w:b/>
          <w:color w:val="auto"/>
        </w:rPr>
        <w:t xml:space="preserve">Figure </w:t>
      </w:r>
      <w:r w:rsidRPr="007541A3">
        <w:rPr>
          <w:rFonts w:ascii="Times New Roman" w:hAnsi="Times New Roman"/>
          <w:b/>
          <w:color w:val="auto"/>
        </w:rPr>
        <w:t>S</w:t>
      </w:r>
      <w:r>
        <w:rPr>
          <w:rFonts w:ascii="Times New Roman" w:hAnsi="Times New Roman"/>
          <w:b/>
          <w:color w:val="auto"/>
        </w:rPr>
        <w:t>4</w:t>
      </w:r>
      <w:r w:rsidRPr="00E231AE">
        <w:rPr>
          <w:rFonts w:ascii="Times New Roman" w:hAnsi="Times New Roman"/>
          <w:b/>
          <w:color w:val="auto"/>
        </w:rPr>
        <w:t>.</w:t>
      </w:r>
      <w:r w:rsidRPr="00E231AE">
        <w:rPr>
          <w:rFonts w:ascii="Times New Roman" w:hAnsi="Times New Roman"/>
          <w:color w:val="auto"/>
        </w:rPr>
        <w:t xml:space="preserve"> Cellular uptake of uncoated</w:t>
      </w:r>
      <w:r>
        <w:rPr>
          <w:rFonts w:ascii="Times New Roman" w:hAnsi="Times New Roman"/>
          <w:color w:val="auto"/>
        </w:rPr>
        <w:t xml:space="preserve"> </w:t>
      </w:r>
      <w:r w:rsidRPr="00E231AE">
        <w:rPr>
          <w:rFonts w:ascii="Times New Roman" w:hAnsi="Times New Roman"/>
          <w:color w:val="auto"/>
        </w:rPr>
        <w:t>b-PEI</w:t>
      </w:r>
      <w:r>
        <w:rPr>
          <w:rFonts w:ascii="Times New Roman" w:hAnsi="Times New Roman"/>
          <w:color w:val="auto"/>
        </w:rPr>
        <w:t xml:space="preserve"> </w:t>
      </w:r>
      <w:r w:rsidRPr="00E231AE">
        <w:rPr>
          <w:rFonts w:ascii="Times New Roman" w:hAnsi="Times New Roman"/>
          <w:color w:val="auto"/>
        </w:rPr>
        <w:t>and PS8</w:t>
      </w:r>
      <w:r>
        <w:rPr>
          <w:rFonts w:ascii="Times New Roman" w:hAnsi="Times New Roman"/>
          <w:color w:val="auto"/>
        </w:rPr>
        <w:t>0-</w:t>
      </w:r>
      <w:r w:rsidRPr="00E231AE">
        <w:rPr>
          <w:rFonts w:ascii="Times New Roman" w:hAnsi="Times New Roman"/>
          <w:color w:val="auto"/>
        </w:rPr>
        <w:t>b-PEI PXs (b-PEI PXs: N/P ratio</w:t>
      </w:r>
      <w:r>
        <w:rPr>
          <w:rFonts w:ascii="Times New Roman" w:hAnsi="Times New Roman"/>
          <w:color w:val="auto"/>
        </w:rPr>
        <w:t xml:space="preserve"> </w:t>
      </w:r>
      <w:r w:rsidRPr="00E231AE">
        <w:rPr>
          <w:rFonts w:ascii="Times New Roman" w:hAnsi="Times New Roman"/>
          <w:color w:val="auto"/>
        </w:rPr>
        <w:t>7</w:t>
      </w:r>
      <w:r>
        <w:rPr>
          <w:rFonts w:ascii="Times New Roman" w:hAnsi="Times New Roman"/>
          <w:color w:val="auto"/>
        </w:rPr>
        <w:t xml:space="preserve">, final PS80 concentration = 0.1%) </w:t>
      </w:r>
      <w:r w:rsidRPr="00E231AE">
        <w:rPr>
          <w:rFonts w:ascii="Times New Roman" w:hAnsi="Times New Roman"/>
          <w:color w:val="auto"/>
        </w:rPr>
        <w:t>after 24</w:t>
      </w:r>
      <w:r>
        <w:rPr>
          <w:rFonts w:ascii="Times New Roman" w:hAnsi="Times New Roman"/>
          <w:color w:val="auto"/>
        </w:rPr>
        <w:t xml:space="preserve"> </w:t>
      </w:r>
      <w:r w:rsidRPr="00E231AE">
        <w:rPr>
          <w:rFonts w:ascii="Times New Roman" w:hAnsi="Times New Roman"/>
          <w:color w:val="auto"/>
        </w:rPr>
        <w:t xml:space="preserve">h incubation as quantified by flow cytometry and presented as median fluorescence </w:t>
      </w:r>
      <w:r w:rsidRPr="00E231AE">
        <w:rPr>
          <w:rFonts w:ascii="Times New Roman" w:hAnsi="Times New Roman"/>
          <w:color w:val="auto"/>
        </w:rPr>
        <w:lastRenderedPageBreak/>
        <w:t>intensitiy (MFI). Negative control: untreated cells (blank) and with free siRNA treated cells.</w:t>
      </w:r>
      <w:r>
        <w:rPr>
          <w:rFonts w:ascii="Times New Roman" w:hAnsi="Times New Roman"/>
          <w:color w:val="auto"/>
        </w:rPr>
        <w:t xml:space="preserve"> Positive control: Lipofectamin 2000 lipoplexes (LF).</w:t>
      </w:r>
      <w:r w:rsidRPr="00E231AE">
        <w:rPr>
          <w:rFonts w:ascii="Times New Roman" w:hAnsi="Times New Roman"/>
          <w:color w:val="auto"/>
        </w:rPr>
        <w:t xml:space="preserve"> (Results are shown as mean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±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SD, n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=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 xml:space="preserve">3, one-way ANOVA with Bonferroni post-hoc test, </w:t>
      </w:r>
      <w:r w:rsidRPr="007F17F9">
        <w:rPr>
          <w:rFonts w:ascii="Times New Roman" w:hAnsi="Times New Roman"/>
          <w:color w:val="auto"/>
        </w:rPr>
        <w:t>n.s (= not significant) p</w:t>
      </w:r>
      <w:r>
        <w:rPr>
          <w:rFonts w:ascii="Times New Roman" w:hAnsi="Times New Roman"/>
          <w:color w:val="auto"/>
        </w:rPr>
        <w:t> </w:t>
      </w:r>
      <w:r w:rsidRPr="007F17F9">
        <w:rPr>
          <w:rFonts w:ascii="Times New Roman" w:hAnsi="Times New Roman"/>
          <w:color w:val="auto"/>
        </w:rPr>
        <w:t>&gt;</w:t>
      </w:r>
      <w:r>
        <w:rPr>
          <w:rFonts w:ascii="Times New Roman" w:hAnsi="Times New Roman"/>
          <w:color w:val="auto"/>
        </w:rPr>
        <w:t> </w:t>
      </w:r>
      <w:r w:rsidRPr="007F17F9">
        <w:rPr>
          <w:rFonts w:ascii="Times New Roman" w:hAnsi="Times New Roman"/>
          <w:color w:val="auto"/>
        </w:rPr>
        <w:t>0.05</w:t>
      </w:r>
      <w:r w:rsidRPr="00E231AE">
        <w:rPr>
          <w:rFonts w:ascii="Times New Roman" w:hAnsi="Times New Roman"/>
          <w:color w:val="auto"/>
        </w:rPr>
        <w:t>, *** p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&lt;</w:t>
      </w:r>
      <w:r>
        <w:rPr>
          <w:rFonts w:ascii="Times New Roman" w:hAnsi="Times New Roman"/>
          <w:color w:val="auto"/>
        </w:rPr>
        <w:t> </w:t>
      </w:r>
      <w:r w:rsidRPr="00E231AE">
        <w:rPr>
          <w:rFonts w:ascii="Times New Roman" w:hAnsi="Times New Roman"/>
          <w:color w:val="auto"/>
        </w:rPr>
        <w:t>0.005).</w:t>
      </w:r>
    </w:p>
    <w:p w14:paraId="0DC1116B" w14:textId="77777777" w:rsidR="00CA67E5" w:rsidRDefault="003528A9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E6748A"/>
    <w:multiLevelType w:val="hybridMultilevel"/>
    <w:tmpl w:val="917811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8A9"/>
    <w:rsid w:val="003528A9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4CE18"/>
  <w15:chartTrackingRefBased/>
  <w15:docId w15:val="{BE5D8650-A9E8-41B4-A894-6F58D5327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8A9"/>
    <w:pPr>
      <w:spacing w:after="0" w:line="360" w:lineRule="auto"/>
      <w:jc w:val="both"/>
    </w:pPr>
    <w:rPr>
      <w:rFonts w:eastAsiaTheme="minorEastAsia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22heading2">
    <w:name w:val="MDPI_2.2_heading2"/>
    <w:basedOn w:val="Normal"/>
    <w:qFormat/>
    <w:rsid w:val="003528A9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val="en-US" w:eastAsia="de-DE" w:bidi="en-US"/>
    </w:rPr>
  </w:style>
  <w:style w:type="paragraph" w:customStyle="1" w:styleId="MDPI51figurecaption">
    <w:name w:val="MDPI_5.1_figure_caption"/>
    <w:basedOn w:val="Normal"/>
    <w:qFormat/>
    <w:rsid w:val="003528A9"/>
    <w:pPr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sz w:val="18"/>
      <w:szCs w:val="20"/>
      <w:lang w:val="en-US" w:eastAsia="de-DE" w:bidi="en-US"/>
    </w:rPr>
  </w:style>
  <w:style w:type="table" w:styleId="TableGrid">
    <w:name w:val="Table Grid"/>
    <w:basedOn w:val="TableNormal"/>
    <w:uiPriority w:val="39"/>
    <w:rsid w:val="003528A9"/>
    <w:pPr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PI21heading1">
    <w:name w:val="MDPI_2.1_heading1"/>
    <w:basedOn w:val="Normal"/>
    <w:qFormat/>
    <w:rsid w:val="003528A9"/>
    <w:pPr>
      <w:adjustRightInd w:val="0"/>
      <w:snapToGrid w:val="0"/>
      <w:spacing w:before="240" w:after="120" w:line="260" w:lineRule="atLeast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val="en-US" w:eastAsia="de-DE" w:bidi="en-US"/>
    </w:rPr>
  </w:style>
  <w:style w:type="paragraph" w:styleId="ListParagraph">
    <w:name w:val="List Paragraph"/>
    <w:basedOn w:val="Normal"/>
    <w:uiPriority w:val="34"/>
    <w:qFormat/>
    <w:rsid w:val="003528A9"/>
    <w:pPr>
      <w:spacing w:after="200" w:line="276" w:lineRule="auto"/>
      <w:ind w:left="720"/>
      <w:contextualSpacing/>
      <w:jc w:val="left"/>
    </w:pPr>
    <w:rPr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qFormat/>
    <w:rsid w:val="003528A9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Zchn"/>
    <w:qFormat/>
    <w:rsid w:val="003528A9"/>
    <w:pPr>
      <w:suppressAutoHyphens/>
      <w:spacing w:line="240" w:lineRule="auto"/>
      <w:jc w:val="center"/>
    </w:pPr>
    <w:rPr>
      <w:rFonts w:ascii="Calibri" w:eastAsiaTheme="minorHAns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335</Words>
  <Characters>1912</Characters>
  <Application>Microsoft Office Word</Application>
  <DocSecurity>0</DocSecurity>
  <Lines>15</Lines>
  <Paragraphs>4</Paragraphs>
  <ScaleCrop>false</ScaleCrop>
  <Company>Springer Nature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2023-08-22T12:38:00Z</dcterms:created>
  <dcterms:modified xsi:type="dcterms:W3CDTF">2023-08-22T12:38:00Z</dcterms:modified>
</cp:coreProperties>
</file>