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62" w:afterLines="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4"/>
        </w:rPr>
        <w:t>Supplementary</w:t>
      </w:r>
      <w:r>
        <w:rPr>
          <w:rFonts w:hint="eastAsia" w:ascii="Times New Roman" w:hAnsi="Times New Roman" w:cs="Times New Roman"/>
          <w:b/>
          <w:bCs/>
          <w:i/>
          <w:iCs/>
          <w:kern w:val="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kern w:val="0"/>
          <w:sz w:val="24"/>
        </w:rPr>
        <w:t>Table 1.</w:t>
      </w:r>
      <w:r>
        <w:rPr>
          <w:rFonts w:ascii="Times New Roman" w:hAnsi="Times New Roman" w:cs="Times New Roman"/>
          <w:kern w:val="0"/>
          <w:sz w:val="24"/>
        </w:rPr>
        <w:t xml:space="preserve"> Characteristics of 504 GISTs.</w:t>
      </w:r>
    </w:p>
    <w:tbl>
      <w:tblPr>
        <w:tblStyle w:val="3"/>
        <w:tblW w:w="654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3"/>
        <w:gridCol w:w="299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2995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GIST(n=504)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2995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58.59</w:t>
            </w:r>
            <m:oMath>
              <m:r>
                <m:rPr/>
                <w:rPr>
                  <w:rFonts w:ascii="Cambria Math" w:hAnsi="Cambria Math" w:cs="Times New Roman"/>
                  <w:szCs w:val="21"/>
                </w:rPr>
                <m:t>±</m:t>
              </m:r>
            </m:oMath>
            <w:r>
              <w:rPr>
                <w:rFonts w:ascii="Times New Roman" w:hAnsi="Times New Roman" w:cs="Times New Roman"/>
                <w:szCs w:val="21"/>
              </w:rPr>
              <w:t>10.91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&lt;60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269 (53.4)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>
              <m:r>
                <m:rPr/>
                <w:rPr>
                  <w:rFonts w:ascii="Cambria Math" w:hAnsi="Cambria Math" w:cs="Times New Roman"/>
                  <w:szCs w:val="21"/>
                </w:rPr>
                <m:t>≥</m:t>
              </m:r>
            </m:oMath>
            <w:r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235 (46.6)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BMI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18.5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 (7.7)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18.5-23.9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299 (59.3)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>
              <m:r>
                <m:rPr/>
                <w:rPr>
                  <w:rFonts w:ascii="Cambria Math" w:hAnsi="Cambria Math" w:cs="Times New Roman"/>
                  <w:szCs w:val="21"/>
                </w:rPr>
                <m:t>≥</m:t>
              </m:r>
            </m:oMath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166 (32.9)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248 (49.2)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256 (50.8)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Smoking history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372 (73.8)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132 (26.2)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Drinking history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417 (82.7)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87 (17.3)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Tumor location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Stomach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308 (61.1)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Small bowel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129 (25.6)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Colorectum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 (4.2)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Others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 (9.1)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Tumor size (cm)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&lt;5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255 (44.6)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5-10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186 (36.9)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&gt;10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93 (18.5)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Mitotic count (/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 HPF)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≤5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380(75.4)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&gt;5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124(24.6)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Risk stratification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Very low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 (16.9)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126 (25.0)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Middle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 (14.9)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218 (43.3)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Infiltration of surrounding organs or tissues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458 (90.9)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 (9.1)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Synchronous metastasis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480 (95.2)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 (4.8)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Recurrence or metastasis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452 (89.7)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 (10.3)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Drug therapy 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220 (43.7)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99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284 (56.3)</w:t>
            </w:r>
          </w:p>
        </w:tc>
      </w:tr>
    </w:tbl>
    <w:p>
      <w:pPr>
        <w:rPr>
          <w:rFonts w:hint="default" w:ascii="Times New Roman" w:hAnsi="Times New Roman" w:cs="Times New Roman"/>
          <w:kern w:val="0"/>
          <w:sz w:val="24"/>
          <w:lang w:val="en-US" w:eastAsia="zh-CN"/>
        </w:rPr>
      </w:pPr>
    </w:p>
    <w:p>
      <w:pPr>
        <w:rPr>
          <w:rFonts w:hint="default" w:ascii="Times New Roman" w:hAnsi="Times New Roman" w:cs="Times New Roman"/>
          <w:kern w:val="0"/>
          <w:sz w:val="24"/>
          <w:lang w:val="en-US" w:eastAsia="zh-CN"/>
        </w:rPr>
      </w:pPr>
    </w:p>
    <w:p>
      <w:pPr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4"/>
        </w:rPr>
        <w:t>Supplementary</w:t>
      </w:r>
      <w:r>
        <w:rPr>
          <w:rFonts w:hint="eastAsia" w:ascii="Times New Roman" w:hAnsi="Times New Roman" w:cs="Times New Roman"/>
          <w:b/>
          <w:bCs/>
          <w:i/>
          <w:iCs/>
          <w:kern w:val="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kern w:val="0"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i/>
          <w:iCs/>
          <w:kern w:val="0"/>
          <w:sz w:val="24"/>
        </w:rPr>
        <w:t>2</w:t>
      </w:r>
      <w:r>
        <w:rPr>
          <w:rFonts w:ascii="Times New Roman" w:hAnsi="Times New Roman" w:cs="Times New Roman"/>
          <w:b/>
          <w:bCs/>
          <w:i/>
          <w:iCs/>
          <w:kern w:val="0"/>
          <w:sz w:val="24"/>
        </w:rPr>
        <w:t xml:space="preserve">. </w:t>
      </w:r>
      <w:r>
        <w:rPr>
          <w:rFonts w:ascii="Times New Roman" w:hAnsi="Times New Roman" w:cs="Times New Roman"/>
          <w:kern w:val="0"/>
          <w:sz w:val="24"/>
        </w:rPr>
        <w:t xml:space="preserve">Patients' clinicopathological characteristics after PSM </w:t>
      </w:r>
    </w:p>
    <w:tbl>
      <w:tblPr>
        <w:tblStyle w:val="3"/>
        <w:tblW w:w="671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1366"/>
        <w:gridCol w:w="1493"/>
        <w:gridCol w:w="130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Baseline characteristics</w:t>
            </w:r>
          </w:p>
        </w:tc>
        <w:tc>
          <w:tcPr>
            <w:tcW w:w="1366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Stomach 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(n=124)</w:t>
            </w:r>
          </w:p>
        </w:tc>
        <w:tc>
          <w:tcPr>
            <w:tcW w:w="1493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Small bowel (n=124)</w:t>
            </w:r>
          </w:p>
        </w:tc>
        <w:tc>
          <w:tcPr>
            <w:tcW w:w="1305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546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1366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5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&lt;60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 (64.5)</w:t>
            </w: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 (62.9)</w:t>
            </w: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4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>
              <m:r>
                <m:rPr/>
                <w:rPr>
                  <w:rFonts w:ascii="Cambria Math" w:hAnsi="Cambria Math" w:cs="Times New Roman"/>
                  <w:szCs w:val="21"/>
                </w:rPr>
                <m:t>≥</m:t>
              </m:r>
            </m:oMath>
            <w:r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 (35.5)</w:t>
            </w: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 (37.1)</w:t>
            </w: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54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 (54.0)</w:t>
            </w: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61 (49.2)</w:t>
            </w: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 (46.0)</w:t>
            </w: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 (50.8)</w:t>
            </w: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Tumor size (cm)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4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&lt;5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 (33.9)</w:t>
            </w: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 (28.2)</w:t>
            </w: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5-10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 (51.6)</w:t>
            </w: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 (53.2)</w:t>
            </w: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&gt;10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 (14.5)</w:t>
            </w: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 (18.5)</w:t>
            </w: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Mitotic count (/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HPF)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≤5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 (69.4%)</w:t>
            </w: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 (67.7%)</w:t>
            </w: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&gt;5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 (30.6%)</w:t>
            </w: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 (32.3%)</w:t>
            </w: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Risk stratification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Very low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+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 (29.8%)</w:t>
            </w: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 (26.6%)</w:t>
            </w: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Middle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+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87 (70.2%)</w:t>
            </w: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91 (73.4%)</w:t>
            </w: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46" w:type="dxa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Drug therapy </w:t>
            </w:r>
          </w:p>
        </w:tc>
        <w:tc>
          <w:tcPr>
            <w:tcW w:w="1366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0" w:type="auto"/>
          </w:tcPr>
          <w:p>
            <w:pPr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 (40.3%)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 (40.3%)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0" w:type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 (59.7%)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 (59.7%)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ind w:firstLine="420"/>
        <w:jc w:val="left"/>
        <w:rPr>
          <w:rFonts w:ascii="Times New Roman" w:hAnsi="Times New Roman" w:cs="Times New Roman"/>
          <w:kern w:val="0"/>
          <w:sz w:val="24"/>
        </w:rPr>
      </w:pPr>
    </w:p>
    <w:p>
      <w:pPr>
        <w:autoSpaceDE w:val="0"/>
        <w:autoSpaceDN w:val="0"/>
        <w:adjustRightInd w:val="0"/>
        <w:ind w:firstLine="420"/>
        <w:jc w:val="left"/>
        <w:rPr>
          <w:rFonts w:ascii="Times New Roman" w:hAnsi="Times New Roman" w:cs="Times New Roman"/>
          <w:kern w:val="0"/>
          <w:sz w:val="24"/>
        </w:rPr>
      </w:pPr>
      <w:bookmarkStart w:id="0" w:name="_GoBack"/>
      <w:bookmarkEnd w:id="0"/>
    </w:p>
    <w:p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4"/>
        </w:rPr>
        <w:t>Supplementary</w:t>
      </w:r>
      <w:r>
        <w:rPr>
          <w:rFonts w:hint="eastAsia" w:ascii="Times New Roman" w:hAnsi="Times New Roman" w:cs="Times New Roman"/>
          <w:b/>
          <w:bCs/>
          <w:i/>
          <w:iCs/>
          <w:kern w:val="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kern w:val="0"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i/>
          <w:iCs/>
          <w:kern w:val="0"/>
          <w:sz w:val="24"/>
        </w:rPr>
        <w:t>3</w:t>
      </w:r>
      <w:r>
        <w:rPr>
          <w:rFonts w:ascii="Times New Roman" w:hAnsi="Times New Roman" w:cs="Times New Roman"/>
          <w:b/>
          <w:bCs/>
          <w:i/>
          <w:iCs/>
          <w:kern w:val="0"/>
          <w:sz w:val="24"/>
        </w:rPr>
        <w:t>.</w:t>
      </w:r>
      <w:r>
        <w:rPr>
          <w:rFonts w:ascii="Times New Roman" w:hAnsi="Times New Roman" w:cs="Times New Roman"/>
          <w:kern w:val="0"/>
          <w:sz w:val="24"/>
        </w:rPr>
        <w:t xml:space="preserve"> Risk factors of OS in 24</w:t>
      </w:r>
      <w:r>
        <w:rPr>
          <w:rFonts w:hint="eastAsia" w:ascii="Times New Roman" w:hAnsi="Times New Roman" w:cs="Times New Roman"/>
          <w:kern w:val="0"/>
          <w:sz w:val="24"/>
        </w:rPr>
        <w:t>8</w:t>
      </w:r>
      <w:r>
        <w:rPr>
          <w:rFonts w:ascii="Times New Roman" w:hAnsi="Times New Roman" w:cs="Times New Roman"/>
          <w:kern w:val="0"/>
          <w:sz w:val="24"/>
        </w:rPr>
        <w:t xml:space="preserve"> GIST patients after PSM, according to the univariate and multivariate Cox analysis</w:t>
      </w:r>
    </w:p>
    <w:tbl>
      <w:tblPr>
        <w:tblStyle w:val="3"/>
        <w:tblpPr w:leftFromText="180" w:rightFromText="180" w:vertAnchor="text" w:horzAnchor="page" w:tblpX="1781" w:tblpY="303"/>
        <w:tblOverlap w:val="never"/>
        <w:tblW w:w="854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2053"/>
        <w:gridCol w:w="974"/>
        <w:gridCol w:w="2052"/>
        <w:gridCol w:w="86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95" w:type="dxa"/>
            <w:tcBorders>
              <w:top w:val="single" w:color="auto" w:sz="12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Variables</w:t>
            </w:r>
          </w:p>
        </w:tc>
        <w:tc>
          <w:tcPr>
            <w:tcW w:w="3027" w:type="dxa"/>
            <w:gridSpan w:val="2"/>
            <w:tcBorders>
              <w:top w:val="single" w:color="auto" w:sz="12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Univariate</w:t>
            </w:r>
          </w:p>
        </w:tc>
        <w:tc>
          <w:tcPr>
            <w:tcW w:w="2920" w:type="dxa"/>
            <w:gridSpan w:val="2"/>
            <w:tcBorders>
              <w:top w:val="single" w:color="auto" w:sz="12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Multivariate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053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HR (95%CI)</w:t>
            </w:r>
          </w:p>
        </w:tc>
        <w:tc>
          <w:tcPr>
            <w:tcW w:w="974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052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HR (95%CI)</w:t>
            </w:r>
          </w:p>
        </w:tc>
        <w:tc>
          <w:tcPr>
            <w:tcW w:w="868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Gender (female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 xml:space="preserve"> vs. male)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0.499 (0.223-1.117)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0.091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BMI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0.195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18.5</w:t>
            </w:r>
          </w:p>
        </w:tc>
        <w:tc>
          <w:tcPr>
            <w:tcW w:w="2053" w:type="dxa"/>
          </w:tcPr>
          <w:p>
            <w:pPr>
              <w:tabs>
                <w:tab w:val="left" w:pos="502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Ref.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ab/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18.5-23.9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0.434 (0.120-1.565)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0.202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m:oMath>
              <m:r>
                <m:rPr/>
                <w:rPr>
                  <w:rFonts w:ascii="Cambria Math" w:hAnsi="Cambria Math" w:cs="Times New Roman"/>
                  <w:szCs w:val="21"/>
                </w:rPr>
                <m:t>≥</m:t>
              </m:r>
            </m:oMath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0.843 (0.241-2.950)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0.789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 (</w:t>
            </w:r>
            <w:r>
              <w:rPr>
                <w:rFonts w:ascii="Times New Roman" w:hAnsi="Times New Roman" w:eastAsia="等线" w:cs="Times New Roman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60 years vs. </w:t>
            </w:r>
            <m:oMath>
              <m:r>
                <m:rPr/>
                <w:rPr>
                  <w:rFonts w:ascii="Cambria Math" w:hAnsi="Cambria Math" w:cs="Times New Roman"/>
                  <w:szCs w:val="21"/>
                </w:rPr>
                <m:t>≥</m:t>
              </m:r>
            </m:oMath>
            <w:r>
              <w:rPr>
                <w:rFonts w:ascii="Times New Roman" w:hAnsi="Times New Roman" w:cs="Times New Roman"/>
                <w:szCs w:val="21"/>
              </w:rPr>
              <w:t>60 years)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0.416 (0.196-0.882)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0.022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0.604 (0.272-1.341)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0.215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Smoking history (</w:t>
            </w:r>
            <w:r>
              <w:rPr>
                <w:rFonts w:ascii="Times New Roman" w:hAnsi="Times New Roman" w:eastAsia="等线" w:cs="Times New Roman"/>
                <w:szCs w:val="21"/>
              </w:rPr>
              <w:t>yes</w:t>
            </w:r>
            <w:r>
              <w:rPr>
                <w:rFonts w:ascii="Times New Roman" w:hAnsi="Times New Roman" w:cs="Times New Roman"/>
                <w:szCs w:val="21"/>
              </w:rPr>
              <w:t xml:space="preserve"> vs. no)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0.629 (0.282-1.402)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0.256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Drinking history (</w:t>
            </w:r>
            <w:r>
              <w:rPr>
                <w:rFonts w:ascii="Times New Roman" w:hAnsi="Times New Roman" w:eastAsia="等线" w:cs="Times New Roman"/>
                <w:szCs w:val="21"/>
              </w:rPr>
              <w:t>yes</w:t>
            </w:r>
            <w:r>
              <w:rPr>
                <w:rFonts w:ascii="Times New Roman" w:hAnsi="Times New Roman" w:cs="Times New Roman"/>
                <w:szCs w:val="21"/>
              </w:rPr>
              <w:t xml:space="preserve"> vs. no)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0.960 (0.387-2.378)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0.929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Tumor location (s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mall bowel </w:t>
            </w:r>
            <w:r>
              <w:rPr>
                <w:rFonts w:ascii="Times New Roman" w:hAnsi="Times New Roman" w:cs="Times New Roman"/>
                <w:szCs w:val="21"/>
              </w:rPr>
              <w:t>vs. stomach</w:t>
            </w:r>
            <w:r>
              <w:rPr>
                <w:rFonts w:ascii="Times New Roman" w:hAnsi="Times New Roman" w:eastAsia="等线" w:cs="Times New Roman"/>
                <w:szCs w:val="21"/>
              </w:rPr>
              <w:t>)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3.519 (1.209-10.246)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0.021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3.735 (1.279-10.908)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0.016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Tumor size (cm)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0.344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&lt;5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Ref.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5-10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2.120 (0.619-7.257)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0.232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&gt;10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2.752 (0.706-10.727)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0.145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Mitotic count (&gt;5 vs. ≤5/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50</w:t>
            </w: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HPF)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3.861 (1.773-8.410)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0.001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5.138 (1.948-13.548)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Risk stratification </w:t>
            </w:r>
            <w:r>
              <w:rPr>
                <w:rFonts w:ascii="Times New Roman" w:hAnsi="Times New Roman" w:cs="Times New Roman"/>
                <w:szCs w:val="21"/>
              </w:rPr>
              <w:t>(v</w:t>
            </w:r>
            <w:r>
              <w:rPr>
                <w:rFonts w:ascii="Times New Roman" w:hAnsi="Times New Roman" w:eastAsia="等线" w:cs="Times New Roman"/>
                <w:szCs w:val="21"/>
              </w:rPr>
              <w:t>ery low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+</w:t>
            </w:r>
            <w:r>
              <w:rPr>
                <w:rFonts w:ascii="Times New Roman" w:hAnsi="Times New Roman" w:eastAsia="等线" w:cs="Times New Roman"/>
                <w:szCs w:val="21"/>
              </w:rPr>
              <w:t xml:space="preserve">low </w:t>
            </w:r>
            <w:r>
              <w:rPr>
                <w:rFonts w:ascii="Times New Roman" w:hAnsi="Times New Roman" w:cs="Times New Roman"/>
                <w:szCs w:val="21"/>
              </w:rPr>
              <w:t xml:space="preserve">vs. </w:t>
            </w:r>
            <w:r>
              <w:rPr>
                <w:rFonts w:hint="eastAsia"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iddle</w:t>
            </w:r>
            <w:r>
              <w:rPr>
                <w:rFonts w:hint="eastAsia" w:ascii="Times New Roman" w:hAnsi="Times New Roman" w:cs="Times New Roman"/>
                <w:szCs w:val="21"/>
              </w:rPr>
              <w:t>+</w:t>
            </w:r>
            <w:r>
              <w:rPr>
                <w:rFonts w:ascii="Times New Roman" w:hAnsi="Times New Roman" w:cs="Times New Roman"/>
                <w:szCs w:val="21"/>
              </w:rPr>
              <w:t>high)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0.453 (0.136-1.504)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0.196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Infiltration of surrounding organs or tissues (</w:t>
            </w:r>
            <w:r>
              <w:rPr>
                <w:rFonts w:ascii="Times New Roman" w:hAnsi="Times New Roman" w:eastAsia="等线" w:cs="Times New Roman"/>
                <w:szCs w:val="21"/>
              </w:rPr>
              <w:t>yes</w:t>
            </w:r>
            <w:r>
              <w:rPr>
                <w:rFonts w:ascii="Times New Roman" w:hAnsi="Times New Roman" w:cs="Times New Roman"/>
                <w:szCs w:val="21"/>
              </w:rPr>
              <w:t xml:space="preserve"> vs. no)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1.654 (0.497-5.510)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0.412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5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Drug therapy (</w:t>
            </w:r>
            <w:r>
              <w:rPr>
                <w:rFonts w:ascii="Times New Roman" w:hAnsi="Times New Roman" w:eastAsia="等线" w:cs="Times New Roman"/>
                <w:szCs w:val="21"/>
              </w:rPr>
              <w:t>yes</w:t>
            </w:r>
            <w:r>
              <w:rPr>
                <w:rFonts w:ascii="Times New Roman" w:hAnsi="Times New Roman" w:cs="Times New Roman"/>
                <w:szCs w:val="21"/>
              </w:rPr>
              <w:t xml:space="preserve"> vs. no)</w:t>
            </w:r>
          </w:p>
        </w:tc>
        <w:tc>
          <w:tcPr>
            <w:tcW w:w="205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0.991 (0.457-2.149)</w:t>
            </w:r>
          </w:p>
        </w:tc>
        <w:tc>
          <w:tcPr>
            <w:tcW w:w="97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0.982</w:t>
            </w:r>
          </w:p>
        </w:tc>
        <w:tc>
          <w:tcPr>
            <w:tcW w:w="20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0.475 (0.187-1.204)</w:t>
            </w:r>
          </w:p>
        </w:tc>
        <w:tc>
          <w:tcPr>
            <w:tcW w:w="868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0.117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t>P&lt;0.05 are in bold.</w:t>
      </w:r>
    </w:p>
    <w:p>
      <w:pPr>
        <w:rPr>
          <w:rFonts w:hint="default" w:ascii="Times New Roman" w:hAnsi="Times New Roman" w:cs="Times New Roman"/>
          <w:kern w:val="0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NWZmZTVjOTJmOGM3ZGZjZTM3N2E0ZGNlZTgzNjYifQ=="/>
  </w:docVars>
  <w:rsids>
    <w:rsidRoot w:val="0FB30DEC"/>
    <w:rsid w:val="0FB30DEC"/>
    <w:rsid w:val="33105DD6"/>
    <w:rsid w:val="592C7063"/>
    <w:rsid w:val="59652FA7"/>
    <w:rsid w:val="6921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685</Characters>
  <Lines>0</Lines>
  <Paragraphs>0</Paragraphs>
  <TotalTime>4</TotalTime>
  <ScaleCrop>false</ScaleCrop>
  <LinksUpToDate>false</LinksUpToDate>
  <CharactersWithSpaces>744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2023-07-10T02:58:00Z</dcterms:created>
  <dc:creator>洗，心，革，面</dc:creator>
  <cp:lastModifiedBy>洗，心，革，面</cp:lastModifiedBy>
  <dcterms:modified xsi:type="dcterms:W3CDTF">2023-09-13T10:01:00Z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EE7264D6118846EAB72B7A9EB6847B2A_13</vt:lpwstr>
  </property>
</Properties>
</file>