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30AE4D" w14:textId="77777777" w:rsidR="00A5248C" w:rsidRDefault="00A5248C" w:rsidP="00A5248C">
      <w:pPr>
        <w:pStyle w:val="Heading1"/>
        <w:rPr>
          <w:lang w:val="gl-ES"/>
        </w:rPr>
      </w:pPr>
      <w:r>
        <w:rPr>
          <w:rFonts w:hint="eastAsia"/>
          <w:lang w:val="gl-ES"/>
        </w:rPr>
        <w:t>E</w:t>
      </w:r>
      <w:r>
        <w:rPr>
          <w:lang w:val="gl-ES"/>
        </w:rPr>
        <w:t>xtended Data</w:t>
      </w:r>
    </w:p>
    <w:p w14:paraId="599B6895" w14:textId="77777777" w:rsidR="00A5248C" w:rsidRDefault="00A5248C" w:rsidP="00A5248C">
      <w:pPr>
        <w:ind w:firstLineChars="0" w:firstLine="0"/>
        <w:rPr>
          <w:sz w:val="22"/>
          <w:lang w:val="gl-ES" w:eastAsia="gl-ES"/>
        </w:rPr>
      </w:pPr>
      <w:bookmarkStart w:id="0" w:name="_Hlk132999542"/>
      <w:r>
        <w:rPr>
          <w:noProof/>
          <w:sz w:val="22"/>
          <w:lang w:val="gl-ES" w:eastAsia="gl-ES"/>
        </w:rPr>
        <w:drawing>
          <wp:inline distT="0" distB="0" distL="0" distR="0" wp14:anchorId="18B73F7B" wp14:editId="490B1199">
            <wp:extent cx="6849745" cy="2205990"/>
            <wp:effectExtent l="0" t="0" r="825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6849745" cy="2205990"/>
                    </a:xfrm>
                    <a:prstGeom prst="rect">
                      <a:avLst/>
                    </a:prstGeom>
                    <a:noFill/>
                    <a:ln>
                      <a:noFill/>
                    </a:ln>
                  </pic:spPr>
                </pic:pic>
              </a:graphicData>
            </a:graphic>
          </wp:inline>
        </w:drawing>
      </w:r>
    </w:p>
    <w:p w14:paraId="3A080734" w14:textId="77777777" w:rsidR="00A5248C" w:rsidRDefault="00A5248C" w:rsidP="00A5248C">
      <w:pPr>
        <w:ind w:firstLineChars="0" w:firstLine="0"/>
        <w:rPr>
          <w:sz w:val="21"/>
          <w:szCs w:val="21"/>
        </w:rPr>
      </w:pPr>
      <w:r>
        <w:rPr>
          <w:b/>
          <w:bCs/>
          <w:sz w:val="21"/>
          <w:szCs w:val="21"/>
        </w:rPr>
        <w:t xml:space="preserve">Extended Data </w:t>
      </w:r>
      <w:r>
        <w:rPr>
          <w:rFonts w:hint="eastAsia"/>
          <w:b/>
          <w:bCs/>
          <w:sz w:val="21"/>
          <w:szCs w:val="21"/>
        </w:rPr>
        <w:t>F</w:t>
      </w:r>
      <w:r>
        <w:rPr>
          <w:b/>
          <w:bCs/>
          <w:sz w:val="21"/>
          <w:szCs w:val="21"/>
        </w:rPr>
        <w:t xml:space="preserve">ig. 1 | </w:t>
      </w:r>
      <w:r>
        <w:rPr>
          <w:rFonts w:eastAsiaTheme="minorEastAsia" w:cs="Times New Roman"/>
          <w:b/>
          <w:bCs/>
          <w:kern w:val="0"/>
          <w:sz w:val="21"/>
          <w:szCs w:val="21"/>
        </w:rPr>
        <w:t>The correlation between NIRv and GPP at three mangrove flux sites.</w:t>
      </w:r>
      <w:r>
        <w:rPr>
          <w:rFonts w:eastAsiaTheme="minorEastAsia" w:cs="Times New Roman"/>
          <w:kern w:val="0"/>
          <w:sz w:val="21"/>
          <w:szCs w:val="21"/>
        </w:rPr>
        <w:t xml:space="preserve"> Shading indicates the 95% </w:t>
      </w:r>
      <w:r>
        <w:rPr>
          <w:rFonts w:eastAsia="Microsoft YaHei" w:cs="Times New Roman"/>
          <w:kern w:val="0"/>
          <w:sz w:val="21"/>
          <w:szCs w:val="21"/>
        </w:rPr>
        <w:t xml:space="preserve">confidence intervals estimated by bootstrapping. </w:t>
      </w:r>
      <w:bookmarkStart w:id="1" w:name="_Hlk132800549"/>
      <w:r>
        <w:rPr>
          <w:rFonts w:eastAsia="Microsoft YaHei" w:cs="Times New Roman"/>
          <w:kern w:val="0"/>
          <w:sz w:val="21"/>
          <w:szCs w:val="21"/>
        </w:rPr>
        <w:t>The symbol ** and * indicate statistically significant (</w:t>
      </w:r>
      <w:r>
        <w:rPr>
          <w:rFonts w:eastAsia="Microsoft YaHei" w:cs="Times New Roman"/>
          <w:i/>
          <w:iCs/>
          <w:kern w:val="0"/>
          <w:sz w:val="21"/>
          <w:szCs w:val="21"/>
        </w:rPr>
        <w:t>P</w:t>
      </w:r>
      <w:r>
        <w:rPr>
          <w:rFonts w:eastAsia="Microsoft YaHei" w:cs="Times New Roman"/>
          <w:kern w:val="0"/>
          <w:sz w:val="21"/>
          <w:szCs w:val="21"/>
        </w:rPr>
        <w:t xml:space="preserve"> &lt; 0.01 and </w:t>
      </w:r>
      <w:r>
        <w:rPr>
          <w:rFonts w:eastAsia="Microsoft YaHei" w:cs="Times New Roman"/>
          <w:i/>
          <w:iCs/>
          <w:kern w:val="0"/>
          <w:sz w:val="21"/>
          <w:szCs w:val="21"/>
        </w:rPr>
        <w:t>P</w:t>
      </w:r>
      <w:r>
        <w:rPr>
          <w:rFonts w:eastAsia="Microsoft YaHei" w:cs="Times New Roman"/>
          <w:kern w:val="0"/>
          <w:sz w:val="21"/>
          <w:szCs w:val="21"/>
        </w:rPr>
        <w:t xml:space="preserve"> &lt; 0.05, respectively) Pearson correlation coefficient between NIRv and GPP.</w:t>
      </w:r>
      <w:r>
        <w:rPr>
          <w:sz w:val="21"/>
          <w:szCs w:val="21"/>
        </w:rPr>
        <w:t xml:space="preserve"> </w:t>
      </w:r>
      <w:bookmarkEnd w:id="0"/>
      <w:bookmarkEnd w:id="1"/>
      <w:r>
        <w:rPr>
          <w:sz w:val="21"/>
          <w:szCs w:val="21"/>
        </w:rPr>
        <w:br w:type="page"/>
      </w:r>
    </w:p>
    <w:p w14:paraId="61091F05" w14:textId="77777777" w:rsidR="00A5248C" w:rsidRDefault="00A5248C" w:rsidP="00A5248C">
      <w:pPr>
        <w:ind w:firstLineChars="0" w:firstLine="0"/>
        <w:rPr>
          <w:sz w:val="21"/>
          <w:szCs w:val="21"/>
        </w:rPr>
      </w:pPr>
      <w:r>
        <w:rPr>
          <w:noProof/>
          <w:sz w:val="21"/>
          <w:szCs w:val="21"/>
        </w:rPr>
        <w:lastRenderedPageBreak/>
        <w:drawing>
          <wp:inline distT="0" distB="0" distL="0" distR="0" wp14:anchorId="48AEF219" wp14:editId="7A8A88E9">
            <wp:extent cx="6839585" cy="6550660"/>
            <wp:effectExtent l="0" t="0" r="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6839585" cy="6550660"/>
                    </a:xfrm>
                    <a:prstGeom prst="rect">
                      <a:avLst/>
                    </a:prstGeom>
                    <a:noFill/>
                    <a:ln>
                      <a:noFill/>
                    </a:ln>
                  </pic:spPr>
                </pic:pic>
              </a:graphicData>
            </a:graphic>
          </wp:inline>
        </w:drawing>
      </w:r>
    </w:p>
    <w:p w14:paraId="35F7E772" w14:textId="77777777" w:rsidR="00A5248C" w:rsidRDefault="00A5248C" w:rsidP="00A5248C">
      <w:pPr>
        <w:ind w:firstLineChars="0" w:firstLine="0"/>
        <w:rPr>
          <w:sz w:val="21"/>
          <w:szCs w:val="21"/>
        </w:rPr>
      </w:pPr>
      <w:r>
        <w:rPr>
          <w:b/>
          <w:bCs/>
          <w:sz w:val="21"/>
          <w:szCs w:val="21"/>
        </w:rPr>
        <w:t xml:space="preserve">Extended Data </w:t>
      </w:r>
      <w:r>
        <w:rPr>
          <w:rFonts w:hint="eastAsia"/>
          <w:b/>
          <w:bCs/>
          <w:sz w:val="21"/>
          <w:szCs w:val="21"/>
        </w:rPr>
        <w:t>F</w:t>
      </w:r>
      <w:r>
        <w:rPr>
          <w:b/>
          <w:bCs/>
          <w:sz w:val="21"/>
          <w:szCs w:val="21"/>
        </w:rPr>
        <w:t>ig. 2 | Temporal variations in NIRv of mangroves and EBFs and environmental factors in coastal grids. a-e</w:t>
      </w:r>
      <w:r>
        <w:rPr>
          <w:bCs/>
          <w:sz w:val="21"/>
          <w:szCs w:val="21"/>
        </w:rPr>
        <w:t xml:space="preserve">, Time variations in annual NIRv for mangroves and EBFs over the globe, America, Africa, Asia, and Oceania, respectively. </w:t>
      </w:r>
      <w:bookmarkStart w:id="2" w:name="_Hlk132800522"/>
      <w:r>
        <w:rPr>
          <w:bCs/>
          <w:sz w:val="21"/>
          <w:szCs w:val="21"/>
        </w:rPr>
        <w:t>NIRv are normalized by the long-term average. The trend rates in the legend were computed from the Theil-Sen slope estimator.</w:t>
      </w:r>
      <w:bookmarkEnd w:id="2"/>
      <w:r>
        <w:rPr>
          <w:bCs/>
          <w:sz w:val="21"/>
          <w:szCs w:val="21"/>
        </w:rPr>
        <w:t xml:space="preserve"> </w:t>
      </w:r>
      <w:bookmarkStart w:id="3" w:name="_Hlk132800538"/>
      <w:r>
        <w:rPr>
          <w:bCs/>
          <w:sz w:val="21"/>
          <w:szCs w:val="21"/>
        </w:rPr>
        <w:t>Shading indicates the 95% confidence intervals estimated by bootstrapping.</w:t>
      </w:r>
      <w:bookmarkEnd w:id="3"/>
      <w:r>
        <w:rPr>
          <w:bCs/>
          <w:sz w:val="21"/>
          <w:szCs w:val="21"/>
        </w:rPr>
        <w:t xml:space="preserve"> </w:t>
      </w:r>
      <w:r>
        <w:rPr>
          <w:b/>
          <w:bCs/>
          <w:sz w:val="21"/>
          <w:szCs w:val="21"/>
        </w:rPr>
        <w:t>f-j</w:t>
      </w:r>
      <w:r>
        <w:rPr>
          <w:bCs/>
          <w:sz w:val="21"/>
          <w:szCs w:val="21"/>
        </w:rPr>
        <w:t>, Interannual fluctuances in annual detrended NIRv for mangroves and EBFs over the globe, America, Africa, Asia, and Oceania, respectively. The numbers in the legend indicate the coefficient of variation of each NIRv time series to reflect the interannual variability.</w:t>
      </w:r>
      <w:r>
        <w:rPr>
          <w:b/>
          <w:bCs/>
          <w:sz w:val="21"/>
          <w:szCs w:val="21"/>
        </w:rPr>
        <w:t xml:space="preserve"> k-o</w:t>
      </w:r>
      <w:r>
        <w:rPr>
          <w:bCs/>
          <w:sz w:val="21"/>
          <w:szCs w:val="21"/>
        </w:rPr>
        <w:t xml:space="preserve">, Time variations in annual temperature, </w:t>
      </w:r>
      <w:r>
        <w:rPr>
          <w:bCs/>
          <w:sz w:val="21"/>
          <w:szCs w:val="21"/>
        </w:rPr>
        <w:lastRenderedPageBreak/>
        <w:t>precipitation and sea-level anomaly for the coastal grids over the globe, America, Africa, Asia, and Oceania, respectively.</w:t>
      </w:r>
      <w:r>
        <w:rPr>
          <w:sz w:val="21"/>
          <w:szCs w:val="21"/>
        </w:rPr>
        <w:t xml:space="preserve"> </w:t>
      </w:r>
      <w:r>
        <w:rPr>
          <w:sz w:val="21"/>
          <w:szCs w:val="21"/>
          <w:vertAlign w:val="superscript"/>
        </w:rPr>
        <w:t xml:space="preserve">*** </w:t>
      </w:r>
      <w:r>
        <w:rPr>
          <w:i/>
          <w:iCs/>
          <w:sz w:val="21"/>
          <w:szCs w:val="21"/>
        </w:rPr>
        <w:t>P</w:t>
      </w:r>
      <w:r>
        <w:rPr>
          <w:sz w:val="21"/>
          <w:szCs w:val="21"/>
        </w:rPr>
        <w:t xml:space="preserve"> &lt; 0.001, </w:t>
      </w:r>
      <w:r>
        <w:rPr>
          <w:sz w:val="21"/>
          <w:szCs w:val="21"/>
          <w:vertAlign w:val="superscript"/>
        </w:rPr>
        <w:t xml:space="preserve">** </w:t>
      </w:r>
      <w:r>
        <w:rPr>
          <w:i/>
          <w:iCs/>
          <w:sz w:val="21"/>
          <w:szCs w:val="21"/>
        </w:rPr>
        <w:t>P</w:t>
      </w:r>
      <w:r>
        <w:rPr>
          <w:sz w:val="21"/>
          <w:szCs w:val="21"/>
        </w:rPr>
        <w:t xml:space="preserve"> &lt; 0.01, </w:t>
      </w:r>
      <w:r>
        <w:rPr>
          <w:sz w:val="21"/>
          <w:szCs w:val="21"/>
          <w:vertAlign w:val="superscript"/>
        </w:rPr>
        <w:t>*</w:t>
      </w:r>
      <w:r>
        <w:rPr>
          <w:sz w:val="21"/>
          <w:szCs w:val="21"/>
        </w:rPr>
        <w:t xml:space="preserve"> </w:t>
      </w:r>
      <w:r>
        <w:rPr>
          <w:i/>
          <w:iCs/>
          <w:sz w:val="21"/>
          <w:szCs w:val="21"/>
        </w:rPr>
        <w:t xml:space="preserve">P </w:t>
      </w:r>
      <w:r>
        <w:rPr>
          <w:sz w:val="21"/>
          <w:szCs w:val="21"/>
        </w:rPr>
        <w:t xml:space="preserve">&lt; 0.05, </w:t>
      </w:r>
      <w:r>
        <w:rPr>
          <w:b/>
          <w:bCs/>
          <w:sz w:val="21"/>
          <w:szCs w:val="21"/>
          <w:vertAlign w:val="superscript"/>
        </w:rPr>
        <w:t>.</w:t>
      </w:r>
      <w:r>
        <w:rPr>
          <w:sz w:val="21"/>
          <w:szCs w:val="21"/>
          <w:vertAlign w:val="superscript"/>
        </w:rPr>
        <w:t xml:space="preserve"> </w:t>
      </w:r>
      <w:r>
        <w:rPr>
          <w:i/>
          <w:iCs/>
          <w:sz w:val="21"/>
          <w:szCs w:val="21"/>
        </w:rPr>
        <w:t>P</w:t>
      </w:r>
      <w:r>
        <w:rPr>
          <w:sz w:val="21"/>
          <w:szCs w:val="21"/>
        </w:rPr>
        <w:t xml:space="preserve"> &lt; 0.1.</w:t>
      </w:r>
      <w:r>
        <w:rPr>
          <w:sz w:val="21"/>
          <w:szCs w:val="21"/>
        </w:rPr>
        <w:br w:type="page"/>
      </w:r>
    </w:p>
    <w:p w14:paraId="0276D816" w14:textId="77777777" w:rsidR="00A5248C" w:rsidRDefault="00A5248C" w:rsidP="00A5248C">
      <w:pPr>
        <w:ind w:firstLineChars="0" w:firstLine="0"/>
        <w:jc w:val="center"/>
      </w:pPr>
      <w:r>
        <w:rPr>
          <w:noProof/>
        </w:rPr>
        <w:lastRenderedPageBreak/>
        <w:drawing>
          <wp:inline distT="0" distB="0" distL="0" distR="0" wp14:anchorId="2FB35F10" wp14:editId="0F52AB94">
            <wp:extent cx="6851650" cy="48355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851650" cy="4835525"/>
                    </a:xfrm>
                    <a:prstGeom prst="rect">
                      <a:avLst/>
                    </a:prstGeom>
                    <a:noFill/>
                    <a:ln>
                      <a:noFill/>
                    </a:ln>
                  </pic:spPr>
                </pic:pic>
              </a:graphicData>
            </a:graphic>
          </wp:inline>
        </w:drawing>
      </w:r>
    </w:p>
    <w:p w14:paraId="244C650A" w14:textId="77777777" w:rsidR="00A5248C" w:rsidRDefault="00A5248C" w:rsidP="00A5248C">
      <w:pPr>
        <w:ind w:firstLineChars="0" w:firstLine="0"/>
        <w:rPr>
          <w:bCs/>
          <w:sz w:val="21"/>
          <w:szCs w:val="21"/>
        </w:rPr>
      </w:pPr>
      <w:bookmarkStart w:id="4" w:name="_Hlk132897494"/>
      <w:r>
        <w:rPr>
          <w:b/>
          <w:bCs/>
          <w:sz w:val="21"/>
          <w:szCs w:val="21"/>
        </w:rPr>
        <w:t xml:space="preserve">Extended Data </w:t>
      </w:r>
      <w:r>
        <w:rPr>
          <w:rFonts w:hint="eastAsia"/>
          <w:b/>
          <w:bCs/>
          <w:sz w:val="21"/>
          <w:szCs w:val="21"/>
        </w:rPr>
        <w:t>F</w:t>
      </w:r>
      <w:r>
        <w:rPr>
          <w:b/>
          <w:bCs/>
          <w:sz w:val="21"/>
          <w:szCs w:val="21"/>
        </w:rPr>
        <w:t xml:space="preserve">ig. 3 | Time series of annual NIRv and environmental factors (air temperature, precipitation, and sea-level anomaly) in the Gulf of Carpentaria, Australia. </w:t>
      </w:r>
      <w:r>
        <w:rPr>
          <w:bCs/>
          <w:sz w:val="21"/>
          <w:szCs w:val="21"/>
        </w:rPr>
        <w:t>Temperature, precipitation and sea-level anomaly is from MERRA2, GPCP, and CMEMS datasets, respectively. Shaded areas show ±1 standard deviation of the mean.</w:t>
      </w:r>
      <w:r>
        <w:rPr>
          <w:bCs/>
          <w:sz w:val="21"/>
          <w:szCs w:val="21"/>
        </w:rPr>
        <w:br w:type="page"/>
      </w:r>
    </w:p>
    <w:p w14:paraId="21CCE816" w14:textId="77777777" w:rsidR="00A5248C" w:rsidRDefault="00A5248C" w:rsidP="00A5248C">
      <w:pPr>
        <w:ind w:firstLineChars="0" w:firstLine="0"/>
        <w:jc w:val="center"/>
      </w:pPr>
      <w:bookmarkStart w:id="5" w:name="_Hlk134459773"/>
      <w:r>
        <w:rPr>
          <w:noProof/>
        </w:rPr>
        <w:lastRenderedPageBreak/>
        <w:drawing>
          <wp:inline distT="0" distB="0" distL="0" distR="0" wp14:anchorId="718CFA2B" wp14:editId="486646AC">
            <wp:extent cx="5314315" cy="2730500"/>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320165" cy="2733775"/>
                    </a:xfrm>
                    <a:prstGeom prst="rect">
                      <a:avLst/>
                    </a:prstGeom>
                    <a:noFill/>
                    <a:ln>
                      <a:noFill/>
                    </a:ln>
                  </pic:spPr>
                </pic:pic>
              </a:graphicData>
            </a:graphic>
          </wp:inline>
        </w:drawing>
      </w:r>
    </w:p>
    <w:p w14:paraId="4CF047FE" w14:textId="77777777" w:rsidR="00A5248C" w:rsidRDefault="00A5248C" w:rsidP="00A5248C">
      <w:pPr>
        <w:ind w:firstLineChars="0" w:firstLine="0"/>
        <w:rPr>
          <w:bCs/>
          <w:sz w:val="21"/>
          <w:szCs w:val="21"/>
        </w:rPr>
      </w:pPr>
      <w:r>
        <w:rPr>
          <w:b/>
          <w:bCs/>
          <w:sz w:val="21"/>
          <w:szCs w:val="21"/>
        </w:rPr>
        <w:t xml:space="preserve">Extended Data </w:t>
      </w:r>
      <w:r>
        <w:rPr>
          <w:rFonts w:hint="eastAsia"/>
          <w:b/>
          <w:bCs/>
          <w:sz w:val="21"/>
          <w:szCs w:val="21"/>
        </w:rPr>
        <w:t>F</w:t>
      </w:r>
      <w:r>
        <w:rPr>
          <w:b/>
          <w:bCs/>
          <w:sz w:val="21"/>
          <w:szCs w:val="21"/>
        </w:rPr>
        <w:t xml:space="preserve">ig. 4 | The comparisons between mangroves and EBFs in their ecohydrological properties. </w:t>
      </w:r>
      <w:r>
        <w:rPr>
          <w:bCs/>
          <w:sz w:val="21"/>
          <w:szCs w:val="21"/>
        </w:rPr>
        <w:t>Differences in (</w:t>
      </w:r>
      <w:r>
        <w:rPr>
          <w:b/>
          <w:bCs/>
          <w:sz w:val="21"/>
          <w:szCs w:val="21"/>
        </w:rPr>
        <w:t>a</w:t>
      </w:r>
      <w:r>
        <w:rPr>
          <w:bCs/>
          <w:sz w:val="21"/>
          <w:szCs w:val="21"/>
        </w:rPr>
        <w:t>) marginal biological water use fraction (∂Tc/∂P) and (</w:t>
      </w:r>
      <w:r>
        <w:rPr>
          <w:b/>
          <w:bCs/>
          <w:sz w:val="21"/>
          <w:szCs w:val="21"/>
        </w:rPr>
        <w:t>b</w:t>
      </w:r>
      <w:r>
        <w:rPr>
          <w:bCs/>
          <w:sz w:val="21"/>
          <w:szCs w:val="21"/>
        </w:rPr>
        <w:t xml:space="preserve">) marginal water use efficiency (MWUE). All comparisons were performed under controlled geographical conditions using the paired </w:t>
      </w:r>
      <w:r>
        <w:rPr>
          <w:bCs/>
          <w:i/>
          <w:sz w:val="21"/>
          <w:szCs w:val="21"/>
        </w:rPr>
        <w:t>t</w:t>
      </w:r>
      <w:r>
        <w:rPr>
          <w:bCs/>
          <w:sz w:val="21"/>
          <w:szCs w:val="21"/>
        </w:rPr>
        <w:t>-test to eliminate spatial mismatch. Error bars show 95% confidence intervals estimated by bootstrapping (</w:t>
      </w:r>
      <w:r>
        <w:rPr>
          <w:bCs/>
          <w:i/>
          <w:sz w:val="21"/>
          <w:szCs w:val="21"/>
        </w:rPr>
        <w:t>n</w:t>
      </w:r>
      <w:r>
        <w:rPr>
          <w:bCs/>
          <w:sz w:val="21"/>
          <w:szCs w:val="21"/>
        </w:rPr>
        <w:t xml:space="preserve"> = 1000), and the dots represent the average values.</w:t>
      </w:r>
      <w:bookmarkEnd w:id="5"/>
      <w:r>
        <w:rPr>
          <w:bCs/>
          <w:sz w:val="21"/>
          <w:szCs w:val="21"/>
        </w:rPr>
        <w:br w:type="page"/>
      </w:r>
    </w:p>
    <w:p w14:paraId="3906B75C" w14:textId="77777777" w:rsidR="00A5248C" w:rsidRDefault="00A5248C" w:rsidP="00A5248C">
      <w:pPr>
        <w:ind w:firstLineChars="0" w:firstLine="0"/>
        <w:rPr>
          <w:bCs/>
          <w:sz w:val="21"/>
          <w:szCs w:val="21"/>
        </w:rPr>
      </w:pPr>
    </w:p>
    <w:bookmarkEnd w:id="4"/>
    <w:p w14:paraId="51B52754" w14:textId="77777777" w:rsidR="00A5248C" w:rsidRDefault="00A5248C" w:rsidP="00A5248C">
      <w:pPr>
        <w:ind w:firstLineChars="0" w:firstLine="0"/>
        <w:rPr>
          <w:bCs/>
          <w:sz w:val="21"/>
          <w:szCs w:val="21"/>
        </w:rPr>
      </w:pPr>
      <w:r>
        <w:rPr>
          <w:bCs/>
          <w:noProof/>
          <w:sz w:val="21"/>
          <w:szCs w:val="21"/>
        </w:rPr>
        <w:drawing>
          <wp:inline distT="0" distB="0" distL="0" distR="0" wp14:anchorId="16B2027D" wp14:editId="46162C42">
            <wp:extent cx="6839585" cy="2906395"/>
            <wp:effectExtent l="0" t="0" r="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839585" cy="2906395"/>
                    </a:xfrm>
                    <a:prstGeom prst="rect">
                      <a:avLst/>
                    </a:prstGeom>
                    <a:noFill/>
                    <a:ln>
                      <a:noFill/>
                    </a:ln>
                  </pic:spPr>
                </pic:pic>
              </a:graphicData>
            </a:graphic>
          </wp:inline>
        </w:drawing>
      </w:r>
    </w:p>
    <w:p w14:paraId="2DB2925D" w14:textId="77777777" w:rsidR="00A5248C" w:rsidRDefault="00A5248C" w:rsidP="00A5248C">
      <w:pPr>
        <w:ind w:firstLineChars="0" w:firstLine="0"/>
        <w:rPr>
          <w:sz w:val="21"/>
          <w:szCs w:val="21"/>
        </w:rPr>
      </w:pPr>
      <w:r>
        <w:rPr>
          <w:b/>
          <w:bCs/>
          <w:sz w:val="21"/>
          <w:szCs w:val="21"/>
        </w:rPr>
        <w:t xml:space="preserve">Extended Data </w:t>
      </w:r>
      <w:r>
        <w:rPr>
          <w:rFonts w:hint="eastAsia"/>
          <w:b/>
          <w:bCs/>
          <w:sz w:val="21"/>
          <w:szCs w:val="21"/>
        </w:rPr>
        <w:t>F</w:t>
      </w:r>
      <w:r>
        <w:rPr>
          <w:b/>
          <w:bCs/>
          <w:sz w:val="21"/>
          <w:szCs w:val="21"/>
        </w:rPr>
        <w:t>ig. 5 | eCO</w:t>
      </w:r>
      <w:r>
        <w:rPr>
          <w:b/>
          <w:bCs/>
          <w:sz w:val="21"/>
          <w:szCs w:val="21"/>
          <w:vertAlign w:val="subscript"/>
        </w:rPr>
        <w:t>2</w:t>
      </w:r>
      <w:r>
        <w:rPr>
          <w:b/>
          <w:bCs/>
          <w:sz w:val="21"/>
          <w:szCs w:val="21"/>
        </w:rPr>
        <w:t xml:space="preserve">-induced NIRv trends calculated using factorial simulation. </w:t>
      </w:r>
      <w:r>
        <w:rPr>
          <w:sz w:val="21"/>
          <w:szCs w:val="21"/>
        </w:rPr>
        <w:t>The right panels depict the latitudinal pattern of trends averaged per 1° latitude band.</w:t>
      </w:r>
      <w:r>
        <w:rPr>
          <w:bCs/>
          <w:sz w:val="21"/>
          <w:szCs w:val="21"/>
        </w:rPr>
        <w:br w:type="page"/>
      </w:r>
    </w:p>
    <w:p w14:paraId="36A5D340" w14:textId="77777777" w:rsidR="00A5248C" w:rsidRDefault="00A5248C" w:rsidP="00A5248C">
      <w:pPr>
        <w:ind w:firstLineChars="0" w:firstLine="0"/>
      </w:pPr>
      <w:r>
        <w:rPr>
          <w:noProof/>
        </w:rPr>
        <w:lastRenderedPageBreak/>
        <w:drawing>
          <wp:inline distT="0" distB="0" distL="0" distR="0" wp14:anchorId="5BACB851" wp14:editId="0C27DB30">
            <wp:extent cx="6858000" cy="583057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858000" cy="5830570"/>
                    </a:xfrm>
                    <a:prstGeom prst="rect">
                      <a:avLst/>
                    </a:prstGeom>
                    <a:noFill/>
                    <a:ln>
                      <a:noFill/>
                    </a:ln>
                  </pic:spPr>
                </pic:pic>
              </a:graphicData>
            </a:graphic>
          </wp:inline>
        </w:drawing>
      </w:r>
    </w:p>
    <w:p w14:paraId="12A61372" w14:textId="77777777" w:rsidR="00A5248C" w:rsidRDefault="00A5248C" w:rsidP="00A5248C">
      <w:pPr>
        <w:ind w:firstLineChars="0" w:firstLine="0"/>
        <w:rPr>
          <w:bCs/>
          <w:sz w:val="21"/>
          <w:szCs w:val="21"/>
        </w:rPr>
      </w:pPr>
      <w:r>
        <w:rPr>
          <w:b/>
          <w:bCs/>
          <w:sz w:val="21"/>
          <w:szCs w:val="21"/>
        </w:rPr>
        <w:t xml:space="preserve">Extended Data </w:t>
      </w:r>
      <w:r>
        <w:rPr>
          <w:rFonts w:hint="eastAsia"/>
          <w:b/>
          <w:bCs/>
          <w:sz w:val="21"/>
          <w:szCs w:val="21"/>
        </w:rPr>
        <w:t>F</w:t>
      </w:r>
      <w:r>
        <w:rPr>
          <w:b/>
          <w:bCs/>
          <w:sz w:val="21"/>
          <w:szCs w:val="21"/>
        </w:rPr>
        <w:t>ig. 6 | Simulated NIRv trends for mangroves and EBFs, respectively. a</w:t>
      </w:r>
      <w:r>
        <w:rPr>
          <w:bCs/>
          <w:sz w:val="21"/>
          <w:szCs w:val="21"/>
        </w:rPr>
        <w:t xml:space="preserve">, Temperature-contributed NIRv trends. </w:t>
      </w:r>
      <w:r>
        <w:rPr>
          <w:b/>
          <w:bCs/>
          <w:sz w:val="21"/>
          <w:szCs w:val="21"/>
        </w:rPr>
        <w:t>b</w:t>
      </w:r>
      <w:r>
        <w:rPr>
          <w:bCs/>
          <w:sz w:val="21"/>
          <w:szCs w:val="21"/>
        </w:rPr>
        <w:t>, VPD-contributed NIRv trends.</w:t>
      </w:r>
      <w:r>
        <w:rPr>
          <w:rFonts w:hint="eastAsia"/>
          <w:bCs/>
          <w:sz w:val="21"/>
          <w:szCs w:val="21"/>
        </w:rPr>
        <w:t xml:space="preserve"> </w:t>
      </w:r>
      <w:r>
        <w:rPr>
          <w:sz w:val="21"/>
          <w:szCs w:val="21"/>
        </w:rPr>
        <w:t>The right panels depict the latitudinal pattern of trends averaged per 1° latitude band.</w:t>
      </w:r>
      <w:r>
        <w:rPr>
          <w:bCs/>
          <w:sz w:val="21"/>
          <w:szCs w:val="21"/>
        </w:rPr>
        <w:br w:type="page"/>
      </w:r>
    </w:p>
    <w:p w14:paraId="0844C40D" w14:textId="77777777" w:rsidR="00A5248C" w:rsidRDefault="00A5248C" w:rsidP="00A5248C">
      <w:pPr>
        <w:ind w:firstLineChars="0" w:firstLine="0"/>
        <w:jc w:val="center"/>
        <w:rPr>
          <w:sz w:val="21"/>
          <w:szCs w:val="21"/>
        </w:rPr>
      </w:pPr>
      <w:r>
        <w:rPr>
          <w:noProof/>
          <w:sz w:val="21"/>
          <w:szCs w:val="21"/>
        </w:rPr>
        <w:lastRenderedPageBreak/>
        <w:drawing>
          <wp:inline distT="0" distB="0" distL="0" distR="0" wp14:anchorId="70107928" wp14:editId="4304E0A1">
            <wp:extent cx="6024880" cy="59918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6027518" cy="5994565"/>
                    </a:xfrm>
                    <a:prstGeom prst="rect">
                      <a:avLst/>
                    </a:prstGeom>
                    <a:noFill/>
                    <a:ln>
                      <a:noFill/>
                    </a:ln>
                  </pic:spPr>
                </pic:pic>
              </a:graphicData>
            </a:graphic>
          </wp:inline>
        </w:drawing>
      </w:r>
    </w:p>
    <w:p w14:paraId="5121CCB6" w14:textId="77777777" w:rsidR="00A5248C" w:rsidRDefault="00A5248C" w:rsidP="00A5248C">
      <w:pPr>
        <w:ind w:firstLineChars="0" w:firstLine="0"/>
        <w:rPr>
          <w:bCs/>
          <w:color w:val="0070C0"/>
          <w:sz w:val="21"/>
          <w:szCs w:val="21"/>
        </w:rPr>
      </w:pPr>
      <w:r>
        <w:rPr>
          <w:b/>
          <w:bCs/>
          <w:sz w:val="21"/>
          <w:szCs w:val="21"/>
        </w:rPr>
        <w:t xml:space="preserve">Extended Data </w:t>
      </w:r>
      <w:r>
        <w:rPr>
          <w:rFonts w:hint="eastAsia"/>
          <w:b/>
          <w:bCs/>
          <w:sz w:val="21"/>
          <w:szCs w:val="21"/>
        </w:rPr>
        <w:t>F</w:t>
      </w:r>
      <w:r>
        <w:rPr>
          <w:b/>
          <w:bCs/>
          <w:sz w:val="21"/>
          <w:szCs w:val="21"/>
        </w:rPr>
        <w:t xml:space="preserve">ig. 7 | Model performance in simulating observed difference in NIRv IAV and trend between mangroves and EBFs. </w:t>
      </w:r>
      <w:r>
        <w:rPr>
          <w:bCs/>
          <w:sz w:val="21"/>
          <w:szCs w:val="21"/>
        </w:rPr>
        <w:t>Climate forcing data 1 represents factors from MERRA2, GPCP, and NOAA CarbonTracker CT2022 datasets. Climate forcing data 2 represents factors from ERA5, CHIRPS, TerraClimate and Mauna Loa observatory. Scatter refers to each paired coastal grid cell (</w:t>
      </w:r>
      <w:r>
        <w:rPr>
          <w:bCs/>
          <w:i/>
          <w:sz w:val="21"/>
          <w:szCs w:val="21"/>
        </w:rPr>
        <w:t>n</w:t>
      </w:r>
      <w:r>
        <w:rPr>
          <w:bCs/>
          <w:sz w:val="21"/>
          <w:szCs w:val="21"/>
        </w:rPr>
        <w:t xml:space="preserve"> = 1475).</w:t>
      </w:r>
      <w:r>
        <w:rPr>
          <w:bCs/>
          <w:color w:val="0070C0"/>
          <w:sz w:val="21"/>
          <w:szCs w:val="21"/>
        </w:rPr>
        <w:br w:type="page"/>
      </w:r>
    </w:p>
    <w:p w14:paraId="0C33122D" w14:textId="77777777" w:rsidR="00755780" w:rsidRDefault="00755780">
      <w:pPr>
        <w:ind w:firstLine="480"/>
      </w:pPr>
    </w:p>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altName w:val="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48C"/>
    <w:rsid w:val="00755780"/>
    <w:rsid w:val="00A52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4A692"/>
  <w15:chartTrackingRefBased/>
  <w15:docId w15:val="{9210EC57-7D74-4D4D-B53D-471E25AC5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48C"/>
    <w:pPr>
      <w:widowControl w:val="0"/>
      <w:spacing w:after="0" w:line="360" w:lineRule="auto"/>
      <w:ind w:firstLineChars="200" w:firstLine="200"/>
      <w:jc w:val="both"/>
    </w:pPr>
    <w:rPr>
      <w:rFonts w:ascii="Times New Roman" w:eastAsia="SimSun" w:hAnsi="Times New Roman"/>
      <w:kern w:val="2"/>
      <w:sz w:val="24"/>
      <w:lang w:eastAsia="zh-CN"/>
    </w:rPr>
  </w:style>
  <w:style w:type="paragraph" w:styleId="Heading1">
    <w:name w:val="heading 1"/>
    <w:basedOn w:val="Normal"/>
    <w:next w:val="Normal"/>
    <w:link w:val="Heading1Char"/>
    <w:uiPriority w:val="9"/>
    <w:qFormat/>
    <w:rsid w:val="00A5248C"/>
    <w:pPr>
      <w:keepNext/>
      <w:keepLines/>
      <w:ind w:firstLineChars="0" w:firstLine="0"/>
      <w:outlineLvl w:val="0"/>
    </w:pPr>
    <w:rPr>
      <w:rFonts w:eastAsia="Times New Roman"/>
      <w:b/>
      <w:bCs/>
      <w:kern w:val="44"/>
      <w:sz w:val="32"/>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5248C"/>
    <w:rPr>
      <w:rFonts w:ascii="Times New Roman" w:eastAsia="Times New Roman" w:hAnsi="Times New Roman"/>
      <w:b/>
      <w:bCs/>
      <w:kern w:val="44"/>
      <w:sz w:val="32"/>
      <w:szCs w:val="4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430</Words>
  <Characters>2456</Characters>
  <Application>Microsoft Office Word</Application>
  <DocSecurity>0</DocSecurity>
  <Lines>20</Lines>
  <Paragraphs>5</Paragraphs>
  <ScaleCrop>false</ScaleCrop>
  <Company>Springer Nature</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2023-08-16T02:20:00Z</dcterms:created>
  <dcterms:modified xsi:type="dcterms:W3CDTF">2023-08-16T02:21:00Z</dcterms:modified>
</cp:coreProperties>
</file>