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textAlignment w:val="top"/>
        <w:rPr>
          <w:sz w:val="24"/>
        </w:rPr>
      </w:pPr>
      <w:r>
        <w:rPr>
          <w:rFonts w:ascii="Times New Roman" w:hAnsi="Times New Roman"/>
          <w:b/>
          <w:kern w:val="0"/>
          <w:sz w:val="24"/>
        </w:rPr>
        <w:t xml:space="preserve">HBV-miR-3 is </w:t>
      </w:r>
      <w:r>
        <w:rPr>
          <w:rFonts w:hint="eastAsia" w:ascii="Times New Roman" w:hAnsi="Times New Roman"/>
          <w:b/>
          <w:kern w:val="0"/>
          <w:sz w:val="24"/>
          <w:lang w:val="en-US" w:eastAsia="zh-CN"/>
        </w:rPr>
        <w:t>related to HBV replication and predictive of HBeAg</w:t>
      </w:r>
      <w:r>
        <w:rPr>
          <w:rFonts w:ascii="Times New Roman" w:hAnsi="Times New Roman"/>
          <w:b/>
          <w:kern w:val="0"/>
          <w:sz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</w:rPr>
        <w:t>seroconversion</w:t>
      </w:r>
      <w:r>
        <w:rPr>
          <w:rFonts w:ascii="Times New Roman" w:hAnsi="Times New Roman"/>
          <w:b/>
          <w:kern w:val="0"/>
          <w:sz w:val="24"/>
        </w:rPr>
        <w:t xml:space="preserve"> in  </w:t>
      </w:r>
      <w:r>
        <w:rPr>
          <w:rFonts w:ascii="Times New Roman" w:hAnsi="Times New Roman"/>
          <w:b/>
          <w:bCs/>
          <w:color w:val="000000"/>
          <w:sz w:val="24"/>
        </w:rPr>
        <w:t xml:space="preserve"> PegIFN-</w:t>
      </w:r>
      <w:r>
        <w:rPr>
          <w:rFonts w:ascii="Times New Roman" w:hAnsi="Times New Roman"/>
          <w:b/>
          <w:bCs/>
          <w:sz w:val="24"/>
        </w:rPr>
        <w:t>α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</w:rPr>
        <w:t xml:space="preserve"> treated </w:t>
      </w:r>
      <w:r>
        <w:rPr>
          <w:rFonts w:ascii="Times New Roman" w:hAnsi="Times New Roman"/>
          <w:b/>
          <w:kern w:val="0"/>
          <w:sz w:val="24"/>
        </w:rPr>
        <w:t>patients</w:t>
      </w:r>
    </w:p>
    <w:p>
      <w:pPr>
        <w:widowControl/>
        <w:autoSpaceDE w:val="0"/>
        <w:autoSpaceDN w:val="0"/>
        <w:adjustRightInd w:val="0"/>
        <w:spacing w:beforeLines="50" w:afterLines="50" w:line="480" w:lineRule="auto"/>
        <w:rPr>
          <w:rFonts w:ascii="Times New Roman" w:hAnsi="Times New Roman"/>
          <w:kern w:val="0"/>
          <w:sz w:val="24"/>
          <w:vertAlign w:val="superscript"/>
        </w:rPr>
      </w:pPr>
      <w:bookmarkStart w:id="8" w:name="_GoBack"/>
      <w:bookmarkEnd w:id="8"/>
      <w:r>
        <w:rPr>
          <w:rFonts w:ascii="Times New Roman" w:hAnsi="Times New Roman"/>
          <w:b/>
          <w:sz w:val="24"/>
        </w:rPr>
        <w:t>Author:</w:t>
      </w:r>
      <w:r>
        <w:rPr>
          <w:rFonts w:ascii="Times New Roman" w:hAnsi="Times New Roman"/>
          <w:sz w:val="24"/>
        </w:rPr>
        <w:t xml:space="preserve">  Zhenyu Xu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Yun Xu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Zhenyu Wu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Sujuan wang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kern w:val="0"/>
          <w:sz w:val="24"/>
        </w:rPr>
        <w:t>Min Zhang</w:t>
      </w:r>
      <w:r>
        <w:rPr>
          <w:rFonts w:ascii="Times New Roman" w:hAnsi="Times New Roman"/>
          <w:kern w:val="0"/>
          <w:sz w:val="24"/>
          <w:vertAlign w:val="superscript"/>
        </w:rPr>
        <w:t>1*</w:t>
      </w:r>
      <w:r>
        <w:rPr>
          <w:rFonts w:ascii="Times New Roman" w:hAnsi="Times New Roman"/>
          <w:kern w:val="0"/>
          <w:sz w:val="24"/>
        </w:rPr>
        <w:t>,</w:t>
      </w:r>
      <w:r>
        <w:rPr>
          <w:rFonts w:ascii="Times New Roman" w:hAnsi="Times New Roman"/>
          <w:kern w:val="0"/>
          <w:sz w:val="24"/>
          <w:vertAlign w:val="superscript"/>
        </w:rPr>
        <w:t xml:space="preserve">   </w:t>
      </w:r>
      <w:r>
        <w:rPr>
          <w:rFonts w:ascii="Times New Roman" w:hAnsi="Times New Roman"/>
          <w:kern w:val="0"/>
          <w:sz w:val="24"/>
        </w:rPr>
        <w:t>Yongfang Jiang</w:t>
      </w:r>
      <w:r>
        <w:rPr>
          <w:rFonts w:ascii="Times New Roman" w:hAnsi="Times New Roman"/>
          <w:kern w:val="0"/>
          <w:sz w:val="24"/>
          <w:vertAlign w:val="superscript"/>
        </w:rPr>
        <w:t>1*</w:t>
      </w:r>
      <w:r>
        <w:rPr>
          <w:rFonts w:ascii="Times New Roman" w:hAnsi="Times New Roman"/>
          <w:kern w:val="0"/>
          <w:sz w:val="24"/>
        </w:rPr>
        <w:t>,</w:t>
      </w:r>
      <w:r>
        <w:rPr>
          <w:rFonts w:ascii="Times New Roman" w:hAnsi="Times New Roman"/>
          <w:kern w:val="0"/>
          <w:sz w:val="24"/>
          <w:vertAlign w:val="superscript"/>
        </w:rPr>
        <w:t xml:space="preserve"> </w:t>
      </w:r>
      <w:r>
        <w:rPr>
          <w:rFonts w:ascii="Times New Roman" w:hAnsi="Times New Roman"/>
          <w:kern w:val="0"/>
          <w:sz w:val="24"/>
        </w:rPr>
        <w:t xml:space="preserve">Guiqiang Wang </w:t>
      </w:r>
      <w:r>
        <w:rPr>
          <w:rFonts w:ascii="Times New Roman" w:hAnsi="Times New Roman"/>
          <w:kern w:val="0"/>
          <w:sz w:val="24"/>
          <w:vertAlign w:val="superscript"/>
        </w:rPr>
        <w:t>2 *</w:t>
      </w:r>
      <w:r>
        <w:rPr>
          <w:rFonts w:ascii="Times New Roman" w:hAnsi="Times New Roman"/>
          <w:kern w:val="0"/>
          <w:sz w:val="24"/>
        </w:rPr>
        <w:t>,</w:t>
      </w:r>
      <w:r>
        <w:rPr>
          <w:rFonts w:ascii="Times New Roman" w:hAnsi="Times New Roman"/>
          <w:kern w:val="0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</w:rPr>
        <w:t>Guozhong Gong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kern w:val="0"/>
          <w:sz w:val="24"/>
          <w:vertAlign w:val="superscript"/>
        </w:rPr>
        <w:t>*</w:t>
      </w:r>
    </w:p>
    <w:p>
      <w:pPr>
        <w:spacing w:line="480" w:lineRule="auto"/>
        <w:textAlignment w:val="top"/>
        <w:rPr>
          <w:rFonts w:ascii="Times New Roman" w:hAnsi="Times New Roman"/>
          <w:b/>
          <w:bCs/>
          <w:sz w:val="32"/>
          <w:szCs w:val="32"/>
        </w:rPr>
      </w:pPr>
    </w:p>
    <w:p>
      <w:pPr>
        <w:bidi w:val="0"/>
        <w:jc w:val="center"/>
        <w:rPr>
          <w:rFonts w:hint="default" w:ascii="Times New Roman" w:hAnsi="Times New Roman" w:cs="Times New Roman"/>
          <w:b/>
          <w:bCs/>
          <w:sz w:val="52"/>
          <w:szCs w:val="72"/>
        </w:rPr>
      </w:pPr>
    </w:p>
    <w:p>
      <w:pPr>
        <w:bidi w:val="0"/>
        <w:jc w:val="center"/>
        <w:rPr>
          <w:rFonts w:hint="default" w:ascii="Times New Roman" w:hAnsi="Times New Roman" w:cs="Times New Roman"/>
          <w:b/>
          <w:bCs/>
          <w:sz w:val="52"/>
          <w:szCs w:val="72"/>
        </w:rPr>
      </w:pPr>
    </w:p>
    <w:p>
      <w:pPr>
        <w:bidi w:val="0"/>
        <w:jc w:val="center"/>
        <w:rPr>
          <w:rFonts w:hint="default" w:ascii="Times New Roman" w:hAnsi="Times New Roman" w:cs="Times New Roman"/>
          <w:b/>
          <w:bCs/>
          <w:sz w:val="52"/>
          <w:szCs w:val="72"/>
        </w:rPr>
      </w:pPr>
    </w:p>
    <w:p>
      <w:pPr>
        <w:spacing w:line="480" w:lineRule="auto"/>
        <w:textAlignment w:val="top"/>
        <w:rPr>
          <w:rFonts w:hint="default" w:ascii="Times New Roman" w:hAnsi="Times New Roman" w:cs="Times New Roman"/>
          <w:b/>
          <w:bCs/>
          <w:sz w:val="52"/>
          <w:szCs w:val="72"/>
        </w:rPr>
      </w:pPr>
      <w:r>
        <w:rPr>
          <w:rFonts w:hint="default" w:ascii="Times New Roman" w:hAnsi="Times New Roman"/>
          <w:b/>
          <w:kern w:val="0"/>
          <w:sz w:val="32"/>
          <w:szCs w:val="32"/>
        </w:rPr>
        <w:t>Supplementary data</w:t>
      </w:r>
    </w:p>
    <w:p>
      <w:pPr>
        <w:pStyle w:val="6"/>
        <w:tabs>
          <w:tab w:val="right" w:leader="dot" w:pos="8306"/>
        </w:tabs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</w:rPr>
        <w:fldChar w:fldCharType="begin"/>
      </w:r>
      <w:r>
        <w:rPr>
          <w:rFonts w:hint="default" w:ascii="Times New Roman" w:hAnsi="Times New Roman" w:cs="Times New Roman"/>
          <w:b/>
          <w:bCs/>
          <w:sz w:val="36"/>
          <w:szCs w:val="36"/>
        </w:rPr>
        <w:instrText xml:space="preserve">TOC \o "1-2" \h \u </w:instrText>
      </w:r>
      <w:r>
        <w:rPr>
          <w:rFonts w:hint="default" w:ascii="Times New Roman" w:hAnsi="Times New Roman" w:cs="Times New Roman"/>
          <w:b/>
          <w:bCs/>
          <w:sz w:val="36"/>
          <w:szCs w:val="36"/>
        </w:rPr>
        <w:fldChar w:fldCharType="separate"/>
      </w:r>
      <w:r>
        <w:rPr>
          <w:rFonts w:hint="default" w:ascii="Times New Roman" w:hAnsi="Times New Roman" w:cs="Times New Roman"/>
          <w:bCs/>
          <w:sz w:val="36"/>
          <w:szCs w:val="36"/>
        </w:rPr>
        <w:fldChar w:fldCharType="begin"/>
      </w:r>
      <w:r>
        <w:rPr>
          <w:rFonts w:hint="default" w:ascii="Times New Roman" w:hAnsi="Times New Roman" w:cs="Times New Roman"/>
          <w:bCs/>
          <w:sz w:val="36"/>
          <w:szCs w:val="36"/>
        </w:rPr>
        <w:instrText xml:space="preserve"> HYPERLINK \l _Toc21050 </w:instrText>
      </w:r>
      <w:r>
        <w:rPr>
          <w:rFonts w:hint="default" w:ascii="Times New Roman" w:hAnsi="Times New Roman" w:cs="Times New Roman"/>
          <w:bCs/>
          <w:sz w:val="36"/>
          <w:szCs w:val="36"/>
        </w:rPr>
        <w:fldChar w:fldCharType="separate"/>
      </w:r>
      <w:r>
        <w:rPr>
          <w:rFonts w:hint="default" w:ascii="Times New Roman" w:hAnsi="Times New Roman" w:cs="Times New Roman"/>
          <w:sz w:val="36"/>
          <w:szCs w:val="36"/>
        </w:rPr>
        <w:t>Supplementary Methods</w:t>
      </w:r>
      <w:r>
        <w:rPr>
          <w:rFonts w:hint="default" w:ascii="Times New Roman" w:hAnsi="Times New Roman" w:cs="Times New Roman"/>
          <w:sz w:val="36"/>
          <w:szCs w:val="36"/>
        </w:rPr>
        <w:tab/>
      </w:r>
      <w:r>
        <w:rPr>
          <w:rFonts w:hint="default" w:ascii="Times New Roman" w:hAnsi="Times New Roman" w:cs="Times New Roman"/>
          <w:sz w:val="36"/>
          <w:szCs w:val="36"/>
        </w:rPr>
        <w:fldChar w:fldCharType="begin"/>
      </w:r>
      <w:r>
        <w:rPr>
          <w:rFonts w:hint="default" w:ascii="Times New Roman" w:hAnsi="Times New Roman" w:cs="Times New Roman"/>
          <w:sz w:val="36"/>
          <w:szCs w:val="36"/>
        </w:rPr>
        <w:instrText xml:space="preserve"> PAGEREF _Toc21050 \h </w:instrText>
      </w:r>
      <w:r>
        <w:rPr>
          <w:rFonts w:hint="default" w:ascii="Times New Roman" w:hAnsi="Times New Roman" w:cs="Times New Roman"/>
          <w:sz w:val="36"/>
          <w:szCs w:val="36"/>
        </w:rPr>
        <w:fldChar w:fldCharType="separate"/>
      </w:r>
      <w:r>
        <w:rPr>
          <w:rFonts w:hint="default" w:ascii="Times New Roman" w:hAnsi="Times New Roman" w:cs="Times New Roman"/>
          <w:sz w:val="36"/>
          <w:szCs w:val="36"/>
        </w:rPr>
        <w:t>2</w:t>
      </w:r>
      <w:r>
        <w:rPr>
          <w:rFonts w:hint="default" w:ascii="Times New Roman" w:hAnsi="Times New Roman" w:cs="Times New Roman"/>
          <w:sz w:val="36"/>
          <w:szCs w:val="36"/>
        </w:rPr>
        <w:fldChar w:fldCharType="end"/>
      </w:r>
      <w:r>
        <w:rPr>
          <w:rFonts w:hint="default" w:ascii="Times New Roman" w:hAnsi="Times New Roman" w:cs="Times New Roman"/>
          <w:bCs/>
          <w:sz w:val="36"/>
          <w:szCs w:val="36"/>
        </w:rPr>
        <w:fldChar w:fldCharType="end"/>
      </w:r>
    </w:p>
    <w:p>
      <w:pPr>
        <w:pStyle w:val="6"/>
        <w:tabs>
          <w:tab w:val="right" w:leader="dot" w:pos="8306"/>
        </w:tabs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cs="Times New Roman"/>
          <w:bCs/>
          <w:sz w:val="36"/>
          <w:szCs w:val="36"/>
        </w:rPr>
        <w:fldChar w:fldCharType="begin"/>
      </w:r>
      <w:r>
        <w:rPr>
          <w:rFonts w:hint="default" w:ascii="Times New Roman" w:hAnsi="Times New Roman" w:cs="Times New Roman"/>
          <w:bCs/>
          <w:sz w:val="36"/>
          <w:szCs w:val="36"/>
        </w:rPr>
        <w:instrText xml:space="preserve"> HYPERLINK \l _Toc27134 </w:instrText>
      </w:r>
      <w:r>
        <w:rPr>
          <w:rFonts w:hint="default" w:ascii="Times New Roman" w:hAnsi="Times New Roman" w:cs="Times New Roman"/>
          <w:bCs/>
          <w:sz w:val="36"/>
          <w:szCs w:val="36"/>
        </w:rPr>
        <w:fldChar w:fldCharType="separate"/>
      </w:r>
      <w:r>
        <w:rPr>
          <w:rFonts w:hint="default" w:ascii="Times New Roman" w:hAnsi="Times New Roman" w:cs="Times New Roman"/>
          <w:sz w:val="36"/>
          <w:szCs w:val="36"/>
        </w:rPr>
        <w:t xml:space="preserve">Supplementary </w:t>
      </w:r>
      <w:r>
        <w:rPr>
          <w:rFonts w:hint="default" w:ascii="Times New Roman" w:hAnsi="Times New Roman" w:cs="Times New Roman"/>
          <w:sz w:val="36"/>
          <w:szCs w:val="36"/>
          <w:lang w:val="en-US" w:eastAsia="zh-CN"/>
        </w:rPr>
        <w:t>Figure</w:t>
      </w:r>
      <w:r>
        <w:rPr>
          <w:rFonts w:hint="default" w:ascii="Times New Roman" w:hAnsi="Times New Roman" w:cs="Times New Roman"/>
          <w:sz w:val="36"/>
          <w:szCs w:val="36"/>
        </w:rPr>
        <w:t>s</w:t>
      </w:r>
      <w:r>
        <w:rPr>
          <w:rFonts w:hint="default" w:ascii="Times New Roman" w:hAnsi="Times New Roman" w:cs="Times New Roman"/>
          <w:sz w:val="36"/>
          <w:szCs w:val="36"/>
        </w:rPr>
        <w:tab/>
      </w:r>
      <w:r>
        <w:rPr>
          <w:rFonts w:hint="default" w:ascii="Times New Roman" w:hAnsi="Times New Roman" w:cs="Times New Roman"/>
          <w:sz w:val="36"/>
          <w:szCs w:val="36"/>
        </w:rPr>
        <w:fldChar w:fldCharType="begin"/>
      </w:r>
      <w:r>
        <w:rPr>
          <w:rFonts w:hint="default" w:ascii="Times New Roman" w:hAnsi="Times New Roman" w:cs="Times New Roman"/>
          <w:sz w:val="36"/>
          <w:szCs w:val="36"/>
        </w:rPr>
        <w:instrText xml:space="preserve"> PAGEREF _Toc27134 \h </w:instrText>
      </w:r>
      <w:r>
        <w:rPr>
          <w:rFonts w:hint="default" w:ascii="Times New Roman" w:hAnsi="Times New Roman" w:cs="Times New Roman"/>
          <w:sz w:val="36"/>
          <w:szCs w:val="36"/>
        </w:rPr>
        <w:fldChar w:fldCharType="separate"/>
      </w:r>
      <w:r>
        <w:rPr>
          <w:rFonts w:hint="default" w:ascii="Times New Roman" w:hAnsi="Times New Roman" w:cs="Times New Roman"/>
          <w:sz w:val="36"/>
          <w:szCs w:val="36"/>
        </w:rPr>
        <w:t>4</w:t>
      </w:r>
      <w:r>
        <w:rPr>
          <w:rFonts w:hint="default" w:ascii="Times New Roman" w:hAnsi="Times New Roman" w:cs="Times New Roman"/>
          <w:sz w:val="36"/>
          <w:szCs w:val="36"/>
        </w:rPr>
        <w:fldChar w:fldCharType="end"/>
      </w:r>
      <w:r>
        <w:rPr>
          <w:rFonts w:hint="default" w:ascii="Times New Roman" w:hAnsi="Times New Roman" w:cs="Times New Roman"/>
          <w:bCs/>
          <w:sz w:val="36"/>
          <w:szCs w:val="36"/>
        </w:rPr>
        <w:fldChar w:fldCharType="end"/>
      </w:r>
    </w:p>
    <w:p>
      <w:pPr>
        <w:pStyle w:val="6"/>
        <w:tabs>
          <w:tab w:val="right" w:leader="dot" w:pos="8306"/>
        </w:tabs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cs="Times New Roman"/>
          <w:bCs/>
          <w:sz w:val="36"/>
          <w:szCs w:val="36"/>
        </w:rPr>
        <w:fldChar w:fldCharType="begin"/>
      </w:r>
      <w:r>
        <w:rPr>
          <w:rFonts w:hint="default" w:ascii="Times New Roman" w:hAnsi="Times New Roman" w:cs="Times New Roman"/>
          <w:bCs/>
          <w:sz w:val="36"/>
          <w:szCs w:val="36"/>
        </w:rPr>
        <w:instrText xml:space="preserve"> HYPERLINK \l _Toc5592 </w:instrText>
      </w:r>
      <w:r>
        <w:rPr>
          <w:rFonts w:hint="default" w:ascii="Times New Roman" w:hAnsi="Times New Roman" w:cs="Times New Roman"/>
          <w:bCs/>
          <w:sz w:val="36"/>
          <w:szCs w:val="36"/>
        </w:rPr>
        <w:fldChar w:fldCharType="separate"/>
      </w:r>
      <w:r>
        <w:rPr>
          <w:rFonts w:hint="default" w:ascii="Times New Roman" w:hAnsi="Times New Roman" w:cs="Times New Roman"/>
          <w:sz w:val="36"/>
          <w:szCs w:val="36"/>
        </w:rPr>
        <w:t xml:space="preserve">Supplementary </w:t>
      </w:r>
      <w:r>
        <w:rPr>
          <w:rFonts w:hint="default" w:ascii="Times New Roman" w:hAnsi="Times New Roman" w:cs="Times New Roman"/>
          <w:sz w:val="36"/>
          <w:szCs w:val="36"/>
          <w:lang w:val="en-US" w:eastAsia="zh-CN"/>
        </w:rPr>
        <w:t>Tables</w:t>
      </w:r>
      <w:r>
        <w:rPr>
          <w:rFonts w:hint="default" w:ascii="Times New Roman" w:hAnsi="Times New Roman" w:cs="Times New Roman"/>
          <w:sz w:val="36"/>
          <w:szCs w:val="36"/>
        </w:rPr>
        <w:tab/>
      </w:r>
      <w:r>
        <w:rPr>
          <w:rFonts w:hint="default" w:ascii="Times New Roman" w:hAnsi="Times New Roman" w:cs="Times New Roman"/>
          <w:sz w:val="36"/>
          <w:szCs w:val="36"/>
        </w:rPr>
        <w:fldChar w:fldCharType="begin"/>
      </w:r>
      <w:r>
        <w:rPr>
          <w:rFonts w:hint="default" w:ascii="Times New Roman" w:hAnsi="Times New Roman" w:cs="Times New Roman"/>
          <w:sz w:val="36"/>
          <w:szCs w:val="36"/>
        </w:rPr>
        <w:instrText xml:space="preserve"> PAGEREF _Toc5592 \h </w:instrText>
      </w:r>
      <w:r>
        <w:rPr>
          <w:rFonts w:hint="default" w:ascii="Times New Roman" w:hAnsi="Times New Roman" w:cs="Times New Roman"/>
          <w:sz w:val="36"/>
          <w:szCs w:val="36"/>
        </w:rPr>
        <w:fldChar w:fldCharType="separate"/>
      </w:r>
      <w:r>
        <w:rPr>
          <w:rFonts w:hint="default" w:ascii="Times New Roman" w:hAnsi="Times New Roman" w:cs="Times New Roman"/>
          <w:sz w:val="36"/>
          <w:szCs w:val="36"/>
        </w:rPr>
        <w:t>6</w:t>
      </w:r>
      <w:r>
        <w:rPr>
          <w:rFonts w:hint="default" w:ascii="Times New Roman" w:hAnsi="Times New Roman" w:cs="Times New Roman"/>
          <w:sz w:val="36"/>
          <w:szCs w:val="36"/>
        </w:rPr>
        <w:fldChar w:fldCharType="end"/>
      </w:r>
      <w:r>
        <w:rPr>
          <w:rFonts w:hint="default" w:ascii="Times New Roman" w:hAnsi="Times New Roman" w:cs="Times New Roman"/>
          <w:bCs/>
          <w:sz w:val="36"/>
          <w:szCs w:val="36"/>
        </w:rPr>
        <w:fldChar w:fldCharType="end"/>
      </w:r>
    </w:p>
    <w:p>
      <w:pPr>
        <w:widowControl/>
        <w:autoSpaceDE w:val="0"/>
        <w:autoSpaceDN w:val="0"/>
        <w:adjustRightInd w:val="0"/>
        <w:spacing w:line="360" w:lineRule="auto"/>
        <w:jc w:val="left"/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Cs/>
          <w:sz w:val="36"/>
          <w:szCs w:val="36"/>
        </w:rPr>
        <w:fldChar w:fldCharType="end"/>
      </w:r>
    </w:p>
    <w:p>
      <w:pPr>
        <w:spacing w:line="360" w:lineRule="auto"/>
        <w:jc w:val="center"/>
        <w:outlineLvl w:val="9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jc w:val="center"/>
        <w:outlineLvl w:val="9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jc w:val="center"/>
        <w:outlineLvl w:val="9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jc w:val="center"/>
        <w:outlineLvl w:val="9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jc w:val="center"/>
        <w:outlineLvl w:val="9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pStyle w:val="3"/>
        <w:bidi w:val="0"/>
        <w:rPr>
          <w:rFonts w:hint="default" w:ascii="Times New Roman" w:hAnsi="Times New Roman" w:cs="Times New Roman"/>
        </w:rPr>
      </w:pPr>
      <w:bookmarkStart w:id="0" w:name="_Toc21050"/>
      <w:r>
        <w:rPr>
          <w:rFonts w:hint="default" w:ascii="Times New Roman" w:hAnsi="Times New Roman" w:cs="Times New Roman"/>
        </w:rPr>
        <w:t>Supplementary Methods</w:t>
      </w:r>
      <w:bookmarkEnd w:id="0"/>
    </w:p>
    <w:p>
      <w:pPr>
        <w:widowControl/>
        <w:autoSpaceDE w:val="0"/>
        <w:autoSpaceDN w:val="0"/>
        <w:adjustRightInd w:val="0"/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  <w:bookmarkStart w:id="1" w:name="_Hlk105840949"/>
      <w:r>
        <w:rPr>
          <w:rFonts w:hint="default" w:ascii="Times New Roman" w:hAnsi="Times New Roman" w:cs="Times New Roman"/>
          <w:sz w:val="24"/>
          <w:szCs w:val="24"/>
        </w:rPr>
        <w:t>HBV-miR-3 standard</w:t>
      </w:r>
    </w:p>
    <w:bookmarkEnd w:id="1"/>
    <w:p>
      <w:pPr>
        <w:widowControl/>
        <w:autoSpaceDE w:val="0"/>
        <w:autoSpaceDN w:val="0"/>
        <w:adjustRightInd w:val="0"/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 series of HBV-miR-3 standard stock solution (10-fold serial dilutions from 10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8</w:t>
      </w:r>
      <w:r>
        <w:rPr>
          <w:rFonts w:hint="default" w:ascii="Times New Roman" w:hAnsi="Times New Roman" w:cs="Times New Roman"/>
          <w:sz w:val="24"/>
          <w:szCs w:val="24"/>
        </w:rPr>
        <w:t>copies to 10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copies) was generated according to the formula to establish the dilution curve of the qPCR standard. Formula: Copy number was determined according to the equation: copy number/mL = 6.02×10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 xml:space="preserve">23 </w:t>
      </w:r>
      <w:r>
        <w:rPr>
          <w:rFonts w:hint="default" w:ascii="Times New Roman" w:hAnsi="Times New Roman" w:cs="Times New Roman"/>
          <w:sz w:val="24"/>
          <w:szCs w:val="24"/>
        </w:rPr>
        <w:t>(copies/mol)×concentration (g/mL)/MW (g/mol). HBV-miR-3 template from the literature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ADDIN  EN.CITE &lt;EndNote&gt;&lt;Cite&gt;&lt;Author&gt;X&lt;/Author&gt;&lt;Year&gt;2017&lt;/Year&gt;&lt;RecNum&gt;71&lt;/RecNum&gt;&lt;DisplayText&gt;&lt;style face="superscript"&gt;30&lt;/style&gt;&lt;/DisplayText&gt;&lt;record&gt;&lt;rec-number&gt;71&lt;/rec-number&gt;&lt;foreign-keys&gt;&lt;key app="EN" db-id="rxw2az2sr9v5eseapezpv0v3vvzex5d2vd9d" timestamp="1654140913"&gt;71&lt;/key&gt;&lt;/foreign-keys&gt;&lt;ref-type name="Journal Article"&gt;17&lt;/ref-type&gt;&lt;contributors&gt;&lt;authors&gt;&lt;author&gt;Yang X&lt;/author&gt;&lt;author&gt;Li H&lt;/author&gt;&lt;author&gt;Sun H&lt;/author&gt;&lt;author&gt;Fan H&lt;/author&gt;&lt;author&gt;Hu Y&lt;/author&gt;&lt;author&gt;Liu M&lt;/author&gt;&lt;author&gt;Li X&lt;/author&gt;&lt;author&gt;Tang H %J Journal of virology&lt;/author&gt;&lt;/authors&gt;&lt;/contributors&gt;&lt;titles&gt;&lt;title&gt;Hepatitis B Virus-Encoded MicroRNA Controls Viral Replication&lt;/title&gt;&lt;/titles&gt;&lt;volume&gt;91&lt;/volume&gt;&lt;number&gt;10&lt;/number&gt;&lt;dates&gt;&lt;year&gt;2017&lt;/year&gt;&lt;/dates&gt;&lt;accession-num&gt;28148795&lt;/accession-num&gt;&lt;label&gt;5.103&lt;/label&gt;&lt;urls&gt;&lt;/urls&gt;&lt;electronic-resource-num&gt;10.1128/jvi.01919-16&lt;/electronic-resource-num&gt;&lt;/record&gt;&lt;/Cite&gt;&lt;/EndNote&gt;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30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>: TGCGACTGGATGTGTCTGCGGCGTTTGTCGTATCCAGTGCACCTCGGACCCTGCACTGG</w:t>
      </w:r>
    </w:p>
    <w:p>
      <w:pPr>
        <w:widowControl/>
        <w:autoSpaceDE w:val="0"/>
        <w:autoSpaceDN w:val="0"/>
        <w:adjustRightInd w:val="0"/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widowControl/>
        <w:autoSpaceDE w:val="0"/>
        <w:autoSpaceDN w:val="0"/>
        <w:adjustRightInd w:val="0"/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widowControl/>
        <w:autoSpaceDE w:val="0"/>
        <w:autoSpaceDN w:val="0"/>
        <w:adjustRightInd w:val="0"/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3648075" cy="4648200"/>
            <wp:effectExtent l="0" t="0" r="9525" b="0"/>
            <wp:docPr id="1" name="图片 1" descr="标准曲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标准曲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autoSpaceDE w:val="0"/>
        <w:autoSpaceDN w:val="0"/>
        <w:adjustRightInd w:val="0"/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Figure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t>.(A) Amplification curves of HBV-miR-3 that were measured by the replication cycles versus delta Rn. Amplification curves show the results of HBV-miR-3 at the concentrations from 6×10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to 6×10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8</w:t>
      </w:r>
      <w:r>
        <w:rPr>
          <w:rFonts w:hint="default" w:ascii="Times New Roman" w:hAnsi="Times New Roman" w:cs="Times New Roman"/>
          <w:sz w:val="24"/>
          <w:szCs w:val="24"/>
        </w:rPr>
        <w:t xml:space="preserve"> copies/mL. (B) Correlations between the cycle threshold (Ct) and the concentration of HBV-miR-3. The x-axis indicates the log10 values of HBV-miR-3 concentrations from 6×10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copies/mL to 6×10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8</w:t>
      </w:r>
      <w:r>
        <w:rPr>
          <w:rFonts w:hint="default" w:ascii="Times New Roman" w:hAnsi="Times New Roman" w:cs="Times New Roman"/>
          <w:sz w:val="24"/>
          <w:szCs w:val="24"/>
        </w:rPr>
        <w:t xml:space="preserve"> copies/mL, while the y-axis shows the cycle threshold. The correlation coefficient was -3.48395 with R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=0.99349. </w:t>
      </w:r>
    </w:p>
    <w:p>
      <w:pPr>
        <w:widowControl/>
        <w:autoSpaceDE w:val="0"/>
        <w:autoSpaceDN w:val="0"/>
        <w:adjustRightInd w:val="0"/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kern w:val="0"/>
          <w:sz w:val="24"/>
          <w:lang w:eastAsia="en-US"/>
        </w:rPr>
        <w:t xml:space="preserve">Table 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 xml:space="preserve">S1  </w:t>
      </w:r>
      <w:r>
        <w:rPr>
          <w:rFonts w:hint="default" w:ascii="Times New Roman" w:hAnsi="Times New Roman" w:cs="Times New Roman"/>
          <w:sz w:val="24"/>
          <w:szCs w:val="24"/>
        </w:rPr>
        <w:t>Detection of HBV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-miR-3</w:t>
      </w:r>
      <w:r>
        <w:rPr>
          <w:rFonts w:hint="default" w:ascii="Times New Roman" w:hAnsi="Times New Roman" w:cs="Times New Roman"/>
          <w:sz w:val="24"/>
          <w:szCs w:val="24"/>
        </w:rPr>
        <w:t xml:space="preserve"> in samples harboring the high concentrations of </w:t>
      </w:r>
    </w:p>
    <w:p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HBV DNA treated with or without DNase I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or </w:t>
      </w:r>
      <w:r>
        <w:rPr>
          <w:rFonts w:hint="default" w:ascii="Times New Roman" w:hAnsi="Times New Roman" w:cs="Times New Roman"/>
          <w:sz w:val="24"/>
          <w:szCs w:val="24"/>
        </w:rPr>
        <w:t>before and after passing the column.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661"/>
        <w:gridCol w:w="1372"/>
        <w:gridCol w:w="1849"/>
        <w:gridCol w:w="2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0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Absence of DNase I</w:t>
            </w:r>
          </w:p>
        </w:tc>
        <w:tc>
          <w:tcPr>
            <w:tcW w:w="3221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Treated with DNase I</w:t>
            </w:r>
          </w:p>
        </w:tc>
        <w:tc>
          <w:tcPr>
            <w:tcW w:w="2271" w:type="dxa"/>
            <w:vMerge w:val="restart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p-value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(a) vs. (b)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DNA</w:t>
            </w:r>
          </w:p>
        </w:tc>
        <w:tc>
          <w:tcPr>
            <w:tcW w:w="166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HBV-miR-3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 xml:space="preserve">(a) </w:t>
            </w:r>
          </w:p>
        </w:tc>
        <w:tc>
          <w:tcPr>
            <w:tcW w:w="1372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DNA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HBV-miR-3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 xml:space="preserve"> (b)</w:t>
            </w:r>
          </w:p>
        </w:tc>
        <w:tc>
          <w:tcPr>
            <w:tcW w:w="2271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6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±0.09*</w:t>
            </w:r>
          </w:p>
        </w:tc>
        <w:tc>
          <w:tcPr>
            <w:tcW w:w="137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&lt;LOD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27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/>
              </w:rPr>
              <w:t>0.2526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6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37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&lt;LOD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27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/>
              </w:rPr>
              <w:t>0.9526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6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37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&lt;LOD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27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/>
              </w:rPr>
              <w:t>0.1756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0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before</w:t>
            </w:r>
          </w:p>
        </w:tc>
        <w:tc>
          <w:tcPr>
            <w:tcW w:w="3221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after</w:t>
            </w:r>
          </w:p>
        </w:tc>
        <w:tc>
          <w:tcPr>
            <w:tcW w:w="2271" w:type="dxa"/>
            <w:vMerge w:val="restart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p-value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(a) vs. (b)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NA</w:t>
            </w:r>
          </w:p>
        </w:tc>
        <w:tc>
          <w:tcPr>
            <w:tcW w:w="166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HBV-miR-3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 xml:space="preserve">(a) </w:t>
            </w:r>
          </w:p>
        </w:tc>
        <w:tc>
          <w:tcPr>
            <w:tcW w:w="1372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pgR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NA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HBV-miR-3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 xml:space="preserve"> (b)</w:t>
            </w:r>
          </w:p>
        </w:tc>
        <w:tc>
          <w:tcPr>
            <w:tcW w:w="2271" w:type="dxa"/>
            <w:vMerge w:val="continue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66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37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&lt;LOD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2271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±0.09*</w:t>
            </w:r>
          </w:p>
        </w:tc>
        <w:tc>
          <w:tcPr>
            <w:tcW w:w="166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2.80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37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&lt;LOD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271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0.2526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9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±0.09*</w:t>
            </w:r>
          </w:p>
        </w:tc>
        <w:tc>
          <w:tcPr>
            <w:tcW w:w="166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37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&lt;LOD</w:t>
            </w:r>
          </w:p>
        </w:tc>
        <w:tc>
          <w:tcPr>
            <w:tcW w:w="184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271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0.1756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*: Mean ± standard deviation (n=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 xml:space="preserve">); LOD: Limit of detection for HBV DNA is 20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IU/mL. HBV DNA and 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>HBV-miR-3</w:t>
      </w:r>
      <w:r>
        <w:rPr>
          <w:rFonts w:hint="default" w:ascii="Times New Roman" w:hAnsi="Times New Roman" w:cs="Times New Roman"/>
          <w:sz w:val="24"/>
          <w:szCs w:val="24"/>
        </w:rPr>
        <w:t xml:space="preserve"> were quantified by log10 IU/mL and log10 copies/mL, respectively.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*: Mean ± standard deviation (n=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 xml:space="preserve">); LOD: Limit of detection for HBV DNA is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30</w:t>
      </w:r>
      <w:r>
        <w:rPr>
          <w:rFonts w:hint="default" w:ascii="Times New Roman" w:hAnsi="Times New Roman" w:cs="Times New Roman"/>
          <w:sz w:val="24"/>
          <w:szCs w:val="24"/>
        </w:rPr>
        <w:t>0 copies/mL.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HBV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pgR</w:t>
      </w:r>
      <w:r>
        <w:rPr>
          <w:rFonts w:hint="default" w:ascii="Times New Roman" w:hAnsi="Times New Roman" w:cs="Times New Roman"/>
          <w:sz w:val="24"/>
          <w:szCs w:val="24"/>
        </w:rPr>
        <w:t xml:space="preserve">NA and 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>HBV-miR-3</w:t>
      </w:r>
      <w:r>
        <w:rPr>
          <w:rFonts w:hint="default" w:ascii="Times New Roman" w:hAnsi="Times New Roman" w:cs="Times New Roman"/>
          <w:sz w:val="24"/>
          <w:szCs w:val="24"/>
        </w:rPr>
        <w:t xml:space="preserve"> were quantified by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log10 copies/mL, respectively.</w:t>
      </w: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pStyle w:val="3"/>
        <w:bidi w:val="0"/>
        <w:rPr>
          <w:rFonts w:hint="default" w:ascii="Times New Roman" w:hAnsi="Times New Roman" w:cs="Times New Roman"/>
        </w:rPr>
      </w:pPr>
      <w:bookmarkStart w:id="2" w:name="_Toc27134"/>
      <w:r>
        <w:rPr>
          <w:rFonts w:hint="default" w:ascii="Times New Roman" w:hAnsi="Times New Roman" w:cs="Times New Roman"/>
        </w:rPr>
        <w:t xml:space="preserve">Supplementary </w:t>
      </w:r>
      <w:r>
        <w:rPr>
          <w:rFonts w:hint="eastAsia" w:ascii="Times New Roman" w:hAnsi="Times New Roman" w:cs="Times New Roman"/>
          <w:lang w:val="en-US" w:eastAsia="zh-CN"/>
        </w:rPr>
        <w:t>F</w:t>
      </w:r>
      <w:r>
        <w:rPr>
          <w:rFonts w:hint="default" w:ascii="Times New Roman" w:hAnsi="Times New Roman" w:cs="Times New Roman"/>
          <w:lang w:val="en-US" w:eastAsia="zh-CN"/>
        </w:rPr>
        <w:t>igure</w:t>
      </w:r>
      <w:r>
        <w:rPr>
          <w:rFonts w:hint="default" w:ascii="Times New Roman" w:hAnsi="Times New Roman" w:cs="Times New Roman"/>
        </w:rPr>
        <w:t>s</w:t>
      </w:r>
      <w:bookmarkEnd w:id="2"/>
    </w:p>
    <w:p>
      <w:pPr>
        <w:spacing w:line="360" w:lineRule="auto"/>
        <w:outlineLvl w:val="9"/>
        <w:rPr>
          <w:rFonts w:hint="eastAsia" w:ascii="Times New Roman" w:hAnsi="Times New Roman" w:eastAsia="宋体"/>
          <w:b/>
          <w:sz w:val="24"/>
          <w:lang w:eastAsia="zh-CN"/>
        </w:rPr>
      </w:pPr>
    </w:p>
    <w:p>
      <w:pPr>
        <w:outlineLvl w:val="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10175" cy="6143625"/>
            <wp:effectExtent l="0" t="0" r="9525" b="3175"/>
            <wp:docPr id="6" name="图片 9" descr="HBsAg-SR-NSR+动态变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HBsAg-SR-NSR+动态变化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utlineLvl w:val="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Figure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</w:p>
    <w:p>
      <w:pPr>
        <w:outlineLvl w:val="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Figure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2 : </w:t>
      </w:r>
      <w:r>
        <w:rPr>
          <w:rFonts w:hint="default" w:ascii="Times New Roman" w:hAnsi="Times New Roman" w:cs="Times New Roman"/>
          <w:sz w:val="24"/>
          <w:szCs w:val="24"/>
        </w:rPr>
        <w:t>HBV biomarker change between HBsAg</w:t>
      </w:r>
      <w:r>
        <w:rPr>
          <w:rFonts w:hint="default" w:ascii="Times New Roman" w:hAnsi="Times New Roman" w:eastAsia="微软雅黑" w:cs="Times New Roman"/>
          <w:sz w:val="24"/>
          <w:szCs w:val="24"/>
        </w:rPr>
        <w:t>≦</w:t>
      </w:r>
      <w:r>
        <w:rPr>
          <w:rFonts w:hint="default" w:ascii="Times New Roman" w:hAnsi="Times New Roman" w:cs="Times New Roman"/>
          <w:sz w:val="24"/>
          <w:szCs w:val="24"/>
        </w:rPr>
        <w:t>100 IU/ml group and  HBsAg</w:t>
      </w:r>
      <w:r>
        <w:rPr>
          <w:rFonts w:hint="default" w:ascii="Times New Roman" w:hAnsi="Times New Roman" w:eastAsia="微软雅黑" w:cs="Times New Roman"/>
          <w:sz w:val="24"/>
          <w:szCs w:val="24"/>
        </w:rPr>
        <w:t>&gt;</w:t>
      </w:r>
      <w:r>
        <w:rPr>
          <w:rFonts w:hint="default" w:ascii="Times New Roman" w:hAnsi="Times New Roman" w:cs="Times New Roman"/>
          <w:sz w:val="24"/>
          <w:szCs w:val="24"/>
        </w:rPr>
        <w:t>100 IU/ml group. A: Dynamic changes of HBV-miR3, HBV DNA, HBsAg, and HBeAg. B: Differences in HBV-miR3 between HBsAg</w:t>
      </w:r>
      <w:r>
        <w:rPr>
          <w:rFonts w:hint="default" w:ascii="Times New Roman" w:hAnsi="Times New Roman" w:eastAsia="微软雅黑" w:cs="Times New Roman"/>
          <w:sz w:val="24"/>
          <w:szCs w:val="24"/>
        </w:rPr>
        <w:t>≦</w:t>
      </w:r>
      <w:r>
        <w:rPr>
          <w:rFonts w:hint="default" w:ascii="Times New Roman" w:hAnsi="Times New Roman" w:cs="Times New Roman"/>
          <w:sz w:val="24"/>
          <w:szCs w:val="24"/>
        </w:rPr>
        <w:t>100 IU/ml group and HBsAg</w:t>
      </w:r>
      <w:r>
        <w:rPr>
          <w:rFonts w:hint="default" w:ascii="Times New Roman" w:hAnsi="Times New Roman" w:eastAsia="微软雅黑" w:cs="Times New Roman"/>
          <w:sz w:val="24"/>
          <w:szCs w:val="24"/>
        </w:rPr>
        <w:t>&gt;</w:t>
      </w:r>
      <w:r>
        <w:rPr>
          <w:rFonts w:hint="default" w:ascii="Times New Roman" w:hAnsi="Times New Roman" w:cs="Times New Roman"/>
          <w:sz w:val="24"/>
          <w:szCs w:val="24"/>
        </w:rPr>
        <w:t>100 IU/ml group at different time.</w:t>
      </w:r>
    </w:p>
    <w:p>
      <w:pPr>
        <w:spacing w:line="360" w:lineRule="auto"/>
        <w:outlineLvl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outlineLvl w:val="9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pStyle w:val="3"/>
        <w:bidi w:val="0"/>
        <w:rPr>
          <w:rFonts w:hint="default" w:ascii="Times New Roman" w:hAnsi="Times New Roman" w:cs="Times New Roman"/>
          <w:lang w:val="en-US" w:eastAsia="zh-CN"/>
        </w:rPr>
      </w:pPr>
      <w:bookmarkStart w:id="3" w:name="_Toc5592"/>
      <w:r>
        <w:rPr>
          <w:rFonts w:hint="default" w:ascii="Times New Roman" w:hAnsi="Times New Roman" w:cs="Times New Roman"/>
        </w:rPr>
        <w:t xml:space="preserve">Supplementary </w:t>
      </w: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>ables</w:t>
      </w:r>
      <w:bookmarkEnd w:id="3"/>
    </w:p>
    <w:p>
      <w:pPr>
        <w:spacing w:line="360" w:lineRule="auto"/>
        <w:outlineLvl w:val="9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napToGrid/>
        <w:spacing w:line="480" w:lineRule="auto"/>
        <w:outlineLvl w:val="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Table</w:t>
      </w:r>
      <w:r>
        <w:rPr>
          <w:rFonts w:hint="eastAsia" w:ascii="Times New Roman" w:hAnsi="Times New Roman"/>
          <w:sz w:val="24"/>
          <w:lang w:val="en-US" w:eastAsia="zh-CN"/>
        </w:rPr>
        <w:t xml:space="preserve"> S2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  <w:lang w:val="en-US" w:eastAsia="zh-CN"/>
        </w:rPr>
        <w:t xml:space="preserve"> </w:t>
      </w:r>
      <w:r>
        <w:rPr>
          <w:rFonts w:ascii="Times New Roman" w:hAnsi="Times New Roman"/>
          <w:sz w:val="24"/>
        </w:rPr>
        <w:t xml:space="preserve">Baseline analysis of patient characteristics for HBsAg &lt;100 IU/ml </w:t>
      </w:r>
    </w:p>
    <w:tbl>
      <w:tblPr>
        <w:tblStyle w:val="7"/>
        <w:tblpPr w:leftFromText="181" w:rightFromText="181" w:vertAnchor="text" w:horzAnchor="page" w:tblpXSpec="center" w:tblpY="420"/>
        <w:tblOverlap w:val="never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3"/>
        <w:gridCol w:w="2053"/>
        <w:gridCol w:w="2488"/>
        <w:gridCol w:w="17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236" w:type="pct"/>
            <w:tcBorders>
              <w:top w:val="single" w:color="000000" w:sz="6" w:space="0"/>
              <w:bottom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</w:p>
        </w:tc>
        <w:tc>
          <w:tcPr>
            <w:tcW w:w="1236" w:type="pct"/>
            <w:tcBorders>
              <w:top w:val="single" w:color="000000" w:sz="6" w:space="0"/>
              <w:bottom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44" w:line="480" w:lineRule="auto"/>
              <w:ind w:left="193" w:right="48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bookmarkStart w:id="4" w:name="OLE_LINK19"/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HBsAg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&lt;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100</w:t>
            </w:r>
          </w:p>
          <w:bookmarkEnd w:id="4"/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44" w:line="480" w:lineRule="auto"/>
              <w:ind w:left="193" w:right="48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(</w:t>
            </w:r>
            <w:r>
              <w:rPr>
                <w:rFonts w:ascii="Palatino Linotype" w:hAnsi="Times New Roman" w:eastAsia="Times New Roman"/>
                <w:i/>
                <w:w w:val="105"/>
                <w:sz w:val="17"/>
                <w:szCs w:val="22"/>
                <w:lang w:eastAsia="en-US"/>
              </w:rPr>
              <w:t xml:space="preserve">n 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= 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77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)</w:t>
            </w:r>
          </w:p>
        </w:tc>
        <w:tc>
          <w:tcPr>
            <w:tcW w:w="1498" w:type="pct"/>
            <w:tcBorders>
              <w:top w:val="single" w:color="000000" w:sz="6" w:space="0"/>
              <w:bottom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33" w:line="480" w:lineRule="auto"/>
              <w:ind w:left="202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HBsAg</w:t>
            </w:r>
            <w:r>
              <w:rPr>
                <w:rFonts w:hint="eastAsia" w:ascii="宋体" w:hAnsi="宋体" w:cs="宋体"/>
                <w:sz w:val="17"/>
                <w:szCs w:val="22"/>
              </w:rPr>
              <w:t>≧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100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33" w:line="480" w:lineRule="auto"/>
              <w:ind w:left="202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 xml:space="preserve">(n = </w:t>
            </w:r>
            <w:r>
              <w:rPr>
                <w:rFonts w:ascii="Times New Roman" w:hAnsi="Times New Roman"/>
                <w:sz w:val="17"/>
                <w:szCs w:val="22"/>
              </w:rPr>
              <w:t>573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)</w:t>
            </w:r>
          </w:p>
        </w:tc>
        <w:tc>
          <w:tcPr>
            <w:tcW w:w="1029" w:type="pct"/>
            <w:tcBorders>
              <w:top w:val="single" w:color="000000" w:sz="6" w:space="0"/>
              <w:bottom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3" w:line="480" w:lineRule="auto"/>
              <w:ind w:left="84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Palatino Linotype" w:hAnsi="Times New Roman" w:eastAsia="Times New Roman"/>
                <w:i/>
                <w:sz w:val="17"/>
                <w:szCs w:val="22"/>
                <w:lang w:eastAsia="en-US"/>
              </w:rPr>
              <w:t xml:space="preserve">p 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36" w:type="pct"/>
            <w:tcBorders>
              <w:top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75"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Age (years)</w:t>
            </w:r>
          </w:p>
        </w:tc>
        <w:tc>
          <w:tcPr>
            <w:tcW w:w="1236" w:type="pct"/>
            <w:tcBorders>
              <w:top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75" w:line="480" w:lineRule="auto"/>
              <w:ind w:left="193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2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5.95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0.59</w:t>
            </w:r>
          </w:p>
        </w:tc>
        <w:tc>
          <w:tcPr>
            <w:tcW w:w="1498" w:type="pct"/>
            <w:tcBorders>
              <w:top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75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28.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46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29</w:t>
            </w:r>
          </w:p>
        </w:tc>
        <w:tc>
          <w:tcPr>
            <w:tcW w:w="1029" w:type="pct"/>
            <w:tcBorders>
              <w:top w:val="single" w:color="000000" w:sz="8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75" w:line="480" w:lineRule="auto"/>
              <w:ind w:firstLine="85" w:firstLineChars="50"/>
              <w:jc w:val="left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</w:t>
            </w:r>
            <w:r>
              <w:rPr>
                <w:rFonts w:ascii="Times New Roman" w:hAnsi="Times New Roman"/>
                <w:sz w:val="17"/>
                <w:szCs w:val="22"/>
              </w:rPr>
              <w:t>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Male gender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left="194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</w:rPr>
              <w:t>48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 xml:space="preserve"> (</w:t>
            </w:r>
            <w:r>
              <w:rPr>
                <w:rFonts w:ascii="Times New Roman" w:hAnsi="Times New Roman"/>
                <w:sz w:val="17"/>
                <w:szCs w:val="22"/>
              </w:rPr>
              <w:t>6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2.</w:t>
            </w:r>
            <w:r>
              <w:rPr>
                <w:rFonts w:ascii="Times New Roman" w:hAnsi="Times New Roman"/>
                <w:sz w:val="17"/>
                <w:szCs w:val="22"/>
              </w:rPr>
              <w:t>3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%)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</w:rPr>
              <w:t>421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 xml:space="preserve"> (7</w:t>
            </w:r>
            <w:r>
              <w:rPr>
                <w:rFonts w:ascii="Times New Roman" w:hAnsi="Times New Roman"/>
                <w:sz w:val="17"/>
                <w:szCs w:val="22"/>
              </w:rPr>
              <w:t>3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.5%)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firstLine="85" w:firstLineChars="50"/>
              <w:jc w:val="left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ascii="Times New Roman" w:hAnsi="Times New Roman"/>
                <w:sz w:val="17"/>
                <w:szCs w:val="22"/>
              </w:rPr>
              <w:t>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Body weight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left="194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</w:rPr>
              <w:t>61.01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1.27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6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4.08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0.4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7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firstLine="85" w:firstLineChars="50"/>
              <w:jc w:val="left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ascii="Times New Roman" w:hAnsi="Times New Roman"/>
                <w:sz w:val="17"/>
                <w:szCs w:val="22"/>
              </w:rPr>
              <w:t>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ALT (IU/mL)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left="194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</w:rPr>
              <w:t>209.31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16.1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</w:rPr>
              <w:t>189.55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5.76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ind w:firstLine="85" w:firstLineChars="50"/>
              <w:jc w:val="left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ascii="Times New Roman" w:hAnsi="Times New Roman"/>
                <w:sz w:val="17"/>
                <w:szCs w:val="22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HBV genotypes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B</w:t>
            </w:r>
            <w:r>
              <w:rPr>
                <w:rFonts w:ascii="Times New Roman" w:hAnsi="Times New Roman"/>
                <w:sz w:val="17"/>
                <w:szCs w:val="22"/>
              </w:rPr>
              <w:t>/C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ind w:left="194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42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/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35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ind w:left="194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200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/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367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ind w:firstLine="89" w:firstLineChars="50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1"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</w:rPr>
              <w:t>HBV-miR-3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ind w:left="194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5.65 </w:t>
            </w:r>
            <w:r>
              <w:rPr>
                <w:rFonts w:hint="eastAsia" w:ascii="Times New Roman" w:hAnsi="Times New Roman"/>
                <w:w w:val="105"/>
                <w:sz w:val="17"/>
                <w:szCs w:val="22"/>
                <w:lang w:eastAsia="en-US"/>
              </w:rPr>
              <w:t>±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0.14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ind w:left="194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5.78 </w:t>
            </w:r>
            <w:r>
              <w:rPr>
                <w:rFonts w:hint="eastAsia" w:ascii="Times New Roman" w:hAnsi="Times New Roman"/>
                <w:w w:val="105"/>
                <w:sz w:val="17"/>
                <w:szCs w:val="22"/>
                <w:lang w:eastAsia="en-US"/>
              </w:rPr>
              <w:t>±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0.47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ind w:firstLine="89" w:firstLineChars="50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0.35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2053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jc w:val="left"/>
              <w:outlineLvl w:val="9"/>
              <w:rPr>
                <w:rFonts w:ascii="Times New Roman" w:hAnsi="Times New Roman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 xml:space="preserve">HBV </w:t>
            </w:r>
            <w:r>
              <w:rPr>
                <w:rFonts w:hint="eastAsia" w:ascii="Times New Roman" w:hAnsi="Times New Roman"/>
                <w:sz w:val="17"/>
                <w:szCs w:val="22"/>
                <w:lang w:val="en-US" w:eastAsia="zh-CN"/>
              </w:rPr>
              <w:t>R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NA</w:t>
            </w:r>
            <w:r>
              <w:rPr>
                <w:rFonts w:ascii="Times New Roman" w:hAnsi="Times New Roman"/>
                <w:position w:val="7"/>
                <w:sz w:val="12"/>
                <w:szCs w:val="22"/>
                <w:lang w:eastAsia="en-US"/>
              </w:rPr>
              <w:t>#</w:t>
            </w:r>
          </w:p>
        </w:tc>
        <w:tc>
          <w:tcPr>
            <w:tcW w:w="2053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left="193" w:leftChars="0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hint="eastAsia" w:ascii="Times New Roman" w:hAnsi="Times New Roman"/>
                <w:w w:val="105"/>
                <w:sz w:val="17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.</w:t>
            </w:r>
            <w:r>
              <w:rPr>
                <w:rFonts w:hint="eastAsia" w:ascii="Times New Roman" w:hAnsi="Times New Roman"/>
                <w:w w:val="105"/>
                <w:sz w:val="17"/>
                <w:szCs w:val="22"/>
                <w:lang w:val="en-US" w:eastAsia="zh-CN"/>
              </w:rPr>
              <w:t>1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1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hint="eastAsia" w:ascii="Times New Roman" w:hAnsi="Times New Roman"/>
                <w:w w:val="105"/>
                <w:sz w:val="17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1</w:t>
            </w:r>
          </w:p>
        </w:tc>
        <w:tc>
          <w:tcPr>
            <w:tcW w:w="2488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left="202" w:leftChars="0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hint="eastAsia" w:ascii="Times New Roman" w:hAnsi="Times New Roman"/>
                <w:w w:val="105"/>
                <w:sz w:val="17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.</w:t>
            </w:r>
            <w:r>
              <w:rPr>
                <w:rFonts w:hint="eastAsia" w:ascii="Times New Roman" w:hAnsi="Times New Roman"/>
                <w:w w:val="105"/>
                <w:sz w:val="17"/>
                <w:szCs w:val="22"/>
                <w:lang w:val="en-US" w:eastAsia="zh-CN"/>
              </w:rPr>
              <w:t>13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hint="eastAsia" w:ascii="Times New Roman" w:hAnsi="Times New Roman"/>
                <w:w w:val="105"/>
                <w:sz w:val="17"/>
                <w:szCs w:val="22"/>
                <w:lang w:val="en-US" w:eastAsia="zh-CN"/>
              </w:rPr>
              <w:t>0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7</w:t>
            </w:r>
          </w:p>
        </w:tc>
        <w:tc>
          <w:tcPr>
            <w:tcW w:w="1709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firstLine="85" w:firstLineChars="50"/>
              <w:jc w:val="left"/>
              <w:outlineLvl w:val="9"/>
              <w:rPr>
                <w:rFonts w:hint="default" w:ascii="Times New Roman" w:hAnsi="Times New Roman" w:eastAsia="宋体"/>
                <w:sz w:val="17"/>
                <w:szCs w:val="22"/>
                <w:lang w:val="en-US" w:eastAsia="zh-CN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hint="eastAsia" w:ascii="Times New Roman" w:hAnsi="Times New Roman"/>
                <w:sz w:val="17"/>
                <w:szCs w:val="22"/>
                <w:lang w:val="en-US" w:eastAsia="zh-CN"/>
              </w:rPr>
              <w:t>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HBV DNA</w:t>
            </w:r>
            <w:r>
              <w:rPr>
                <w:rFonts w:ascii="Times New Roman" w:hAnsi="Times New Roman"/>
                <w:position w:val="7"/>
                <w:sz w:val="12"/>
                <w:szCs w:val="22"/>
                <w:lang w:eastAsia="en-US"/>
              </w:rPr>
              <w:t>#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left="193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7.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91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71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7.9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4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32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firstLine="85" w:firstLineChars="50"/>
              <w:jc w:val="left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ascii="Times New Roman" w:hAnsi="Times New Roman"/>
                <w:sz w:val="17"/>
                <w:szCs w:val="22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HBsAg</w:t>
            </w:r>
            <w:r>
              <w:rPr>
                <w:rFonts w:ascii="Times New Roman" w:hAnsi="Times New Roman"/>
                <w:sz w:val="17"/>
                <w:szCs w:val="22"/>
                <w:vertAlign w:val="subscript"/>
                <w:lang w:eastAsia="en-US"/>
              </w:rPr>
              <w:t>#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left="193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4.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19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07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4.28 ± 0.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02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9" w:line="480" w:lineRule="auto"/>
              <w:ind w:left="84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ascii="Times New Roman" w:hAnsi="Times New Roman"/>
                <w:sz w:val="17"/>
                <w:szCs w:val="22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480" w:lineRule="auto"/>
              <w:jc w:val="left"/>
              <w:outlineLvl w:val="9"/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HBeAg</w:t>
            </w:r>
            <w:r>
              <w:rPr>
                <w:rFonts w:ascii="Times New Roman" w:hAnsi="Times New Roman"/>
                <w:position w:val="7"/>
                <w:sz w:val="12"/>
                <w:szCs w:val="22"/>
                <w:lang w:eastAsia="en-US"/>
              </w:rPr>
              <w:t>#</w:t>
            </w:r>
          </w:p>
        </w:tc>
        <w:tc>
          <w:tcPr>
            <w:tcW w:w="1236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0" w:line="480" w:lineRule="auto"/>
              <w:ind w:left="193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3.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10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05</w:t>
            </w:r>
          </w:p>
        </w:tc>
        <w:tc>
          <w:tcPr>
            <w:tcW w:w="1498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0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>3.0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0</w:t>
            </w:r>
            <w:r>
              <w:rPr>
                <w:rFonts w:ascii="Times New Roman" w:hAnsi="Times New Roman"/>
                <w:w w:val="105"/>
                <w:sz w:val="17"/>
                <w:szCs w:val="22"/>
                <w:lang w:eastAsia="en-US"/>
              </w:rPr>
              <w:t xml:space="preserve"> ± 0.</w:t>
            </w:r>
            <w:r>
              <w:rPr>
                <w:rFonts w:ascii="Times New Roman" w:hAnsi="Times New Roman"/>
                <w:w w:val="105"/>
                <w:sz w:val="17"/>
                <w:szCs w:val="22"/>
              </w:rPr>
              <w:t>02</w:t>
            </w:r>
          </w:p>
        </w:tc>
        <w:tc>
          <w:tcPr>
            <w:tcW w:w="1029" w:type="pct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0" w:line="480" w:lineRule="auto"/>
              <w:ind w:left="84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ascii="Times New Roman" w:hAnsi="Times New Roman"/>
                <w:sz w:val="17"/>
                <w:szCs w:val="22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236" w:type="pct"/>
            <w:tcBorders>
              <w:bottom w:val="single" w:color="000000" w:sz="6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2" w:line="480" w:lineRule="auto"/>
              <w:jc w:val="left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</w:rPr>
              <w:t>pegIFN</w:t>
            </w:r>
            <w:r>
              <w:rPr>
                <w:rFonts w:hint="eastAsia" w:ascii="Times New Roman" w:hAnsi="Times New Roman"/>
                <w:sz w:val="17"/>
                <w:szCs w:val="22"/>
              </w:rPr>
              <w:t>α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-2a/</w:t>
            </w:r>
            <w:r>
              <w:rPr>
                <w:rFonts w:ascii="Times New Roman" w:hAnsi="Times New Roman"/>
                <w:sz w:val="17"/>
                <w:szCs w:val="22"/>
              </w:rPr>
              <w:t>pegIFN</w:t>
            </w:r>
            <w:r>
              <w:rPr>
                <w:rFonts w:hint="eastAsia" w:ascii="Times New Roman" w:hAnsi="Times New Roman"/>
                <w:sz w:val="17"/>
                <w:szCs w:val="22"/>
              </w:rPr>
              <w:t>α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-2b</w:t>
            </w:r>
          </w:p>
        </w:tc>
        <w:tc>
          <w:tcPr>
            <w:tcW w:w="1236" w:type="pct"/>
            <w:tcBorders>
              <w:bottom w:val="single" w:color="000000" w:sz="6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2" w:line="480" w:lineRule="auto"/>
              <w:ind w:left="194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</w:rPr>
              <w:t>27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/</w:t>
            </w:r>
            <w:r>
              <w:rPr>
                <w:rFonts w:ascii="Times New Roman" w:hAnsi="Times New Roman"/>
                <w:sz w:val="17"/>
                <w:szCs w:val="22"/>
              </w:rPr>
              <w:t>50</w:t>
            </w:r>
          </w:p>
        </w:tc>
        <w:tc>
          <w:tcPr>
            <w:tcW w:w="1498" w:type="pct"/>
            <w:tcBorders>
              <w:bottom w:val="single" w:color="000000" w:sz="6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2" w:line="480" w:lineRule="auto"/>
              <w:ind w:left="202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</w:rPr>
              <w:t>194</w:t>
            </w: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/</w:t>
            </w:r>
            <w:r>
              <w:rPr>
                <w:rFonts w:ascii="Times New Roman" w:hAnsi="Times New Roman"/>
                <w:sz w:val="17"/>
                <w:szCs w:val="22"/>
              </w:rPr>
              <w:t>379</w:t>
            </w:r>
          </w:p>
        </w:tc>
        <w:tc>
          <w:tcPr>
            <w:tcW w:w="1029" w:type="pct"/>
            <w:tcBorders>
              <w:bottom w:val="single" w:color="000000" w:sz="6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before="12" w:line="480" w:lineRule="auto"/>
              <w:ind w:left="84"/>
              <w:outlineLvl w:val="9"/>
              <w:rPr>
                <w:rFonts w:ascii="Times New Roman" w:hAnsi="Times New Roman"/>
                <w:sz w:val="17"/>
                <w:szCs w:val="22"/>
              </w:rPr>
            </w:pPr>
            <w:r>
              <w:rPr>
                <w:rFonts w:ascii="Times New Roman" w:hAnsi="Times New Roman"/>
                <w:sz w:val="17"/>
                <w:szCs w:val="22"/>
                <w:lang w:eastAsia="en-US"/>
              </w:rPr>
              <w:t>0.</w:t>
            </w:r>
            <w:r>
              <w:rPr>
                <w:rFonts w:ascii="Times New Roman" w:hAnsi="Times New Roman"/>
                <w:sz w:val="17"/>
                <w:szCs w:val="22"/>
              </w:rPr>
              <w:t>83</w:t>
            </w:r>
          </w:p>
        </w:tc>
      </w:tr>
    </w:tbl>
    <w:p>
      <w:pPr>
        <w:pageBreakBefore w:val="0"/>
        <w:kinsoku/>
        <w:wordWrap/>
        <w:overflowPunct/>
        <w:topLinePunct w:val="0"/>
        <w:bidi w:val="0"/>
        <w:snapToGrid/>
        <w:spacing w:line="480" w:lineRule="auto"/>
        <w:outlineLvl w:val="9"/>
      </w:pPr>
    </w:p>
    <w:p>
      <w:pPr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56" w:afterLines="50" w:line="480" w:lineRule="auto"/>
        <w:outlineLvl w:val="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Table </w:t>
      </w:r>
      <w:r>
        <w:rPr>
          <w:rFonts w:hint="eastAsia" w:ascii="Times New Roman" w:hAnsi="Times New Roman"/>
          <w:sz w:val="24"/>
          <w:lang w:val="en-US" w:eastAsia="zh-CN"/>
        </w:rPr>
        <w:t>S3</w:t>
      </w:r>
      <w:r>
        <w:rPr>
          <w:rFonts w:ascii="Times New Roman" w:hAnsi="Times New Roman"/>
          <w:sz w:val="24"/>
        </w:rPr>
        <w:t xml:space="preserve"> Univariate and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Multivariate </w:t>
      </w:r>
      <w:bookmarkStart w:id="5" w:name="OLE_LINK21"/>
      <w:r>
        <w:rPr>
          <w:rFonts w:ascii="Times New Roman" w:hAnsi="Times New Roman"/>
          <w:color w:val="000000"/>
          <w:sz w:val="24"/>
        </w:rPr>
        <w:t>analyses for prediction of HBsAg &lt;100IU</w:t>
      </w:r>
      <w:bookmarkEnd w:id="5"/>
      <w:r>
        <w:rPr>
          <w:rFonts w:ascii="Times New Roman" w:hAnsi="Times New Roman"/>
          <w:color w:val="000000"/>
          <w:sz w:val="24"/>
        </w:rPr>
        <w:t xml:space="preserve">/ml </w:t>
      </w:r>
    </w:p>
    <w:tbl>
      <w:tblPr>
        <w:tblStyle w:val="7"/>
        <w:tblW w:w="9539" w:type="dxa"/>
        <w:tblInd w:w="-3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992"/>
        <w:gridCol w:w="1701"/>
        <w:gridCol w:w="850"/>
        <w:gridCol w:w="302"/>
        <w:gridCol w:w="1080"/>
        <w:gridCol w:w="1620"/>
        <w:gridCol w:w="100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Univariate Analyses</w:t>
            </w:r>
          </w:p>
        </w:tc>
        <w:tc>
          <w:tcPr>
            <w:tcW w:w="302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08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Multivariate Analyses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OR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(95% CI)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p-value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OR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eastAsia="en-US"/>
              </w:rPr>
              <w:t>(95% CI)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bidi w:val="0"/>
              <w:snapToGrid/>
              <w:spacing w:line="480" w:lineRule="auto"/>
              <w:jc w:val="center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 W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Male gender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0.341 to 1.023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0.060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Genotypes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0.251 to 0.719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0.001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0.384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0.216 to 0.681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0.884 to 0.976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0.004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0.885to 0.986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Body weight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0.954 to 1.003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0.084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0.954 to 1.003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0.216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HBV-miR-3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160"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2"/>
              </w:rPr>
              <w:t>0.968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160"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2"/>
              </w:rPr>
              <w:t>0.757 to 1.239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160"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2"/>
              </w:rPr>
              <w:t>0.798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 xml:space="preserve">HBV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R</w:t>
            </w:r>
            <w:r>
              <w:rPr>
                <w:rFonts w:ascii="Times New Roman" w:hAnsi="Times New Roman"/>
                <w:szCs w:val="21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99</w:t>
            </w: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0.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/>
                <w:szCs w:val="21"/>
              </w:rPr>
              <w:t xml:space="preserve"> to 1.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0.9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24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0.706 to 1.425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0.988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HBsAg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0.482 to 1.283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0.336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0.397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0.168to 0.937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HBeAg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1.314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0.808to 2.136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0.271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12W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HBV-miR-3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bookmarkStart w:id="6" w:name="OLE_LINK1"/>
            <w:r>
              <w:rPr>
                <w:rFonts w:ascii="Times New Roman" w:hAnsi="Times New Roman"/>
                <w:szCs w:val="21"/>
              </w:rPr>
              <w:t>0.899</w:t>
            </w:r>
            <w:bookmarkEnd w:id="6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0.807 to1.002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0.001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HBV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R</w:t>
            </w:r>
            <w:r>
              <w:rPr>
                <w:rFonts w:ascii="Times New Roman" w:hAnsi="Times New Roman"/>
                <w:szCs w:val="21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szCs w:val="21"/>
              </w:rPr>
              <w:t>0.7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89</w:t>
            </w:r>
            <w:r>
              <w:rPr>
                <w:rFonts w:ascii="Times New Roman" w:hAnsi="Times New Roman"/>
                <w:szCs w:val="21"/>
              </w:rPr>
              <w:t xml:space="preserve"> to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960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005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 DNA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0.712 to 0.935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0.003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HBsAg 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0.167 to 0.357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ascii="Times New Roman" w:hAnsi="Times New Roman" w:cs="Arial"/>
                <w:color w:val="000000"/>
                <w:szCs w:val="21"/>
              </w:rPr>
              <w:t>0.127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0.069 to 0.232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ascii="Times New Roman" w:hAnsi="Times New Roman" w:cs="Arial"/>
                <w:color w:val="000000"/>
                <w:szCs w:val="21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HBeAg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0.676to 1.086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0.202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2.102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0.330 to 0.630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24W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HBV-miR-3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0.596 to 0.847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HBV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R</w:t>
            </w:r>
            <w:r>
              <w:rPr>
                <w:rFonts w:ascii="Times New Roman" w:hAnsi="Times New Roman"/>
                <w:szCs w:val="21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85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0.7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77</w:t>
            </w:r>
            <w:r>
              <w:rPr>
                <w:rFonts w:ascii="Times New Roman" w:hAnsi="Times New Roman"/>
                <w:szCs w:val="21"/>
              </w:rPr>
              <w:t xml:space="preserve"> to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szCs w:val="21"/>
              </w:rPr>
              <w:t>0.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002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hint="default" w:ascii="Times New Roman" w:hAnsi="Times New Roman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Arial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 w:cs="Arial"/>
                <w:color w:val="000000"/>
                <w:kern w:val="0"/>
                <w:szCs w:val="21"/>
                <w:lang w:val="en-US" w:eastAsia="zh-CN"/>
              </w:rPr>
              <w:t>396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hint="eastAsia" w:ascii="Times New Roman" w:hAnsi="Times New Roman" w:eastAsia="宋体" w:cs="宋体"/>
                <w:color w:val="000000"/>
                <w:szCs w:val="21"/>
                <w:lang w:eastAsia="zh-CN"/>
              </w:rPr>
            </w:pPr>
            <w:r>
              <w:rPr>
                <w:rFonts w:ascii="Times New Roman" w:hAnsi="Times New Roman" w:cs="Arial"/>
                <w:color w:val="000000"/>
                <w:kern w:val="0"/>
                <w:szCs w:val="21"/>
              </w:rPr>
              <w:t>1.0</w:t>
            </w:r>
            <w:r>
              <w:rPr>
                <w:rFonts w:hint="eastAsia" w:ascii="Times New Roman" w:hAnsi="Times New Roman" w:cs="Arial"/>
                <w:color w:val="000000"/>
                <w:kern w:val="0"/>
                <w:szCs w:val="21"/>
                <w:lang w:val="en-US" w:eastAsia="zh-CN"/>
              </w:rPr>
              <w:t>99</w:t>
            </w:r>
            <w:r>
              <w:rPr>
                <w:rFonts w:ascii="Times New Roman" w:hAnsi="Times New Roman" w:cs="Arial"/>
                <w:color w:val="000000"/>
                <w:kern w:val="0"/>
                <w:szCs w:val="21"/>
              </w:rPr>
              <w:t xml:space="preserve"> to </w:t>
            </w:r>
            <w:r>
              <w:rPr>
                <w:rFonts w:hint="eastAsia" w:ascii="Times New Roman" w:hAnsi="Times New Roman" w:cs="Arial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Arial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cs="Arial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cs="Arial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cs="Arial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 w:cs="Arial"/>
                <w:color w:val="000000"/>
                <w:szCs w:val="21"/>
              </w:rPr>
              <w:t>0.0</w:t>
            </w:r>
            <w:r>
              <w:rPr>
                <w:rFonts w:hint="eastAsia" w:ascii="Times New Roman" w:hAnsi="Times New Roman" w:cs="Arial"/>
                <w:color w:val="000000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cs="Arial"/>
                <w:color w:val="00000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HBV DNA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0.591 to 0.709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jc w:val="left"/>
              <w:outlineLvl w:val="9"/>
              <w:rPr>
                <w:rFonts w:ascii="Times New Roman" w:hAnsi="Times New Roman" w:cs="Arial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Arial"/>
                <w:color w:val="000000"/>
                <w:kern w:val="0"/>
                <w:szCs w:val="21"/>
              </w:rPr>
              <w:t>1.585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jc w:val="left"/>
              <w:outlineLvl w:val="9"/>
              <w:rPr>
                <w:rFonts w:ascii="Times New Roman" w:hAnsi="Times New Roman" w:cs="Arial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Arial"/>
                <w:color w:val="000000"/>
                <w:kern w:val="0"/>
                <w:szCs w:val="21"/>
              </w:rPr>
              <w:t>1.008 to 2.308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ascii="Times New Roman" w:hAnsi="Times New Roman" w:cs="Arial"/>
                <w:color w:val="000000"/>
                <w:szCs w:val="21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HBsAg 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0.102 to 0.233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0.026 to 0.112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HBeAg  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0.666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0.514 to 0.863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0.002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outlineLvl w:val="9"/>
              <w:rPr>
                <w:rFonts w:ascii="Times New Roman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</w:tr>
    </w:tbl>
    <w:p>
      <w:pPr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outlineLvl w:val="9"/>
        <w:rPr>
          <w:rFonts w:ascii="Times New Roman" w:hAnsi="Times New Roman"/>
          <w:sz w:val="24"/>
        </w:rPr>
      </w:pPr>
    </w:p>
    <w:p>
      <w:pPr>
        <w:spacing w:line="360" w:lineRule="auto"/>
        <w:outlineLvl w:val="9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360" w:lineRule="auto"/>
        <w:outlineLvl w:val="9"/>
        <w:rPr>
          <w:rFonts w:hint="default" w:ascii="Times New Roman" w:hAnsi="Times New Roman" w:eastAsia="宋体"/>
          <w:kern w:val="0"/>
          <w:sz w:val="24"/>
          <w:lang w:val="en-US" w:eastAsia="en-US"/>
        </w:rPr>
      </w:pPr>
      <w:bookmarkStart w:id="7" w:name="OLE_LINK17"/>
      <w:r>
        <w:rPr>
          <w:rFonts w:ascii="Times New Roman" w:hAnsi="Times New Roman"/>
          <w:kern w:val="0"/>
          <w:sz w:val="24"/>
          <w:lang w:eastAsia="en-US"/>
        </w:rPr>
        <w:t xml:space="preserve">Table 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S</w:t>
      </w:r>
      <w:bookmarkEnd w:id="7"/>
      <w:r>
        <w:rPr>
          <w:rFonts w:hint="eastAsia" w:ascii="Times New Roman" w:hAnsi="Times New Roman"/>
          <w:kern w:val="0"/>
          <w:sz w:val="24"/>
          <w:lang w:val="en-US" w:eastAsia="zh-CN"/>
        </w:rPr>
        <w:t>4</w:t>
      </w:r>
      <w:r>
        <w:rPr>
          <w:rFonts w:ascii="Times New Roman" w:hAnsi="Times New Roman"/>
          <w:kern w:val="0"/>
          <w:sz w:val="24"/>
          <w:lang w:eastAsia="en-US"/>
        </w:rPr>
        <w:t xml:space="preserve"> </w:t>
      </w:r>
      <w:r>
        <w:rPr>
          <w:rFonts w:hint="eastAsia" w:ascii="Times New Roman" w:hAnsi="Times New Roman"/>
          <w:kern w:val="0"/>
          <w:sz w:val="24"/>
          <w:lang w:eastAsia="en-US"/>
        </w:rPr>
        <w:t>Logistic regression analyses of predictors for HBeAg seroconversion in the PegIFN α-2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a</w:t>
      </w:r>
      <w:r>
        <w:rPr>
          <w:rFonts w:hint="eastAsia" w:ascii="Times New Roman" w:hAnsi="Times New Roman"/>
          <w:kern w:val="0"/>
          <w:sz w:val="24"/>
          <w:lang w:eastAsia="en-US"/>
        </w:rPr>
        <w:t xml:space="preserve"> treatment group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689"/>
        <w:gridCol w:w="1430"/>
        <w:gridCol w:w="846"/>
        <w:gridCol w:w="222"/>
        <w:gridCol w:w="766"/>
        <w:gridCol w:w="1488"/>
        <w:gridCol w:w="846"/>
      </w:tblGrid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965" w:type="dxa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Univariate Analyses</w:t>
            </w:r>
          </w:p>
        </w:tc>
        <w:tc>
          <w:tcPr>
            <w:tcW w:w="22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100" w:type="dxa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Multivariate Analyses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left="0" w:right="0"/>
              <w:jc w:val="left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OR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(95% CI)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p-value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OR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2"/>
                <w:szCs w:val="22"/>
                <w:lang w:eastAsia="en-US" w:bidi="en-US"/>
              </w:rPr>
              <w:t>(95% CI)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W</w:t>
            </w:r>
          </w:p>
        </w:tc>
        <w:tc>
          <w:tcPr>
            <w:tcW w:w="68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3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22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Male gender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1.124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0.577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2.189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Genotypes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0.377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0.204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0.697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0.406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0.206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Age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0.862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0.968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0.905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0.847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0.967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Body weight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0.982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0.954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1.011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ALT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center" w:pos="607"/>
              </w:tabs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0.998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1.002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HBV-miR-3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0.779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0.581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1.046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RNA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0.846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0.72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0.994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DNA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0.958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0.644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1.424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0.832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HBsAg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0.598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0.335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1.069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HBeAg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0.672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0.389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1.161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0.154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12W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HBV-miR-3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0.264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0.657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4 to 0.9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0.045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RNA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0.731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0.638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0.836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DNA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0.675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0.568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0.803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HBsAg  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0.358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0.23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0.557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HBeAg 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0.495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0.364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0.674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24W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HBV-miR-3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right="0"/>
              <w:jc w:val="left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0.557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0.413 to 0.753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RNA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right="0"/>
              <w:jc w:val="left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0.791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0.697 to 0.899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DNA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right="0"/>
              <w:jc w:val="left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0.684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0.585 to 0.8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160" w:afterAutospacing="0" w:line="256" w:lineRule="auto"/>
              <w:ind w:left="0" w:right="0"/>
              <w:jc w:val="left"/>
              <w:outlineLvl w:val="9"/>
              <w:rPr>
                <w:rFonts w:hint="default" w:ascii="Times New Roman" w:hAnsi="Times New Roman" w:eastAsia="宋体" w:cs="Arial"/>
                <w:color w:val="000000"/>
                <w:kern w:val="0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160" w:afterAutospacing="0" w:line="256" w:lineRule="auto"/>
              <w:ind w:left="0" w:right="0"/>
              <w:jc w:val="left"/>
              <w:outlineLvl w:val="9"/>
              <w:rPr>
                <w:rFonts w:hint="default" w:ascii="Times New Roman" w:hAnsi="Times New Roman" w:eastAsia="宋体" w:cs="Arial"/>
                <w:color w:val="000000"/>
                <w:kern w:val="0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HBsAg  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right="0"/>
              <w:jc w:val="left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0.427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0.302 to 0.605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HBeAg  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right="0"/>
              <w:jc w:val="left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0.377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0.263 to 0.54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0.196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0.087 to 0.444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0.000 </w:t>
            </w:r>
          </w:p>
        </w:tc>
      </w:tr>
    </w:tbl>
    <w:p>
      <w:pPr>
        <w:spacing w:line="360" w:lineRule="auto"/>
        <w:outlineLvl w:val="9"/>
        <w:rPr>
          <w:rFonts w:ascii="Times New Roman" w:hAnsi="Times New Roman"/>
        </w:rPr>
      </w:pPr>
    </w:p>
    <w:p>
      <w:pPr>
        <w:outlineLvl w:val="9"/>
      </w:pPr>
    </w:p>
    <w:p>
      <w:pPr>
        <w:outlineLvl w:val="9"/>
      </w:pPr>
    </w:p>
    <w:p>
      <w:pPr>
        <w:outlineLvl w:val="9"/>
      </w:pPr>
    </w:p>
    <w:p>
      <w:pPr>
        <w:spacing w:line="360" w:lineRule="auto"/>
        <w:outlineLvl w:val="9"/>
        <w:rPr>
          <w:rFonts w:hint="default" w:ascii="Times New Roman" w:hAnsi="Times New Roman" w:eastAsia="宋体"/>
          <w:kern w:val="0"/>
          <w:sz w:val="24"/>
          <w:lang w:val="en-US" w:eastAsia="en-US"/>
        </w:rPr>
      </w:pPr>
      <w:r>
        <w:rPr>
          <w:rFonts w:ascii="Times New Roman" w:hAnsi="Times New Roman"/>
          <w:kern w:val="0"/>
          <w:sz w:val="24"/>
          <w:lang w:eastAsia="en-US"/>
        </w:rPr>
        <w:t xml:space="preserve">Table 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S5</w:t>
      </w:r>
      <w:r>
        <w:rPr>
          <w:rFonts w:ascii="Times New Roman" w:hAnsi="Times New Roman"/>
          <w:kern w:val="0"/>
          <w:sz w:val="24"/>
          <w:lang w:eastAsia="en-US"/>
        </w:rPr>
        <w:t xml:space="preserve"> </w:t>
      </w:r>
      <w:r>
        <w:rPr>
          <w:rFonts w:hint="eastAsia" w:ascii="Times New Roman" w:hAnsi="Times New Roman"/>
          <w:kern w:val="0"/>
          <w:sz w:val="24"/>
          <w:lang w:eastAsia="en-US"/>
        </w:rPr>
        <w:t>Logistic regression analyses of predictors for HBeAg seroconversion in the PegIFN α-2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b</w:t>
      </w:r>
      <w:r>
        <w:rPr>
          <w:rFonts w:hint="eastAsia" w:ascii="Times New Roman" w:hAnsi="Times New Roman"/>
          <w:kern w:val="0"/>
          <w:sz w:val="24"/>
          <w:lang w:eastAsia="en-US"/>
        </w:rPr>
        <w:t xml:space="preserve"> treatment group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689"/>
        <w:gridCol w:w="1430"/>
        <w:gridCol w:w="846"/>
        <w:gridCol w:w="222"/>
        <w:gridCol w:w="689"/>
        <w:gridCol w:w="1488"/>
        <w:gridCol w:w="846"/>
      </w:tblGrid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965" w:type="dxa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Univariate Analyses</w:t>
            </w:r>
          </w:p>
        </w:tc>
        <w:tc>
          <w:tcPr>
            <w:tcW w:w="22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023" w:type="dxa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Multivariate Analyses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left="0" w:right="0"/>
              <w:jc w:val="left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OR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(95% CI)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p-value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OR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2"/>
                <w:szCs w:val="22"/>
                <w:lang w:eastAsia="en-US" w:bidi="en-US"/>
              </w:rPr>
              <w:t>(95% CI)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W</w:t>
            </w:r>
          </w:p>
        </w:tc>
        <w:tc>
          <w:tcPr>
            <w:tcW w:w="68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3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22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Male gender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0.725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0.461 to1.141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0.165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Genotypes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0.509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0.338 to 0.766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0.463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0.283 to 0.755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Age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0.956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0.925 to 0.989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0.946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0.909 to 0.985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Body weight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0.982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0.954 to 1.011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ALT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0.998 to 1.002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0.983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1.002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2"/>
                <w:szCs w:val="22"/>
                <w:lang w:val="en-US" w:eastAsia="zh-CN" w:bidi="ar"/>
              </w:rPr>
              <w:t>1.00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2"/>
                <w:szCs w:val="22"/>
                <w:lang w:val="en-US" w:eastAsia="zh-CN" w:bidi="ar"/>
              </w:rPr>
              <w:t xml:space="preserve"> to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2"/>
                <w:szCs w:val="22"/>
                <w:lang w:val="en-US" w:eastAsia="zh-CN" w:bidi="ar"/>
              </w:rPr>
              <w:t>1.00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HBV-miR-3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0.534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0.408 to 0.698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0.477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0.345 to 0.659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RNA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1.206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1.019 to 1.427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DNA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1.149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0.759 to 1.738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HBsAg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1.414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0.777 to 2.574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HBeAg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0.464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 to 0.718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0.4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0.254 to 0.664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12W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HBV-miR-3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0.431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0.35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to 0.531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to 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69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RNA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0.719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0.656 to 0.789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DNA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0.631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0.57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to 0.71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1.316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  <w:t>1.01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to 1.716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  <w:t>0.042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HBsAg  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0.376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279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to 0.5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HBeAg 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0.368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295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 0.46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384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0.26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to 0.56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24W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HBV-miR-3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0.55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0.471 to 0.643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0.672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0.557 to 0.811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RNA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0.774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0.708 to 0.846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1.193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1.025to1.388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HBV DNA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0.611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0.544 to 0.685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160" w:afterAutospacing="0" w:line="256" w:lineRule="auto"/>
              <w:ind w:left="0" w:right="0"/>
              <w:jc w:val="left"/>
              <w:outlineLvl w:val="9"/>
              <w:rPr>
                <w:rFonts w:hint="default" w:ascii="Times New Roman" w:hAnsi="Times New Roman" w:eastAsia="宋体" w:cs="Arial"/>
                <w:color w:val="000000"/>
                <w:kern w:val="0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HBsAg  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0.44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0.345 to 0.562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Arial"/>
                <w:color w:val="000000"/>
                <w:kern w:val="2"/>
                <w:sz w:val="21"/>
                <w:szCs w:val="21"/>
                <w:lang w:eastAsia="en-US" w:bidi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leftChars="0" w:right="0" w:rightChars="0" w:firstLine="420" w:firstLineChars="20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HBeAg  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0.287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0.22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to 0.3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en-US" w:bidi="en-US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0.34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0.224 to 0.515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60" w:afterAutospacing="0" w:line="256" w:lineRule="auto"/>
              <w:ind w:left="0" w:right="0"/>
              <w:jc w:val="both"/>
              <w:outlineLvl w:val="9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0.000 </w:t>
            </w:r>
          </w:p>
        </w:tc>
      </w:tr>
    </w:tbl>
    <w:p/>
    <w:p/>
    <w:p/>
    <w:p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iNGU1ZWRiNWYzMDQ0YTI0NDVlZTQ4ODkwZGY3NmIifQ=="/>
  </w:docVars>
  <w:rsids>
    <w:rsidRoot w:val="00000000"/>
    <w:rsid w:val="00641E35"/>
    <w:rsid w:val="01DF5C17"/>
    <w:rsid w:val="0229720E"/>
    <w:rsid w:val="02672E6C"/>
    <w:rsid w:val="027B01B1"/>
    <w:rsid w:val="028A32CD"/>
    <w:rsid w:val="033D557D"/>
    <w:rsid w:val="03D60954"/>
    <w:rsid w:val="063127B9"/>
    <w:rsid w:val="06AA53ED"/>
    <w:rsid w:val="077A48D9"/>
    <w:rsid w:val="0A3A5B5D"/>
    <w:rsid w:val="0B0009AC"/>
    <w:rsid w:val="0C0F75FE"/>
    <w:rsid w:val="0CE52228"/>
    <w:rsid w:val="0E54101D"/>
    <w:rsid w:val="12944636"/>
    <w:rsid w:val="148D505F"/>
    <w:rsid w:val="17CE7E68"/>
    <w:rsid w:val="1A9058A9"/>
    <w:rsid w:val="1CF322CF"/>
    <w:rsid w:val="1ED62406"/>
    <w:rsid w:val="22E76282"/>
    <w:rsid w:val="2318643B"/>
    <w:rsid w:val="23EC7CD9"/>
    <w:rsid w:val="26760048"/>
    <w:rsid w:val="2A922F77"/>
    <w:rsid w:val="2DBD5FF5"/>
    <w:rsid w:val="3025488D"/>
    <w:rsid w:val="317B7955"/>
    <w:rsid w:val="319D3754"/>
    <w:rsid w:val="31B25CAD"/>
    <w:rsid w:val="32E93950"/>
    <w:rsid w:val="343B0CF5"/>
    <w:rsid w:val="346C3F1B"/>
    <w:rsid w:val="347B4A7C"/>
    <w:rsid w:val="36C95F72"/>
    <w:rsid w:val="3C0F4178"/>
    <w:rsid w:val="3CD016DD"/>
    <w:rsid w:val="3CEA6C43"/>
    <w:rsid w:val="3E3D1B80"/>
    <w:rsid w:val="3F512795"/>
    <w:rsid w:val="406B3BF6"/>
    <w:rsid w:val="42BE6BA7"/>
    <w:rsid w:val="453D0478"/>
    <w:rsid w:val="45EF625F"/>
    <w:rsid w:val="45FC0F6F"/>
    <w:rsid w:val="49B04D70"/>
    <w:rsid w:val="4AC25A95"/>
    <w:rsid w:val="4BAB7DCD"/>
    <w:rsid w:val="4D562D45"/>
    <w:rsid w:val="4E3A0D0D"/>
    <w:rsid w:val="4FA47097"/>
    <w:rsid w:val="51D1541D"/>
    <w:rsid w:val="51F9745D"/>
    <w:rsid w:val="52DD1244"/>
    <w:rsid w:val="53884586"/>
    <w:rsid w:val="54C23EAA"/>
    <w:rsid w:val="552E699E"/>
    <w:rsid w:val="55C33A72"/>
    <w:rsid w:val="55CE5FB6"/>
    <w:rsid w:val="56601FBA"/>
    <w:rsid w:val="5A250E62"/>
    <w:rsid w:val="5CDC0D0B"/>
    <w:rsid w:val="5D5F4D67"/>
    <w:rsid w:val="5E636240"/>
    <w:rsid w:val="5F8C1129"/>
    <w:rsid w:val="600D0A66"/>
    <w:rsid w:val="63B10449"/>
    <w:rsid w:val="64174ABE"/>
    <w:rsid w:val="663D12E2"/>
    <w:rsid w:val="699B2EEF"/>
    <w:rsid w:val="6BB32772"/>
    <w:rsid w:val="6DF40E20"/>
    <w:rsid w:val="71441FB3"/>
    <w:rsid w:val="72084591"/>
    <w:rsid w:val="72503A25"/>
    <w:rsid w:val="78544995"/>
    <w:rsid w:val="789E46FC"/>
    <w:rsid w:val="78DC2602"/>
    <w:rsid w:val="79674B9C"/>
    <w:rsid w:val="79C66CD5"/>
    <w:rsid w:val="7B4231CA"/>
    <w:rsid w:val="7E1E2589"/>
    <w:rsid w:val="7F8F1A93"/>
    <w:rsid w:val="7FA76050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qFormat/>
    <w:uiPriority w:val="99"/>
    <w:pPr>
      <w:widowControl w:val="0"/>
      <w:tabs>
        <w:tab w:val="center" w:pos="4320"/>
        <w:tab w:val="right" w:pos="8640"/>
      </w:tabs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913</Words>
  <Characters>4528</Characters>
  <Lines>0</Lines>
  <Paragraphs>0</Paragraphs>
  <TotalTime>0</TotalTime>
  <ScaleCrop>false</ScaleCrop>
  <LinksUpToDate>false</LinksUpToDate>
  <CharactersWithSpaces>5083</CharactersWithSpaces>
  <Application>WPS Office_11.1.0.14650_F1E327BC-269C-435d-A152-05C5408002CA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2023-01-01T10:30:00Z</dcterms:created>
  <dc:creator>hnxhx</dc:creator>
  <cp:lastModifiedBy>水中鱼</cp:lastModifiedBy>
  <dcterms:modified xsi:type="dcterms:W3CDTF">2023-07-12T04:12:48Z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2052-11.1.0.14650</vt:lpwstr>
  </property>
  <property fmtid="{D5CDD505-2E9C-101B-9397-08002B2CF9AE}" pid="3" name="ICV">
    <vt:lpwstr>E2AD04EF9ABA47BD96DBB0C82CBBF1DD</vt:lpwstr>
  </property>
</Properties>
</file>