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BD1EF" w14:textId="00ED5678" w:rsidR="00E16C39" w:rsidRPr="00D015B2" w:rsidRDefault="00000000" w:rsidP="00D85F06">
      <w:pPr>
        <w:pStyle w:val="2"/>
        <w:spacing w:line="480" w:lineRule="auto"/>
        <w:jc w:val="center"/>
      </w:pPr>
      <w:r w:rsidRPr="00D015B2">
        <w:t xml:space="preserve">Supplementary </w:t>
      </w:r>
      <w:r w:rsidR="008E0417">
        <w:t>information</w:t>
      </w:r>
    </w:p>
    <w:p w14:paraId="7E0180CF" w14:textId="77777777" w:rsidR="0086762B" w:rsidRPr="00D015B2" w:rsidRDefault="00000000" w:rsidP="00D85F06">
      <w:pPr>
        <w:pStyle w:val="2"/>
        <w:numPr>
          <w:ilvl w:val="0"/>
          <w:numId w:val="1"/>
        </w:numPr>
        <w:spacing w:line="480" w:lineRule="auto"/>
      </w:pPr>
      <w:r w:rsidRPr="00D015B2">
        <w:t xml:space="preserve">Sample location </w:t>
      </w:r>
    </w:p>
    <w:p w14:paraId="1AB76DE0" w14:textId="43D688D7" w:rsidR="0086762B" w:rsidRPr="00D015B2" w:rsidRDefault="00000000" w:rsidP="00D85F06">
      <w:pPr>
        <w:spacing w:line="480" w:lineRule="auto"/>
        <w:ind w:firstLine="480"/>
        <w:rPr>
          <w:rFonts w:cs="Times New Roman"/>
          <w:szCs w:val="24"/>
        </w:rPr>
      </w:pPr>
      <w:r w:rsidRPr="00D015B2">
        <w:rPr>
          <w:rFonts w:cs="Times New Roman"/>
          <w:szCs w:val="24"/>
        </w:rPr>
        <w:t xml:space="preserve">The </w:t>
      </w:r>
      <w:r w:rsidR="00B2614B" w:rsidRPr="00522D60">
        <w:rPr>
          <w:szCs w:val="24"/>
        </w:rPr>
        <w:t>ferromanganese</w:t>
      </w:r>
      <w:r w:rsidR="00B2614B" w:rsidRPr="00D015B2">
        <w:rPr>
          <w:rFonts w:cs="Times New Roman"/>
          <w:szCs w:val="24"/>
        </w:rPr>
        <w:t xml:space="preserve"> </w:t>
      </w:r>
      <w:r w:rsidR="00B2614B">
        <w:rPr>
          <w:rFonts w:cs="Times New Roman"/>
          <w:szCs w:val="24"/>
        </w:rPr>
        <w:t>(</w:t>
      </w:r>
      <w:r w:rsidRPr="00D015B2">
        <w:rPr>
          <w:rFonts w:cs="Times New Roman"/>
          <w:szCs w:val="24"/>
        </w:rPr>
        <w:t>Fe-Mn</w:t>
      </w:r>
      <w:r w:rsidR="00B2614B">
        <w:rPr>
          <w:rFonts w:cs="Times New Roman"/>
          <w:szCs w:val="24"/>
        </w:rPr>
        <w:t>)</w:t>
      </w:r>
      <w:r w:rsidRPr="00D015B2">
        <w:rPr>
          <w:rFonts w:cs="Times New Roman"/>
          <w:szCs w:val="24"/>
        </w:rPr>
        <w:t xml:space="preserve"> crust sample analysed in this study </w:t>
      </w:r>
      <w:r w:rsidR="002712A1">
        <w:rPr>
          <w:rFonts w:cs="Times New Roman"/>
          <w:szCs w:val="24"/>
        </w:rPr>
        <w:t>was named WPI-C</w:t>
      </w:r>
      <w:r w:rsidR="002712A1">
        <w:rPr>
          <w:rFonts w:cs="Times New Roman"/>
          <w:szCs w:val="24"/>
        </w:rPr>
        <w:t>1</w:t>
      </w:r>
      <w:r w:rsidR="002712A1">
        <w:rPr>
          <w:rFonts w:cs="Times New Roman"/>
          <w:szCs w:val="24"/>
        </w:rPr>
        <w:t xml:space="preserve">, which </w:t>
      </w:r>
      <w:r w:rsidRPr="00D015B2">
        <w:rPr>
          <w:rFonts w:cs="Times New Roman"/>
          <w:szCs w:val="24"/>
        </w:rPr>
        <w:t xml:space="preserve">was collected during the R/V Dayang Yihao research cruise (Voyage No. DY105-11) in 2001. The sample was collected by dredging from a brecciated basalt substrate in the West Pacific, near </w:t>
      </w:r>
      <w:bookmarkStart w:id="0" w:name="OLE_LINK28"/>
      <w:proofErr w:type="spellStart"/>
      <w:r w:rsidRPr="00D015B2">
        <w:rPr>
          <w:rFonts w:cs="Times New Roman"/>
          <w:szCs w:val="24"/>
        </w:rPr>
        <w:t>Il’ichev</w:t>
      </w:r>
      <w:bookmarkEnd w:id="0"/>
      <w:proofErr w:type="spellEnd"/>
      <w:r w:rsidRPr="00D015B2">
        <w:rPr>
          <w:rFonts w:cs="Times New Roman"/>
          <w:szCs w:val="24"/>
        </w:rPr>
        <w:t xml:space="preserve"> Island, </w:t>
      </w:r>
      <w:bookmarkStart w:id="1" w:name="_Hlk39590889"/>
      <w:r w:rsidRPr="00D015B2">
        <w:rPr>
          <w:rFonts w:cs="Times New Roman"/>
          <w:szCs w:val="24"/>
        </w:rPr>
        <w:t>Magellan Seamount</w:t>
      </w:r>
      <w:bookmarkEnd w:id="1"/>
      <w:r w:rsidRPr="00D015B2">
        <w:rPr>
          <w:rFonts w:cs="Times New Roman"/>
          <w:szCs w:val="24"/>
        </w:rPr>
        <w:t>, at water depths of 2070 m and 2110 m (Fig</w:t>
      </w:r>
      <w:r w:rsidR="008E0417">
        <w:rPr>
          <w:rFonts w:cs="Times New Roman"/>
          <w:szCs w:val="24"/>
        </w:rPr>
        <w:t>.</w:t>
      </w:r>
      <w:r w:rsidRPr="00D015B2">
        <w:rPr>
          <w:rFonts w:cs="Times New Roman"/>
          <w:szCs w:val="24"/>
        </w:rPr>
        <w:t xml:space="preserve">S1). </w:t>
      </w:r>
    </w:p>
    <w:p w14:paraId="09FEFAC7" w14:textId="2742DAC5" w:rsidR="0086762B" w:rsidRPr="00D015B2" w:rsidRDefault="00000000" w:rsidP="00D85F06">
      <w:pPr>
        <w:spacing w:line="480" w:lineRule="auto"/>
        <w:ind w:firstLine="480"/>
        <w:rPr>
          <w:rFonts w:cs="Times New Roman"/>
          <w:szCs w:val="24"/>
        </w:rPr>
      </w:pPr>
      <w:r w:rsidRPr="00D015B2">
        <w:rPr>
          <w:rFonts w:cs="Times New Roman"/>
          <w:szCs w:val="24"/>
        </w:rPr>
        <w:t>T</w:t>
      </w:r>
      <w:r w:rsidRPr="0086762B">
        <w:rPr>
          <w:rFonts w:cs="Times New Roman"/>
          <w:szCs w:val="24"/>
        </w:rPr>
        <w:t xml:space="preserve">he Magellan Seamount cluster formed on the ocean floor </w:t>
      </w:r>
      <w:r w:rsidR="00090AC8">
        <w:rPr>
          <w:rFonts w:cs="Times New Roman"/>
          <w:szCs w:val="24"/>
        </w:rPr>
        <w:t>before</w:t>
      </w:r>
      <w:r w:rsidRPr="0086762B">
        <w:rPr>
          <w:rFonts w:cs="Times New Roman"/>
          <w:szCs w:val="24"/>
        </w:rPr>
        <w:t xml:space="preserve"> the Late-Jurassic period</w:t>
      </w:r>
      <w:r w:rsidRPr="0086762B">
        <w:rPr>
          <w:rFonts w:cs="Times New Roman"/>
          <w:szCs w:val="24"/>
          <w:vertAlign w:val="superscript"/>
        </w:rPr>
        <w:t>1</w:t>
      </w:r>
      <w:r w:rsidRPr="0086762B">
        <w:rPr>
          <w:rFonts w:cs="Times New Roman"/>
          <w:szCs w:val="24"/>
        </w:rPr>
        <w:t>. During the Cretaceous period in the southeastern Pacific</w:t>
      </w:r>
      <w:r w:rsidRPr="0086762B">
        <w:rPr>
          <w:rFonts w:cs="Times New Roman"/>
          <w:szCs w:val="24"/>
          <w:vertAlign w:val="superscript"/>
        </w:rPr>
        <w:t>2</w:t>
      </w:r>
      <w:r w:rsidRPr="0086762B">
        <w:rPr>
          <w:rFonts w:cs="Times New Roman"/>
          <w:szCs w:val="24"/>
        </w:rPr>
        <w:t>, the Magellan seamounts were formed at 10–20</w:t>
      </w:r>
      <w:r w:rsidR="00090AC8">
        <w:rPr>
          <w:rFonts w:cs="Times New Roman"/>
          <w:szCs w:val="24"/>
        </w:rPr>
        <w:t xml:space="preserve"> </w:t>
      </w:r>
      <w:r w:rsidRPr="0086762B">
        <w:rPr>
          <w:rFonts w:cs="Times New Roman"/>
          <w:szCs w:val="24"/>
        </w:rPr>
        <w:t>°S. Subsequently, due to thermal subsidence of the ocean floor, they started to sink and moved north-westward in conjunction with the motion of the Pacific plate</w:t>
      </w:r>
      <w:r w:rsidRPr="0086762B">
        <w:rPr>
          <w:rFonts w:cs="Times New Roman"/>
          <w:szCs w:val="24"/>
          <w:vertAlign w:val="superscript"/>
        </w:rPr>
        <w:t>3</w:t>
      </w:r>
      <w:r w:rsidRPr="0086762B">
        <w:rPr>
          <w:rFonts w:cs="Times New Roman"/>
          <w:szCs w:val="24"/>
        </w:rPr>
        <w:t>. Following that, they traversed the zone of high equatorial productivity between 70 and 65 Ma and finally formed at their current ocean depths between 59 and 45 Ma</w:t>
      </w:r>
      <w:r w:rsidRPr="0086762B">
        <w:rPr>
          <w:rFonts w:cs="Times New Roman"/>
          <w:szCs w:val="24"/>
          <w:vertAlign w:val="superscript"/>
        </w:rPr>
        <w:t>3</w:t>
      </w:r>
      <w:r w:rsidRPr="0086762B">
        <w:rPr>
          <w:rFonts w:cs="Times New Roman"/>
          <w:szCs w:val="24"/>
        </w:rPr>
        <w:t>.</w:t>
      </w:r>
      <w:r w:rsidRPr="00D015B2">
        <w:rPr>
          <w:rFonts w:cs="Times New Roman"/>
          <w:szCs w:val="24"/>
        </w:rPr>
        <w:t xml:space="preserve"> </w:t>
      </w:r>
    </w:p>
    <w:p w14:paraId="15E753F3" w14:textId="77777777" w:rsidR="0086762B" w:rsidRPr="00D015B2" w:rsidRDefault="00000000" w:rsidP="00D85F06">
      <w:pPr>
        <w:pStyle w:val="2"/>
        <w:numPr>
          <w:ilvl w:val="0"/>
          <w:numId w:val="1"/>
        </w:numPr>
        <w:spacing w:line="480" w:lineRule="auto"/>
      </w:pPr>
      <w:bookmarkStart w:id="2" w:name="OLE_LINK3"/>
      <w:bookmarkStart w:id="3" w:name="OLE_LINK2"/>
      <w:r w:rsidRPr="00D015B2">
        <w:t>Sample description</w:t>
      </w:r>
      <w:bookmarkEnd w:id="2"/>
      <w:bookmarkEnd w:id="3"/>
      <w:r w:rsidRPr="00D015B2">
        <w:t xml:space="preserve"> </w:t>
      </w:r>
    </w:p>
    <w:p w14:paraId="668C58D5" w14:textId="5C8B630F" w:rsidR="0086762B" w:rsidRPr="00D015B2" w:rsidRDefault="00000000" w:rsidP="00D85F06">
      <w:pPr>
        <w:spacing w:line="480" w:lineRule="auto"/>
        <w:ind w:firstLine="480"/>
      </w:pPr>
      <w:r w:rsidRPr="00D015B2">
        <w:t xml:space="preserve">The thickness of </w:t>
      </w:r>
      <w:r w:rsidR="00D62EBB">
        <w:t xml:space="preserve">this </w:t>
      </w:r>
      <w:r w:rsidRPr="00D015B2">
        <w:t xml:space="preserve">ferromanganese crust is approximately 130 mm (Fig.S2). It consists of </w:t>
      </w:r>
      <w:r w:rsidRPr="00D015B2">
        <w:rPr>
          <w:rFonts w:cs="Times New Roman"/>
        </w:rPr>
        <w:t>three distinct</w:t>
      </w:r>
      <w:r w:rsidRPr="00D015B2">
        <w:t xml:space="preserve"> macroscopic layers, each characterised by </w:t>
      </w:r>
      <w:r w:rsidRPr="00D015B2">
        <w:rPr>
          <w:rFonts w:cs="Times New Roman"/>
        </w:rPr>
        <w:t>a compact seven-layer structure</w:t>
      </w:r>
      <w:r w:rsidRPr="00D015B2">
        <w:t xml:space="preserve">. </w:t>
      </w:r>
    </w:p>
    <w:p w14:paraId="3138CF21" w14:textId="7B65D763" w:rsidR="0086762B" w:rsidRPr="00D015B2" w:rsidRDefault="00000000" w:rsidP="00D85F06">
      <w:pPr>
        <w:spacing w:line="480" w:lineRule="auto"/>
        <w:ind w:firstLine="480"/>
      </w:pPr>
      <w:r w:rsidRPr="00D015B2">
        <w:t>Part 1: The uppermost layer is black, dense, and is predominantly of botryoidal structure (</w:t>
      </w:r>
      <w:r w:rsidRPr="00D015B2">
        <w:rPr>
          <w:szCs w:val="21"/>
        </w:rPr>
        <w:t>Layer I; Fig.S3-A)</w:t>
      </w:r>
      <w:r w:rsidRPr="00D015B2">
        <w:t xml:space="preserve">, laminated </w:t>
      </w:r>
      <w:r w:rsidRPr="00D015B2">
        <w:rPr>
          <w:szCs w:val="21"/>
        </w:rPr>
        <w:t>(interface of Layer</w:t>
      </w:r>
      <w:r w:rsidRPr="00D015B2">
        <w:rPr>
          <w:rFonts w:cs="Times New Roman"/>
          <w:szCs w:val="21"/>
        </w:rPr>
        <w:t xml:space="preserve">s I </w:t>
      </w:r>
      <w:r w:rsidRPr="00D015B2">
        <w:rPr>
          <w:szCs w:val="21"/>
        </w:rPr>
        <w:t>and II; Fig.S3-B)</w:t>
      </w:r>
      <w:r w:rsidRPr="00D015B2">
        <w:t xml:space="preserve">, and </w:t>
      </w:r>
      <w:r w:rsidRPr="00D015B2">
        <w:lastRenderedPageBreak/>
        <w:t xml:space="preserve">columnar </w:t>
      </w:r>
      <w:r w:rsidRPr="00D015B2">
        <w:rPr>
          <w:szCs w:val="21"/>
        </w:rPr>
        <w:t>(Layer II; Fig.S3-C)</w:t>
      </w:r>
      <w:r w:rsidRPr="00D015B2">
        <w:t>.</w:t>
      </w:r>
      <w:r w:rsidRPr="00D015B2">
        <w:rPr>
          <w:szCs w:val="21"/>
        </w:rPr>
        <w:t xml:space="preserve"> T</w:t>
      </w:r>
      <w:r w:rsidRPr="00D015B2">
        <w:rPr>
          <w:rFonts w:cs="Times New Roman"/>
          <w:szCs w:val="21"/>
        </w:rPr>
        <w:t xml:space="preserve">he thickness of </w:t>
      </w:r>
      <w:r w:rsidRPr="00D015B2">
        <w:rPr>
          <w:szCs w:val="21"/>
        </w:rPr>
        <w:t xml:space="preserve">each layer is 40 mm. The uppermost few millimetres of the crust (Layer I) contain intricate globules and </w:t>
      </w:r>
      <w:bookmarkStart w:id="4" w:name="_Hlk39507340"/>
      <w:r w:rsidRPr="00D015B2">
        <w:rPr>
          <w:szCs w:val="21"/>
        </w:rPr>
        <w:t>interstices, likely filled with yellow clayey material</w:t>
      </w:r>
      <w:bookmarkEnd w:id="4"/>
      <w:r w:rsidRPr="00D015B2">
        <w:rPr>
          <w:szCs w:val="21"/>
        </w:rPr>
        <w:t xml:space="preserve">. </w:t>
      </w:r>
    </w:p>
    <w:p w14:paraId="6B6EE01B" w14:textId="7280D9AF" w:rsidR="0086762B" w:rsidRPr="00D015B2" w:rsidRDefault="00000000" w:rsidP="00D85F06">
      <w:pPr>
        <w:spacing w:line="480" w:lineRule="auto"/>
        <w:ind w:firstLine="480"/>
      </w:pPr>
      <w:r w:rsidRPr="00D015B2">
        <w:t xml:space="preserve">Part 2: the next layer is brown, exhibiting high porosity to </w:t>
      </w:r>
      <w:proofErr w:type="spellStart"/>
      <w:r w:rsidRPr="00D015B2">
        <w:t>vugginess</w:t>
      </w:r>
      <w:proofErr w:type="spellEnd"/>
      <w:r w:rsidRPr="00D015B2">
        <w:t xml:space="preserve">, with elongated </w:t>
      </w:r>
      <w:proofErr w:type="spellStart"/>
      <w:r w:rsidRPr="00D015B2">
        <w:t>vugs</w:t>
      </w:r>
      <w:proofErr w:type="spellEnd"/>
      <w:r w:rsidRPr="00D015B2">
        <w:t xml:space="preserve"> perpendicular to the layers. These </w:t>
      </w:r>
      <w:proofErr w:type="spellStart"/>
      <w:r w:rsidRPr="00D015B2">
        <w:t>vugs</w:t>
      </w:r>
      <w:proofErr w:type="spellEnd"/>
      <w:r w:rsidRPr="00D015B2">
        <w:t xml:space="preserve"> are filled </w:t>
      </w:r>
      <w:r w:rsidRPr="00D015B2">
        <w:rPr>
          <w:szCs w:val="21"/>
        </w:rPr>
        <w:t>with pale non-ore material (Fig.S3-E),</w:t>
      </w:r>
      <w:r w:rsidRPr="00D015B2">
        <w:t xml:space="preserve"> and the texture is dendritic </w:t>
      </w:r>
      <w:r w:rsidRPr="00D015B2">
        <w:rPr>
          <w:szCs w:val="21"/>
        </w:rPr>
        <w:t xml:space="preserve">(Layer III; Fig.S3-D) </w:t>
      </w:r>
      <w:r w:rsidRPr="00D015B2">
        <w:t xml:space="preserve">and </w:t>
      </w:r>
      <w:bookmarkStart w:id="5" w:name="OLE_LINK5"/>
      <w:bookmarkStart w:id="6" w:name="OLE_LINK6"/>
      <w:r w:rsidRPr="00D015B2">
        <w:t>mottled</w:t>
      </w:r>
      <w:bookmarkEnd w:id="5"/>
      <w:bookmarkEnd w:id="6"/>
      <w:r w:rsidRPr="00D015B2">
        <w:t xml:space="preserve"> </w:t>
      </w:r>
      <w:r w:rsidRPr="00D015B2">
        <w:rPr>
          <w:szCs w:val="21"/>
        </w:rPr>
        <w:t>(Layer IV; Fig.S3-E)</w:t>
      </w:r>
      <w:r w:rsidRPr="00D015B2">
        <w:t xml:space="preserve">. </w:t>
      </w:r>
      <w:bookmarkStart w:id="7" w:name="OLE_LINK24"/>
      <w:r w:rsidRPr="00D015B2">
        <w:rPr>
          <w:szCs w:val="21"/>
        </w:rPr>
        <w:t>T</w:t>
      </w:r>
      <w:r w:rsidRPr="00D015B2">
        <w:rPr>
          <w:rFonts w:cs="Times New Roman"/>
          <w:szCs w:val="21"/>
        </w:rPr>
        <w:t xml:space="preserve">he thickness of the layer </w:t>
      </w:r>
      <w:r w:rsidRPr="00D015B2">
        <w:rPr>
          <w:szCs w:val="21"/>
        </w:rPr>
        <w:t>was 36 mm (</w:t>
      </w:r>
      <w:r w:rsidRPr="00D015B2">
        <w:rPr>
          <w:rFonts w:cs="Times New Roman"/>
          <w:szCs w:val="21"/>
        </w:rPr>
        <w:t>range, 40–</w:t>
      </w:r>
      <w:r w:rsidRPr="00D015B2">
        <w:rPr>
          <w:szCs w:val="21"/>
        </w:rPr>
        <w:t>76</w:t>
      </w:r>
      <w:r w:rsidRPr="00D015B2">
        <w:rPr>
          <w:rFonts w:cs="Times New Roman"/>
          <w:szCs w:val="21"/>
        </w:rPr>
        <w:t xml:space="preserve"> mm). </w:t>
      </w:r>
      <w:bookmarkEnd w:id="7"/>
      <w:r w:rsidRPr="00D015B2">
        <w:rPr>
          <w:szCs w:val="21"/>
        </w:rPr>
        <w:t xml:space="preserve">Layer IV was relatively denser and more distorted than layer III. </w:t>
      </w:r>
    </w:p>
    <w:p w14:paraId="179851B7" w14:textId="5742AFCB" w:rsidR="0086762B" w:rsidRPr="00D015B2" w:rsidRDefault="00000000" w:rsidP="00D85F06">
      <w:pPr>
        <w:spacing w:line="480" w:lineRule="auto"/>
        <w:ind w:firstLine="480"/>
      </w:pPr>
      <w:r w:rsidRPr="00D015B2">
        <w:t>Part 3-1: It is black and dense, with a massive texture (Layer V; Fig.S</w:t>
      </w:r>
      <w:r w:rsidRPr="00D015B2">
        <w:rPr>
          <w:szCs w:val="21"/>
        </w:rPr>
        <w:t>3-</w:t>
      </w:r>
      <w:r w:rsidRPr="00D015B2">
        <w:t xml:space="preserve">F). The upper surface of the layer </w:t>
      </w:r>
      <w:r w:rsidRPr="00D015B2">
        <w:rPr>
          <w:rFonts w:cs="Times New Roman"/>
        </w:rPr>
        <w:t xml:space="preserve">in </w:t>
      </w:r>
      <w:r w:rsidRPr="00D015B2">
        <w:t xml:space="preserve">contact with </w:t>
      </w:r>
      <w:r w:rsidRPr="00D015B2">
        <w:rPr>
          <w:rFonts w:cs="Times New Roman"/>
        </w:rPr>
        <w:t xml:space="preserve">the overlying </w:t>
      </w:r>
      <w:bookmarkStart w:id="8" w:name="OLE_LINK4"/>
      <w:r w:rsidRPr="00D015B2">
        <w:t>Layer IV</w:t>
      </w:r>
      <w:bookmarkEnd w:id="8"/>
      <w:r w:rsidRPr="00D015B2">
        <w:t xml:space="preserve"> exhibits a laminated structure with partial distortion (Fig.S</w:t>
      </w:r>
      <w:r w:rsidRPr="00D015B2">
        <w:rPr>
          <w:szCs w:val="21"/>
        </w:rPr>
        <w:t>3-</w:t>
      </w:r>
      <w:r w:rsidRPr="00D015B2">
        <w:t xml:space="preserve">G), accompanied by </w:t>
      </w:r>
      <w:r w:rsidRPr="00D015B2">
        <w:rPr>
          <w:rFonts w:cs="Times New Roman"/>
        </w:rPr>
        <w:t>a colour change</w:t>
      </w:r>
      <w:r w:rsidRPr="00D015B2">
        <w:t xml:space="preserve"> from dark </w:t>
      </w:r>
      <w:proofErr w:type="spellStart"/>
      <w:r w:rsidRPr="00D015B2">
        <w:t>gray</w:t>
      </w:r>
      <w:proofErr w:type="spellEnd"/>
      <w:r w:rsidRPr="00D015B2">
        <w:t xml:space="preserve"> to pale.</w:t>
      </w:r>
    </w:p>
    <w:p w14:paraId="49838E28" w14:textId="1FFC1582" w:rsidR="0086762B" w:rsidRPr="00D015B2" w:rsidRDefault="00000000" w:rsidP="00D85F06">
      <w:pPr>
        <w:spacing w:line="480" w:lineRule="auto"/>
        <w:ind w:firstLine="480"/>
        <w:rPr>
          <w:szCs w:val="21"/>
        </w:rPr>
      </w:pPr>
      <w:r w:rsidRPr="00D015B2">
        <w:t>Part 3-2: It is black, dense, and shows a laminated texture. It is impregnated with carbonate fluorapatite (CFA)</w:t>
      </w:r>
      <w:r w:rsidRPr="00D015B2">
        <w:rPr>
          <w:rFonts w:cs="Times New Roman"/>
        </w:rPr>
        <w:t xml:space="preserve"> and cut </w:t>
      </w:r>
      <w:r w:rsidRPr="00D015B2">
        <w:t>with C</w:t>
      </w:r>
      <w:r>
        <w:t>F</w:t>
      </w:r>
      <w:r w:rsidRPr="00D015B2">
        <w:t>A-filled veins.</w:t>
      </w:r>
      <w:r w:rsidRPr="00D015B2">
        <w:rPr>
          <w:szCs w:val="21"/>
        </w:rPr>
        <w:t xml:space="preserve"> Layer VI displays </w:t>
      </w:r>
      <w:r w:rsidRPr="00D015B2">
        <w:rPr>
          <w:rFonts w:cs="Times New Roman"/>
          <w:szCs w:val="21"/>
        </w:rPr>
        <w:t>a thin laminated structure with gaps as small as about 0.8 mm. Th</w:t>
      </w:r>
      <w:r w:rsidRPr="00D015B2">
        <w:rPr>
          <w:szCs w:val="21"/>
        </w:rPr>
        <w:t xml:space="preserve">is layer contained </w:t>
      </w:r>
      <w:r w:rsidRPr="00D015B2">
        <w:rPr>
          <w:rFonts w:cs="Times New Roman"/>
          <w:szCs w:val="21"/>
        </w:rPr>
        <w:t xml:space="preserve">a high content of </w:t>
      </w:r>
      <w:r w:rsidRPr="00D015B2">
        <w:rPr>
          <w:szCs w:val="21"/>
        </w:rPr>
        <w:t>binding phosphate interlayers and crosscutting veinlets (Fig.S3-H). Layer VII exhibits a fine laminar structure with gaps much larger than Layer that of layer VI (0.8</w:t>
      </w:r>
      <w:r w:rsidRPr="00D015B2">
        <w:rPr>
          <w:rFonts w:cs="Times New Roman"/>
          <w:szCs w:val="21"/>
        </w:rPr>
        <w:t>–</w:t>
      </w:r>
      <w:r w:rsidRPr="00D015B2">
        <w:rPr>
          <w:szCs w:val="21"/>
        </w:rPr>
        <w:t>2.5</w:t>
      </w:r>
      <w:r w:rsidRPr="00D015B2">
        <w:rPr>
          <w:rFonts w:cs="Times New Roman"/>
          <w:szCs w:val="21"/>
        </w:rPr>
        <w:t xml:space="preserve"> mm, mostly around 2 mm). </w:t>
      </w:r>
      <w:r w:rsidRPr="00D015B2">
        <w:rPr>
          <w:szCs w:val="21"/>
        </w:rPr>
        <w:t xml:space="preserve">No phosphate filling </w:t>
      </w:r>
      <w:r w:rsidRPr="00D015B2">
        <w:rPr>
          <w:rFonts w:cs="Times New Roman"/>
          <w:szCs w:val="21"/>
        </w:rPr>
        <w:t xml:space="preserve">was observed in the fissures </w:t>
      </w:r>
      <w:r w:rsidRPr="00D015B2">
        <w:rPr>
          <w:szCs w:val="21"/>
        </w:rPr>
        <w:t>of layer VII (Fig.S3-I).</w:t>
      </w:r>
    </w:p>
    <w:p w14:paraId="56F1629B" w14:textId="69F68707" w:rsidR="0086762B" w:rsidRPr="00D015B2" w:rsidRDefault="00000000" w:rsidP="00D85F06">
      <w:pPr>
        <w:spacing w:line="480" w:lineRule="auto"/>
        <w:ind w:firstLine="480"/>
        <w:rPr>
          <w:szCs w:val="21"/>
        </w:rPr>
      </w:pPr>
      <w:r w:rsidRPr="00D015B2">
        <w:rPr>
          <w:szCs w:val="21"/>
        </w:rPr>
        <w:t xml:space="preserve">In summary, the lower layers of the ferromanganese crust are characterised by intense </w:t>
      </w:r>
      <w:proofErr w:type="spellStart"/>
      <w:r w:rsidRPr="00D015B2">
        <w:rPr>
          <w:szCs w:val="21"/>
        </w:rPr>
        <w:t>phatisation</w:t>
      </w:r>
      <w:proofErr w:type="spellEnd"/>
      <w:r w:rsidRPr="00D015B2">
        <w:rPr>
          <w:szCs w:val="21"/>
        </w:rPr>
        <w:t xml:space="preserve">, with the presence of CFA veins and lenses of phosphorites. The </w:t>
      </w:r>
      <w:r w:rsidRPr="00D015B2">
        <w:rPr>
          <w:szCs w:val="21"/>
        </w:rPr>
        <w:lastRenderedPageBreak/>
        <w:t>middle layers exhibit higher porosity, a brownish colo</w:t>
      </w:r>
      <w:r w:rsidRPr="00D015B2">
        <w:rPr>
          <w:rFonts w:cs="Times New Roman"/>
          <w:szCs w:val="21"/>
        </w:rPr>
        <w:t>uration, and columnar texture</w:t>
      </w:r>
      <w:r w:rsidRPr="00D015B2">
        <w:rPr>
          <w:szCs w:val="21"/>
        </w:rPr>
        <w:t xml:space="preserve">. </w:t>
      </w:r>
      <w:r w:rsidRPr="00D015B2">
        <w:rPr>
          <w:rFonts w:cs="Times New Roman"/>
          <w:szCs w:val="21"/>
        </w:rPr>
        <w:t xml:space="preserve">In contrast, the upper layers consist of dense botryoidal, </w:t>
      </w:r>
      <w:r w:rsidRPr="00D015B2">
        <w:rPr>
          <w:szCs w:val="21"/>
        </w:rPr>
        <w:t>columnar</w:t>
      </w:r>
      <w:r w:rsidRPr="00D015B2">
        <w:rPr>
          <w:rFonts w:cs="Times New Roman"/>
          <w:szCs w:val="21"/>
        </w:rPr>
        <w:t>,</w:t>
      </w:r>
      <w:r w:rsidRPr="00D015B2">
        <w:rPr>
          <w:szCs w:val="21"/>
        </w:rPr>
        <w:t xml:space="preserve"> or laminated texture</w:t>
      </w:r>
      <w:r w:rsidRPr="00D015B2">
        <w:rPr>
          <w:rFonts w:cs="Times New Roman"/>
          <w:szCs w:val="21"/>
        </w:rPr>
        <w:t xml:space="preserve">s of black Fe-Mn oxides. No pervasive phosphorus-rich phase, except for isolated detrital grains of apatite and materials, such as fish bones, </w:t>
      </w:r>
      <w:r w:rsidRPr="00D015B2">
        <w:rPr>
          <w:szCs w:val="21"/>
        </w:rPr>
        <w:t>was observed in the intercolumn material &gt;88 mm in the sample (middle and upper crust). The lowermost part of the core, near the substrate, has a complex history of crust</w:t>
      </w:r>
      <w:r w:rsidRPr="00D015B2">
        <w:rPr>
          <w:rFonts w:cs="Times New Roman"/>
          <w:szCs w:val="21"/>
        </w:rPr>
        <w:t>al precipitation, diagenetic recrystalli</w:t>
      </w:r>
      <w:r w:rsidRPr="00D015B2">
        <w:rPr>
          <w:szCs w:val="21"/>
        </w:rPr>
        <w:t>sation, erosion, the reworking of the crust</w:t>
      </w:r>
      <w:r w:rsidRPr="00D015B2">
        <w:rPr>
          <w:rFonts w:cs="Times New Roman"/>
          <w:szCs w:val="21"/>
        </w:rPr>
        <w:t xml:space="preserve">, and infilling of fractures by CFA. </w:t>
      </w:r>
    </w:p>
    <w:p w14:paraId="0560B87E" w14:textId="15487027" w:rsidR="0086762B" w:rsidRPr="00D015B2" w:rsidRDefault="00000000" w:rsidP="00D85F06">
      <w:pPr>
        <w:spacing w:line="480" w:lineRule="auto"/>
        <w:ind w:firstLine="480"/>
        <w:rPr>
          <w:rFonts w:eastAsiaTheme="minorEastAsia"/>
        </w:rPr>
      </w:pPr>
      <w:r w:rsidRPr="00D015B2">
        <w:rPr>
          <w:szCs w:val="21"/>
        </w:rPr>
        <w:t>Some studies have revealed that the presence of mottled, columnar, botryoidal, and laminated textures in the ferromanganese crust probably reflects a gradual decrease in energy within the depositional environment. Further, these features are believed to develop as detrita</w:t>
      </w:r>
      <w:r w:rsidRPr="0086762B">
        <w:rPr>
          <w:szCs w:val="21"/>
        </w:rPr>
        <w:t xml:space="preserve">l material carried by currents </w:t>
      </w:r>
      <w:r w:rsidRPr="0086762B">
        <w:rPr>
          <w:rFonts w:cs="Times New Roman"/>
          <w:szCs w:val="21"/>
        </w:rPr>
        <w:t>accumulating in topographic lows, leading to their formation</w:t>
      </w:r>
      <w:r w:rsidRPr="0086762B">
        <w:rPr>
          <w:szCs w:val="21"/>
          <w:vertAlign w:val="superscript"/>
        </w:rPr>
        <w:t>4,5</w:t>
      </w:r>
      <w:r w:rsidRPr="0086762B">
        <w:rPr>
          <w:szCs w:val="21"/>
        </w:rPr>
        <w:t xml:space="preserve">. However, </w:t>
      </w:r>
      <w:proofErr w:type="spellStart"/>
      <w:r w:rsidRPr="0086762B">
        <w:rPr>
          <w:rFonts w:eastAsiaTheme="minorEastAsia"/>
        </w:rPr>
        <w:t>Josso</w:t>
      </w:r>
      <w:proofErr w:type="spellEnd"/>
      <w:r w:rsidRPr="0086762B">
        <w:rPr>
          <w:rFonts w:eastAsiaTheme="minorEastAsia"/>
        </w:rPr>
        <w:t xml:space="preserve"> et al. (2020)</w:t>
      </w:r>
      <w:r w:rsidRPr="0086762B">
        <w:rPr>
          <w:rFonts w:eastAsiaTheme="minorEastAsia"/>
          <w:vertAlign w:val="superscript"/>
        </w:rPr>
        <w:t>6</w:t>
      </w:r>
      <w:r w:rsidRPr="0086762B">
        <w:rPr>
          <w:rFonts w:eastAsiaTheme="minorEastAsia"/>
        </w:rPr>
        <w:t xml:space="preserve"> provide a more convincing explanation. According to their perspective, high-energy</w:t>
      </w:r>
      <w:r w:rsidRPr="00D015B2">
        <w:rPr>
          <w:rFonts w:eastAsiaTheme="minorEastAsia"/>
        </w:rPr>
        <w:t xml:space="preserve"> currents remove particles, i</w:t>
      </w:r>
      <w:r w:rsidRPr="00AD060F">
        <w:rPr>
          <w:rFonts w:eastAsiaTheme="minorEastAsia"/>
        </w:rPr>
        <w:t>ncluding biogenic and wind-derived detrital materials, thereby maintaining a sediment-free a</w:t>
      </w:r>
      <w:r w:rsidRPr="00D015B2">
        <w:rPr>
          <w:rFonts w:eastAsiaTheme="minorEastAsia"/>
        </w:rPr>
        <w:t>ccretionary surface for crustal growth. Therefore, clastic-rich columnar and botryoidal textures in the crust indicate a lower energy regime.</w:t>
      </w:r>
    </w:p>
    <w:p w14:paraId="5AB07F45" w14:textId="77777777" w:rsidR="004B77FD" w:rsidRPr="00D015B2" w:rsidRDefault="00000000" w:rsidP="00D85F06">
      <w:pPr>
        <w:pStyle w:val="2"/>
        <w:numPr>
          <w:ilvl w:val="0"/>
          <w:numId w:val="1"/>
        </w:numPr>
        <w:spacing w:line="480" w:lineRule="auto"/>
      </w:pPr>
      <w:r w:rsidRPr="00D015B2">
        <w:t>The age of the crust</w:t>
      </w:r>
    </w:p>
    <w:p w14:paraId="400F67E9" w14:textId="7530561D" w:rsidR="004B77FD" w:rsidRPr="00D015B2" w:rsidRDefault="00000000" w:rsidP="00D85F06">
      <w:pPr>
        <w:spacing w:line="480" w:lineRule="auto"/>
        <w:ind w:firstLine="480"/>
        <w:rPr>
          <w:rFonts w:cs="Times New Roman"/>
          <w:szCs w:val="24"/>
        </w:rPr>
      </w:pPr>
      <w:r w:rsidRPr="00D015B2">
        <w:rPr>
          <w:rFonts w:cs="Times New Roman"/>
          <w:szCs w:val="24"/>
        </w:rPr>
        <w:t>Fig.S</w:t>
      </w:r>
      <w:r w:rsidR="00AD060F">
        <w:rPr>
          <w:rFonts w:cs="Times New Roman"/>
          <w:szCs w:val="24"/>
        </w:rPr>
        <w:t xml:space="preserve">4 </w:t>
      </w:r>
      <w:r w:rsidRPr="00D015B2">
        <w:rPr>
          <w:rFonts w:cs="Times New Roman"/>
          <w:szCs w:val="24"/>
        </w:rPr>
        <w:t xml:space="preserve">A shows the </w:t>
      </w:r>
      <w:proofErr w:type="spellStart"/>
      <w:r w:rsidRPr="00D015B2">
        <w:rPr>
          <w:rFonts w:cs="Times New Roman"/>
          <w:szCs w:val="24"/>
        </w:rPr>
        <w:t>Os</w:t>
      </w:r>
      <w:proofErr w:type="spellEnd"/>
      <w:r w:rsidRPr="00D015B2">
        <w:rPr>
          <w:rFonts w:cs="Times New Roman"/>
          <w:szCs w:val="24"/>
        </w:rPr>
        <w:t xml:space="preserve"> isotope data regarding depth. The </w:t>
      </w:r>
      <w:r w:rsidRPr="00D015B2">
        <w:rPr>
          <w:rFonts w:cs="Times New Roman"/>
          <w:szCs w:val="24"/>
          <w:vertAlign w:val="superscript"/>
        </w:rPr>
        <w:t>187</w:t>
      </w:r>
      <w:r w:rsidRPr="00D015B2">
        <w:rPr>
          <w:rFonts w:cs="Times New Roman"/>
          <w:szCs w:val="24"/>
        </w:rPr>
        <w:t>Os/</w:t>
      </w:r>
      <w:r w:rsidRPr="00D015B2">
        <w:rPr>
          <w:rFonts w:cs="Times New Roman"/>
          <w:szCs w:val="24"/>
          <w:vertAlign w:val="superscript"/>
        </w:rPr>
        <w:t>188</w:t>
      </w:r>
      <w:r w:rsidRPr="00D015B2">
        <w:rPr>
          <w:rFonts w:cs="Times New Roman"/>
          <w:szCs w:val="24"/>
        </w:rPr>
        <w:t>Os values record starts at approximately 0.5 at the base of the crust, followed by a steep decrease to the minimum of the profile (</w:t>
      </w:r>
      <w:r w:rsidRPr="00D015B2">
        <w:rPr>
          <w:rFonts w:cs="Times New Roman"/>
          <w:szCs w:val="24"/>
          <w:vertAlign w:val="superscript"/>
        </w:rPr>
        <w:t>187</w:t>
      </w:r>
      <w:r w:rsidRPr="00D015B2">
        <w:rPr>
          <w:rFonts w:cs="Times New Roman"/>
          <w:szCs w:val="24"/>
        </w:rPr>
        <w:t xml:space="preserve">Os/ </w:t>
      </w:r>
      <w:r w:rsidRPr="00D015B2">
        <w:rPr>
          <w:rFonts w:cs="Times New Roman"/>
          <w:szCs w:val="24"/>
          <w:vertAlign w:val="superscript"/>
        </w:rPr>
        <w:t>188</w:t>
      </w:r>
      <w:r w:rsidRPr="00D015B2">
        <w:rPr>
          <w:rFonts w:cs="Times New Roman"/>
          <w:szCs w:val="24"/>
        </w:rPr>
        <w:t>Os =</w:t>
      </w:r>
      <w:r w:rsidR="005C46C9">
        <w:rPr>
          <w:rFonts w:cs="Times New Roman"/>
          <w:szCs w:val="24"/>
        </w:rPr>
        <w:t xml:space="preserve"> </w:t>
      </w:r>
      <w:r w:rsidRPr="00D015B2">
        <w:rPr>
          <w:rFonts w:cs="Times New Roman"/>
          <w:szCs w:val="24"/>
        </w:rPr>
        <w:t>0.399). Following this minimum, the values continuously increased to 0.61, followed by another clear minimum (</w:t>
      </w:r>
      <w:r w:rsidRPr="00D015B2">
        <w:rPr>
          <w:rFonts w:cs="Times New Roman"/>
          <w:szCs w:val="24"/>
          <w:vertAlign w:val="superscript"/>
        </w:rPr>
        <w:t>187</w:t>
      </w:r>
      <w:r w:rsidRPr="00D015B2">
        <w:rPr>
          <w:rFonts w:cs="Times New Roman"/>
          <w:szCs w:val="24"/>
        </w:rPr>
        <w:t>Os/</w:t>
      </w:r>
      <w:r w:rsidRPr="00D015B2">
        <w:rPr>
          <w:rFonts w:cs="Times New Roman"/>
          <w:szCs w:val="24"/>
          <w:vertAlign w:val="superscript"/>
        </w:rPr>
        <w:t>188</w:t>
      </w:r>
      <w:r w:rsidRPr="00D015B2">
        <w:rPr>
          <w:rFonts w:cs="Times New Roman"/>
          <w:szCs w:val="24"/>
        </w:rPr>
        <w:t>Os =</w:t>
      </w:r>
      <w:r w:rsidR="008E0417">
        <w:rPr>
          <w:rFonts w:cs="Times New Roman"/>
          <w:szCs w:val="24"/>
        </w:rPr>
        <w:t xml:space="preserve"> </w:t>
      </w:r>
      <w:r w:rsidRPr="00D015B2">
        <w:rPr>
          <w:rFonts w:cs="Times New Roman"/>
          <w:szCs w:val="24"/>
        </w:rPr>
        <w:lastRenderedPageBreak/>
        <w:t>0.389) and another steep increase (</w:t>
      </w:r>
      <w:r w:rsidRPr="00D015B2">
        <w:rPr>
          <w:rFonts w:cs="Times New Roman"/>
          <w:szCs w:val="24"/>
          <w:vertAlign w:val="superscript"/>
        </w:rPr>
        <w:t>187</w:t>
      </w:r>
      <w:r w:rsidRPr="00D015B2">
        <w:rPr>
          <w:rFonts w:cs="Times New Roman"/>
          <w:szCs w:val="24"/>
        </w:rPr>
        <w:t>Os/</w:t>
      </w:r>
      <w:r w:rsidRPr="00D015B2">
        <w:rPr>
          <w:rFonts w:cs="Times New Roman"/>
          <w:szCs w:val="24"/>
          <w:vertAlign w:val="superscript"/>
        </w:rPr>
        <w:t>188</w:t>
      </w:r>
      <w:r w:rsidRPr="00D015B2">
        <w:rPr>
          <w:rFonts w:cs="Times New Roman"/>
          <w:szCs w:val="24"/>
        </w:rPr>
        <w:t>Os =</w:t>
      </w:r>
      <w:r w:rsidR="005C46C9">
        <w:rPr>
          <w:rFonts w:cs="Times New Roman"/>
          <w:szCs w:val="24"/>
        </w:rPr>
        <w:t xml:space="preserve"> </w:t>
      </w:r>
      <w:r w:rsidRPr="00D015B2">
        <w:rPr>
          <w:rFonts w:cs="Times New Roman"/>
          <w:szCs w:val="24"/>
        </w:rPr>
        <w:t xml:space="preserve">0.725). Subsequently, the ratios steadily increase to values of </w:t>
      </w:r>
      <w:r w:rsidRPr="00D015B2">
        <w:rPr>
          <w:rFonts w:cs="Times New Roman"/>
          <w:szCs w:val="24"/>
          <w:vertAlign w:val="superscript"/>
        </w:rPr>
        <w:t>187</w:t>
      </w:r>
      <w:r w:rsidRPr="00D015B2">
        <w:rPr>
          <w:rFonts w:cs="Times New Roman"/>
          <w:szCs w:val="24"/>
        </w:rPr>
        <w:t>Os/</w:t>
      </w:r>
      <w:r w:rsidRPr="00D015B2">
        <w:rPr>
          <w:rFonts w:cs="Times New Roman"/>
          <w:szCs w:val="24"/>
          <w:vertAlign w:val="superscript"/>
        </w:rPr>
        <w:t>188</w:t>
      </w:r>
      <w:r w:rsidRPr="00D015B2">
        <w:rPr>
          <w:rFonts w:cs="Times New Roman"/>
          <w:szCs w:val="24"/>
        </w:rPr>
        <w:t xml:space="preserve">Os between 1.022 and 1.024 at the surface, very close to the </w:t>
      </w:r>
      <w:r w:rsidRPr="00D015B2">
        <w:rPr>
          <w:rFonts w:cs="Times New Roman"/>
          <w:szCs w:val="24"/>
          <w:vertAlign w:val="superscript"/>
        </w:rPr>
        <w:t>187</w:t>
      </w:r>
      <w:r w:rsidRPr="00D015B2">
        <w:rPr>
          <w:rFonts w:cs="Times New Roman"/>
          <w:szCs w:val="24"/>
        </w:rPr>
        <w:t>Os/</w:t>
      </w:r>
      <w:r w:rsidRPr="00D015B2">
        <w:rPr>
          <w:rFonts w:cs="Times New Roman"/>
          <w:szCs w:val="24"/>
          <w:vertAlign w:val="superscript"/>
        </w:rPr>
        <w:t>188</w:t>
      </w:r>
      <w:r w:rsidRPr="00D015B2">
        <w:rPr>
          <w:rFonts w:cs="Times New Roman"/>
          <w:szCs w:val="24"/>
        </w:rPr>
        <w:t>Os value of present-day seawater (</w:t>
      </w:r>
      <w:r w:rsidRPr="00D015B2">
        <w:rPr>
          <w:rFonts w:cs="Times New Roman"/>
          <w:szCs w:val="24"/>
          <w:vertAlign w:val="superscript"/>
        </w:rPr>
        <w:t>187</w:t>
      </w:r>
      <w:r w:rsidRPr="00D015B2">
        <w:rPr>
          <w:rFonts w:cs="Times New Roman"/>
          <w:szCs w:val="24"/>
        </w:rPr>
        <w:t>Os/</w:t>
      </w:r>
      <w:r w:rsidRPr="00D015B2">
        <w:rPr>
          <w:rFonts w:cs="Times New Roman"/>
          <w:szCs w:val="24"/>
          <w:vertAlign w:val="superscript"/>
        </w:rPr>
        <w:t>188</w:t>
      </w:r>
      <w:r w:rsidRPr="00D015B2">
        <w:rPr>
          <w:rFonts w:cs="Times New Roman"/>
          <w:szCs w:val="24"/>
        </w:rPr>
        <w:t>Os =</w:t>
      </w:r>
      <w:r w:rsidR="005C46C9">
        <w:rPr>
          <w:rFonts w:cs="Times New Roman"/>
          <w:szCs w:val="24"/>
        </w:rPr>
        <w:t xml:space="preserve"> </w:t>
      </w:r>
      <w:r w:rsidRPr="00D015B2">
        <w:rPr>
          <w:rFonts w:cs="Times New Roman"/>
          <w:szCs w:val="24"/>
        </w:rPr>
        <w:t>1.057 ± 0.038)</w:t>
      </w:r>
      <w:r w:rsidR="00CC2FFA">
        <w:rPr>
          <w:rFonts w:cs="Times New Roman"/>
          <w:szCs w:val="24"/>
          <w:vertAlign w:val="superscript"/>
        </w:rPr>
        <w:t>7</w:t>
      </w:r>
      <w:r w:rsidR="00CC2FFA" w:rsidRPr="00463947">
        <w:rPr>
          <w:rFonts w:cs="Times New Roman"/>
          <w:szCs w:val="24"/>
        </w:rPr>
        <w:t xml:space="preserve"> </w:t>
      </w:r>
      <w:r w:rsidRPr="00D015B2">
        <w:rPr>
          <w:rFonts w:cs="Times New Roman"/>
          <w:szCs w:val="24"/>
        </w:rPr>
        <w:t>and surfaces of other hydrogenous crusts representing present-day seawater (</w:t>
      </w:r>
      <w:r w:rsidRPr="00D015B2">
        <w:rPr>
          <w:rFonts w:cs="Times New Roman"/>
          <w:szCs w:val="24"/>
          <w:vertAlign w:val="superscript"/>
        </w:rPr>
        <w:t>187</w:t>
      </w:r>
      <w:r w:rsidRPr="00D015B2">
        <w:rPr>
          <w:rFonts w:cs="Times New Roman"/>
          <w:szCs w:val="24"/>
        </w:rPr>
        <w:t>Os/</w:t>
      </w:r>
      <w:r w:rsidRPr="00D015B2">
        <w:rPr>
          <w:rFonts w:cs="Times New Roman"/>
          <w:szCs w:val="24"/>
          <w:vertAlign w:val="superscript"/>
        </w:rPr>
        <w:t>188</w:t>
      </w:r>
      <w:r w:rsidRPr="00D015B2">
        <w:rPr>
          <w:rFonts w:cs="Times New Roman"/>
          <w:szCs w:val="24"/>
        </w:rPr>
        <w:t>Os between 1.01 and 1.07)</w:t>
      </w:r>
      <w:r w:rsidR="00CC2FFA">
        <w:rPr>
          <w:rFonts w:cs="Times New Roman"/>
          <w:szCs w:val="24"/>
          <w:vertAlign w:val="superscript"/>
        </w:rPr>
        <w:t>8</w:t>
      </w:r>
      <w:r w:rsidRPr="00D015B2">
        <w:rPr>
          <w:rFonts w:cs="Times New Roman"/>
          <w:szCs w:val="24"/>
        </w:rPr>
        <w:t>.</w:t>
      </w:r>
    </w:p>
    <w:p w14:paraId="2A123A6D" w14:textId="41B23076" w:rsidR="004B77FD" w:rsidRPr="00D015B2" w:rsidRDefault="00000000" w:rsidP="00D85F06">
      <w:pPr>
        <w:spacing w:line="480" w:lineRule="auto"/>
        <w:ind w:firstLine="480"/>
        <w:rPr>
          <w:rFonts w:cs="Times New Roman"/>
          <w:szCs w:val="24"/>
        </w:rPr>
      </w:pPr>
      <w:r w:rsidRPr="00D015B2">
        <w:rPr>
          <w:rFonts w:cs="Times New Roman"/>
          <w:szCs w:val="24"/>
        </w:rPr>
        <w:t xml:space="preserve">To calibrate the age and identify growth hiatuses, we matched the measured </w:t>
      </w:r>
      <w:r w:rsidRPr="00D015B2">
        <w:rPr>
          <w:rFonts w:cs="Times New Roman"/>
          <w:szCs w:val="24"/>
          <w:vertAlign w:val="superscript"/>
        </w:rPr>
        <w:t>187</w:t>
      </w:r>
      <w:r w:rsidRPr="00D015B2">
        <w:rPr>
          <w:rFonts w:cs="Times New Roman"/>
          <w:szCs w:val="24"/>
        </w:rPr>
        <w:t>Os/</w:t>
      </w:r>
      <w:r w:rsidRPr="00D015B2">
        <w:rPr>
          <w:rFonts w:cs="Times New Roman"/>
          <w:szCs w:val="24"/>
          <w:vertAlign w:val="superscript"/>
        </w:rPr>
        <w:t>188</w:t>
      </w:r>
      <w:r w:rsidRPr="00D015B2">
        <w:rPr>
          <w:rFonts w:cs="Times New Roman"/>
          <w:szCs w:val="24"/>
        </w:rPr>
        <w:t>Os to a known seawater curve</w:t>
      </w:r>
      <w:r w:rsidR="00CC2FFA">
        <w:rPr>
          <w:rFonts w:cs="Times New Roman"/>
          <w:szCs w:val="24"/>
          <w:vertAlign w:val="superscript"/>
        </w:rPr>
        <w:t>9</w:t>
      </w:r>
      <w:r w:rsidR="00463947" w:rsidRPr="00463947">
        <w:rPr>
          <w:rFonts w:cs="Times New Roman"/>
          <w:szCs w:val="24"/>
          <w:vertAlign w:val="superscript"/>
        </w:rPr>
        <w:t xml:space="preserve">, </w:t>
      </w:r>
      <w:r w:rsidR="00CC2FFA">
        <w:rPr>
          <w:rFonts w:cs="Times New Roman"/>
          <w:szCs w:val="24"/>
          <w:vertAlign w:val="superscript"/>
        </w:rPr>
        <w:t>10</w:t>
      </w:r>
      <w:r w:rsidRPr="00D015B2">
        <w:rPr>
          <w:rFonts w:cs="Times New Roman"/>
          <w:szCs w:val="24"/>
        </w:rPr>
        <w:t xml:space="preserve">. First, we assigned an age of 0 Ma to the surface layer (0 mm), considering the similarity of the </w:t>
      </w:r>
      <w:r w:rsidRPr="00D015B2">
        <w:rPr>
          <w:rFonts w:cs="Times New Roman"/>
          <w:szCs w:val="24"/>
          <w:vertAlign w:val="superscript"/>
        </w:rPr>
        <w:t>187</w:t>
      </w:r>
      <w:r w:rsidRPr="00D015B2">
        <w:rPr>
          <w:rFonts w:cs="Times New Roman"/>
          <w:szCs w:val="24"/>
        </w:rPr>
        <w:t>Os/</w:t>
      </w:r>
      <w:r w:rsidRPr="00D015B2">
        <w:rPr>
          <w:rFonts w:cs="Times New Roman"/>
          <w:szCs w:val="24"/>
          <w:vertAlign w:val="superscript"/>
        </w:rPr>
        <w:t>188</w:t>
      </w:r>
      <w:r w:rsidRPr="00D015B2">
        <w:rPr>
          <w:rFonts w:cs="Times New Roman"/>
          <w:szCs w:val="24"/>
        </w:rPr>
        <w:t>Os values in the outermost 0–3 mm layers to the present-day seawater value (</w:t>
      </w:r>
      <w:r w:rsidRPr="00D015B2">
        <w:rPr>
          <w:rFonts w:cs="Times New Roman"/>
          <w:szCs w:val="24"/>
          <w:vertAlign w:val="superscript"/>
        </w:rPr>
        <w:t>187</w:t>
      </w:r>
      <w:r w:rsidRPr="00D015B2">
        <w:rPr>
          <w:rFonts w:cs="Times New Roman"/>
          <w:szCs w:val="24"/>
        </w:rPr>
        <w:t>Os/</w:t>
      </w:r>
      <w:r w:rsidRPr="00D015B2">
        <w:rPr>
          <w:rFonts w:cs="Times New Roman"/>
          <w:szCs w:val="24"/>
          <w:vertAlign w:val="superscript"/>
        </w:rPr>
        <w:t>188</w:t>
      </w:r>
      <w:r w:rsidRPr="00D015B2">
        <w:rPr>
          <w:rFonts w:cs="Times New Roman"/>
          <w:szCs w:val="24"/>
        </w:rPr>
        <w:t>Os = 1.06</w:t>
      </w:r>
      <w:r w:rsidRPr="00463947">
        <w:rPr>
          <w:rFonts w:cs="Times New Roman"/>
          <w:szCs w:val="24"/>
        </w:rPr>
        <w:t>)</w:t>
      </w:r>
      <w:r w:rsidR="00CC2FFA">
        <w:rPr>
          <w:rFonts w:cs="Times New Roman"/>
          <w:szCs w:val="24"/>
          <w:vertAlign w:val="superscript"/>
        </w:rPr>
        <w:t>7</w:t>
      </w:r>
      <w:r w:rsidRPr="00D015B2">
        <w:rPr>
          <w:rFonts w:cs="Times New Roman"/>
          <w:szCs w:val="24"/>
        </w:rPr>
        <w:t xml:space="preserve">, which continued to decline with depth in the crust. Three characteristic points characterised by significant negative excursions (or periods) can correspond to the known </w:t>
      </w:r>
      <w:proofErr w:type="spellStart"/>
      <w:r w:rsidRPr="00D015B2">
        <w:rPr>
          <w:rFonts w:cs="Times New Roman"/>
          <w:szCs w:val="24"/>
        </w:rPr>
        <w:t>Os</w:t>
      </w:r>
      <w:proofErr w:type="spellEnd"/>
      <w:r w:rsidRPr="00D015B2">
        <w:rPr>
          <w:rFonts w:cs="Times New Roman"/>
          <w:szCs w:val="24"/>
        </w:rPr>
        <w:t xml:space="preserve"> isotope seawater curve</w:t>
      </w:r>
      <w:r w:rsidR="00463947">
        <w:rPr>
          <w:rFonts w:cs="Times New Roman"/>
          <w:szCs w:val="24"/>
        </w:rPr>
        <w:t xml:space="preserve"> </w:t>
      </w:r>
      <w:r w:rsidR="00463947" w:rsidRPr="00D015B2">
        <w:rPr>
          <w:rFonts w:cs="Times New Roman"/>
          <w:szCs w:val="24"/>
        </w:rPr>
        <w:t>(Fig.S</w:t>
      </w:r>
      <w:r w:rsidR="00AD060F">
        <w:rPr>
          <w:rFonts w:cs="Times New Roman"/>
          <w:szCs w:val="24"/>
        </w:rPr>
        <w:t xml:space="preserve">4 </w:t>
      </w:r>
      <w:r w:rsidR="00463947" w:rsidRPr="00D015B2">
        <w:rPr>
          <w:rFonts w:cs="Times New Roman"/>
          <w:szCs w:val="24"/>
        </w:rPr>
        <w:t>B)</w:t>
      </w:r>
      <w:r w:rsidRPr="00D015B2">
        <w:rPr>
          <w:rFonts w:cs="Times New Roman"/>
          <w:szCs w:val="24"/>
        </w:rPr>
        <w:t xml:space="preserve">: (1) The first negative excursion occurred at a depth of 41.2 mm, characterised by a </w:t>
      </w:r>
      <w:r w:rsidRPr="00D015B2">
        <w:rPr>
          <w:rFonts w:cs="Times New Roman"/>
          <w:szCs w:val="24"/>
          <w:vertAlign w:val="superscript"/>
        </w:rPr>
        <w:t>187</w:t>
      </w:r>
      <w:r w:rsidRPr="00D015B2">
        <w:rPr>
          <w:rFonts w:cs="Times New Roman"/>
          <w:szCs w:val="24"/>
        </w:rPr>
        <w:t>Os/</w:t>
      </w:r>
      <w:r w:rsidRPr="00D015B2">
        <w:rPr>
          <w:rFonts w:cs="Times New Roman"/>
          <w:szCs w:val="24"/>
          <w:vertAlign w:val="superscript"/>
        </w:rPr>
        <w:t>188</w:t>
      </w:r>
      <w:r w:rsidRPr="00D015B2">
        <w:rPr>
          <w:rFonts w:cs="Times New Roman"/>
          <w:szCs w:val="24"/>
        </w:rPr>
        <w:t xml:space="preserve">Os ratio of 0.689, followed by a subsequent accelerated rise in the ratio, corresponding to the seawater </w:t>
      </w:r>
      <w:r w:rsidRPr="00D015B2">
        <w:rPr>
          <w:rFonts w:cs="Times New Roman"/>
          <w:szCs w:val="24"/>
          <w:vertAlign w:val="superscript"/>
        </w:rPr>
        <w:t>187</w:t>
      </w:r>
      <w:r w:rsidRPr="00D015B2">
        <w:rPr>
          <w:rFonts w:cs="Times New Roman"/>
          <w:szCs w:val="24"/>
        </w:rPr>
        <w:t>Os/</w:t>
      </w:r>
      <w:r w:rsidRPr="00D015B2">
        <w:rPr>
          <w:rFonts w:cs="Times New Roman"/>
          <w:szCs w:val="24"/>
          <w:vertAlign w:val="superscript"/>
        </w:rPr>
        <w:t>188</w:t>
      </w:r>
      <w:r w:rsidRPr="00D015B2">
        <w:rPr>
          <w:rFonts w:cs="Times New Roman"/>
          <w:szCs w:val="24"/>
        </w:rPr>
        <w:t>Os records at ~10 and ~13 Ma</w:t>
      </w:r>
      <w:r w:rsidR="00CC2FFA">
        <w:rPr>
          <w:rFonts w:cs="Times New Roman"/>
          <w:szCs w:val="24"/>
          <w:vertAlign w:val="superscript"/>
        </w:rPr>
        <w:t>11</w:t>
      </w:r>
      <w:r w:rsidRPr="00D015B2">
        <w:rPr>
          <w:rFonts w:cs="Times New Roman"/>
          <w:szCs w:val="24"/>
        </w:rPr>
        <w:t>. (2) At a depth of ~57 mm within the crust, another distinct negative excursion (</w:t>
      </w:r>
      <w:r w:rsidRPr="00D015B2">
        <w:rPr>
          <w:rFonts w:cs="Times New Roman"/>
          <w:szCs w:val="24"/>
          <w:vertAlign w:val="superscript"/>
        </w:rPr>
        <w:t>187</w:t>
      </w:r>
      <w:r w:rsidRPr="00D015B2">
        <w:rPr>
          <w:rFonts w:cs="Times New Roman"/>
          <w:szCs w:val="24"/>
        </w:rPr>
        <w:t>Os/</w:t>
      </w:r>
      <w:r w:rsidRPr="00D015B2">
        <w:rPr>
          <w:rFonts w:cs="Times New Roman"/>
          <w:szCs w:val="24"/>
          <w:vertAlign w:val="superscript"/>
        </w:rPr>
        <w:t>188</w:t>
      </w:r>
      <w:r w:rsidRPr="00D015B2">
        <w:rPr>
          <w:rFonts w:cs="Times New Roman"/>
          <w:szCs w:val="24"/>
        </w:rPr>
        <w:t>Os =</w:t>
      </w:r>
      <w:r w:rsidR="005C46C9">
        <w:rPr>
          <w:rFonts w:cs="Times New Roman"/>
          <w:szCs w:val="24"/>
        </w:rPr>
        <w:t xml:space="preserve"> </w:t>
      </w:r>
      <w:r w:rsidRPr="00D015B2">
        <w:rPr>
          <w:rFonts w:cs="Times New Roman"/>
          <w:szCs w:val="24"/>
        </w:rPr>
        <w:t xml:space="preserve">0.389) was observed, representing seawater </w:t>
      </w:r>
      <w:r w:rsidRPr="00D015B2">
        <w:rPr>
          <w:rFonts w:cs="Times New Roman"/>
          <w:szCs w:val="24"/>
          <w:vertAlign w:val="superscript"/>
        </w:rPr>
        <w:t>187</w:t>
      </w:r>
      <w:r w:rsidRPr="00D015B2">
        <w:rPr>
          <w:rFonts w:cs="Times New Roman"/>
          <w:szCs w:val="24"/>
        </w:rPr>
        <w:t>Os/</w:t>
      </w:r>
      <w:r w:rsidRPr="00D015B2">
        <w:rPr>
          <w:rFonts w:cs="Times New Roman"/>
          <w:szCs w:val="24"/>
          <w:vertAlign w:val="superscript"/>
        </w:rPr>
        <w:t>188</w:t>
      </w:r>
      <w:r w:rsidRPr="00D015B2">
        <w:rPr>
          <w:rFonts w:cs="Times New Roman"/>
          <w:szCs w:val="24"/>
        </w:rPr>
        <w:t>Os at Eocene–Oligocene transition (E/O boundary) and dated to ~34.5 Ma</w:t>
      </w:r>
      <w:r w:rsidR="00CC2FFA">
        <w:rPr>
          <w:rFonts w:cs="Times New Roman"/>
          <w:szCs w:val="24"/>
          <w:vertAlign w:val="superscript"/>
        </w:rPr>
        <w:t>12</w:t>
      </w:r>
      <w:r w:rsidRPr="00D015B2">
        <w:rPr>
          <w:rFonts w:cs="Times New Roman"/>
          <w:szCs w:val="24"/>
        </w:rPr>
        <w:t xml:space="preserve">. (3) A third negative excursion was observed at ~86.8 mm depth, with </w:t>
      </w:r>
      <w:r w:rsidRPr="00D015B2">
        <w:rPr>
          <w:rFonts w:cs="Times New Roman"/>
          <w:szCs w:val="24"/>
          <w:vertAlign w:val="superscript"/>
        </w:rPr>
        <w:t>187</w:t>
      </w:r>
      <w:r w:rsidRPr="00D015B2">
        <w:rPr>
          <w:rFonts w:cs="Times New Roman"/>
          <w:szCs w:val="24"/>
        </w:rPr>
        <w:t>Os/</w:t>
      </w:r>
      <w:r w:rsidRPr="00D015B2">
        <w:rPr>
          <w:rFonts w:cs="Times New Roman"/>
          <w:szCs w:val="24"/>
          <w:vertAlign w:val="superscript"/>
        </w:rPr>
        <w:t>188</w:t>
      </w:r>
      <w:r w:rsidRPr="00D015B2">
        <w:rPr>
          <w:rFonts w:cs="Times New Roman"/>
          <w:szCs w:val="24"/>
        </w:rPr>
        <w:t>Os ratio of 0.399. This excursion value was not as evident as that in the previous observation (~0.12) at the K/T boundary (65.5 Ma)</w:t>
      </w:r>
      <w:r w:rsidR="00CC2FFA">
        <w:rPr>
          <w:rFonts w:cs="Times New Roman"/>
          <w:szCs w:val="24"/>
          <w:vertAlign w:val="superscript"/>
        </w:rPr>
        <w:t>13</w:t>
      </w:r>
      <w:r w:rsidRPr="00D015B2">
        <w:rPr>
          <w:rFonts w:cs="Times New Roman"/>
          <w:szCs w:val="24"/>
        </w:rPr>
        <w:t xml:space="preserve">. However, we did observe a decline in </w:t>
      </w:r>
      <w:r w:rsidRPr="00D015B2">
        <w:rPr>
          <w:rFonts w:cs="Times New Roman"/>
          <w:szCs w:val="24"/>
          <w:vertAlign w:val="superscript"/>
        </w:rPr>
        <w:t>187</w:t>
      </w:r>
      <w:r w:rsidRPr="00D015B2">
        <w:rPr>
          <w:rFonts w:cs="Times New Roman"/>
          <w:szCs w:val="24"/>
        </w:rPr>
        <w:t>Os/</w:t>
      </w:r>
      <w:r w:rsidRPr="00D015B2">
        <w:rPr>
          <w:rFonts w:cs="Times New Roman"/>
          <w:szCs w:val="24"/>
          <w:vertAlign w:val="superscript"/>
        </w:rPr>
        <w:t>188</w:t>
      </w:r>
      <w:r w:rsidRPr="00D015B2">
        <w:rPr>
          <w:rFonts w:cs="Times New Roman"/>
          <w:szCs w:val="24"/>
        </w:rPr>
        <w:t xml:space="preserve">Os ratios from 102.4 mm to 89.07 mm depth, ranging from 0.650–0.45. This decline corresponds </w:t>
      </w:r>
      <w:r w:rsidRPr="00D015B2">
        <w:rPr>
          <w:rFonts w:cs="Times New Roman"/>
          <w:szCs w:val="24"/>
        </w:rPr>
        <w:lastRenderedPageBreak/>
        <w:t xml:space="preserve">well with the major pulse of Deccan Volcanism (66.05 Ma to 65.6 Ma). Therefore, we believe that the extreme negative </w:t>
      </w:r>
      <w:r w:rsidRPr="00324386">
        <w:rPr>
          <w:rFonts w:cs="Times New Roman"/>
          <w:szCs w:val="24"/>
          <w:vertAlign w:val="superscript"/>
        </w:rPr>
        <w:t>187/188</w:t>
      </w:r>
      <w:r w:rsidRPr="00D015B2">
        <w:rPr>
          <w:rFonts w:cs="Times New Roman"/>
          <w:szCs w:val="24"/>
        </w:rPr>
        <w:t>Os value loss is probably attributed to insufficient sampling resolution or a brief depositional hiatus. Considering the age correlation, this negative point in the Fe-Mn crust corresponds to the K/T impact event (65.5 Ma).</w:t>
      </w:r>
      <w:r w:rsidR="00636346" w:rsidRPr="00636346">
        <w:rPr>
          <w:rFonts w:cs="Times New Roman"/>
          <w:szCs w:val="24"/>
        </w:rPr>
        <w:t xml:space="preserve"> </w:t>
      </w:r>
      <w:r w:rsidR="00636346" w:rsidRPr="00D015B2">
        <w:rPr>
          <w:rFonts w:cs="Times New Roman"/>
          <w:szCs w:val="24"/>
        </w:rPr>
        <w:t>To determine the depositional ages of the other layers, we applied an average growth rate of 2.</w:t>
      </w:r>
      <w:r w:rsidR="003952B5">
        <w:rPr>
          <w:rFonts w:cs="Times New Roman"/>
          <w:szCs w:val="24"/>
        </w:rPr>
        <w:t>25</w:t>
      </w:r>
      <w:r w:rsidR="00636346" w:rsidRPr="00D015B2">
        <w:rPr>
          <w:rFonts w:cs="Times New Roman"/>
          <w:szCs w:val="24"/>
        </w:rPr>
        <w:t xml:space="preserve"> mm/</w:t>
      </w:r>
      <w:proofErr w:type="spellStart"/>
      <w:r w:rsidR="00636346" w:rsidRPr="00D015B2">
        <w:rPr>
          <w:rFonts w:cs="Times New Roman"/>
          <w:szCs w:val="24"/>
        </w:rPr>
        <w:t>Myr</w:t>
      </w:r>
      <w:proofErr w:type="spellEnd"/>
      <w:r w:rsidR="00636346" w:rsidRPr="00D015B2">
        <w:rPr>
          <w:rFonts w:cs="Times New Roman"/>
          <w:szCs w:val="24"/>
        </w:rPr>
        <w:t>, determined through Co constant flux dating methods for the entire crust.</w:t>
      </w:r>
    </w:p>
    <w:p w14:paraId="185826D7" w14:textId="0063FC25" w:rsidR="004B77FD" w:rsidRPr="00D015B2" w:rsidRDefault="00000000" w:rsidP="00D85F06">
      <w:pPr>
        <w:spacing w:line="480" w:lineRule="auto"/>
        <w:ind w:firstLine="480"/>
        <w:rPr>
          <w:rFonts w:cs="Times New Roman"/>
          <w:szCs w:val="24"/>
        </w:rPr>
      </w:pPr>
      <w:r w:rsidRPr="00D015B2">
        <w:rPr>
          <w:rFonts w:cs="Times New Roman"/>
          <w:szCs w:val="24"/>
        </w:rPr>
        <w:t xml:space="preserve">The crustal data exhibited a significant correlation with the existing </w:t>
      </w:r>
      <w:r w:rsidRPr="00D015B2">
        <w:rPr>
          <w:rFonts w:cs="Times New Roman"/>
          <w:szCs w:val="24"/>
          <w:vertAlign w:val="superscript"/>
        </w:rPr>
        <w:t>187</w:t>
      </w:r>
      <w:r w:rsidRPr="00D015B2">
        <w:rPr>
          <w:rFonts w:cs="Times New Roman"/>
          <w:szCs w:val="24"/>
        </w:rPr>
        <w:t>Os/</w:t>
      </w:r>
      <w:r w:rsidRPr="00D015B2">
        <w:rPr>
          <w:rFonts w:cs="Times New Roman"/>
          <w:szCs w:val="24"/>
          <w:vertAlign w:val="superscript"/>
        </w:rPr>
        <w:t>188</w:t>
      </w:r>
      <w:r w:rsidRPr="00D015B2">
        <w:rPr>
          <w:rFonts w:cs="Times New Roman"/>
          <w:szCs w:val="24"/>
        </w:rPr>
        <w:t>Os seawater curve, considering three hiatuses (Fig.S</w:t>
      </w:r>
      <w:r w:rsidR="00AD060F">
        <w:rPr>
          <w:rFonts w:cs="Times New Roman"/>
          <w:szCs w:val="24"/>
        </w:rPr>
        <w:t xml:space="preserve">4 </w:t>
      </w:r>
      <w:r w:rsidRPr="00D015B2">
        <w:rPr>
          <w:rFonts w:cs="Times New Roman"/>
          <w:szCs w:val="24"/>
        </w:rPr>
        <w:t xml:space="preserve">B). The first hiatus, spanning 12 </w:t>
      </w:r>
      <w:proofErr w:type="spellStart"/>
      <w:r w:rsidRPr="00D015B2">
        <w:rPr>
          <w:rFonts w:cs="Times New Roman"/>
          <w:szCs w:val="24"/>
        </w:rPr>
        <w:t>Myr</w:t>
      </w:r>
      <w:proofErr w:type="spellEnd"/>
      <w:r w:rsidRPr="00D015B2">
        <w:rPr>
          <w:rFonts w:cs="Times New Roman"/>
          <w:szCs w:val="24"/>
        </w:rPr>
        <w:t xml:space="preserve">, was assigned to the period between 16 and 28 Ma. The second hiatus, lasting 7 </w:t>
      </w:r>
      <w:proofErr w:type="spellStart"/>
      <w:r w:rsidRPr="00D015B2">
        <w:rPr>
          <w:rFonts w:cs="Times New Roman"/>
          <w:szCs w:val="24"/>
        </w:rPr>
        <w:t>Myr</w:t>
      </w:r>
      <w:proofErr w:type="spellEnd"/>
      <w:r w:rsidRPr="00D015B2">
        <w:rPr>
          <w:rFonts w:cs="Times New Roman"/>
          <w:szCs w:val="24"/>
        </w:rPr>
        <w:t xml:space="preserve">, corresponded to the period between 41 and 48 Ma. </w:t>
      </w:r>
      <w:r w:rsidR="005C46C9">
        <w:rPr>
          <w:rFonts w:cs="Times New Roman"/>
          <w:szCs w:val="24"/>
        </w:rPr>
        <w:t>T</w:t>
      </w:r>
      <w:r w:rsidRPr="00D015B2">
        <w:rPr>
          <w:rFonts w:cs="Times New Roman"/>
          <w:szCs w:val="24"/>
        </w:rPr>
        <w:t xml:space="preserve">he third hiatus, spanning 4 </w:t>
      </w:r>
      <w:proofErr w:type="spellStart"/>
      <w:r w:rsidRPr="00D015B2">
        <w:rPr>
          <w:rFonts w:cs="Times New Roman"/>
          <w:szCs w:val="24"/>
        </w:rPr>
        <w:t>Myr</w:t>
      </w:r>
      <w:proofErr w:type="spellEnd"/>
      <w:r w:rsidRPr="00D015B2">
        <w:rPr>
          <w:rFonts w:cs="Times New Roman"/>
          <w:szCs w:val="24"/>
        </w:rPr>
        <w:t xml:space="preserve">, occurred between 54 and 50 Ma, and the final hiatus, lasting 6 </w:t>
      </w:r>
      <w:proofErr w:type="spellStart"/>
      <w:r w:rsidRPr="00D015B2">
        <w:rPr>
          <w:rFonts w:cs="Times New Roman"/>
          <w:szCs w:val="24"/>
        </w:rPr>
        <w:t>Myr</w:t>
      </w:r>
      <w:proofErr w:type="spellEnd"/>
      <w:r w:rsidRPr="00D015B2">
        <w:rPr>
          <w:rFonts w:cs="Times New Roman"/>
          <w:szCs w:val="24"/>
        </w:rPr>
        <w:t xml:space="preserve">, took place between 55 and 61 Ma. Therefore, given the duration of the hiatuses and anchor points provided by the K/T boundary and </w:t>
      </w:r>
      <w:r w:rsidR="005C46C9">
        <w:rPr>
          <w:rFonts w:cs="Times New Roman"/>
          <w:szCs w:val="24"/>
        </w:rPr>
        <w:t>E/O</w:t>
      </w:r>
      <w:r w:rsidRPr="00D015B2">
        <w:rPr>
          <w:rFonts w:cs="Times New Roman"/>
          <w:szCs w:val="24"/>
        </w:rPr>
        <w:t xml:space="preserve"> transition, the age of the crust base increased from 57 to 86 Ma. </w:t>
      </w:r>
    </w:p>
    <w:p w14:paraId="08D6C546" w14:textId="2E580343" w:rsidR="004B77FD" w:rsidRPr="00D015B2" w:rsidRDefault="00000000" w:rsidP="00D85F06">
      <w:pPr>
        <w:spacing w:line="480" w:lineRule="auto"/>
        <w:ind w:firstLine="480"/>
        <w:rPr>
          <w:rFonts w:cs="Times New Roman"/>
          <w:szCs w:val="24"/>
          <w:highlight w:val="yellow"/>
        </w:rPr>
      </w:pPr>
      <w:r w:rsidRPr="00D015B2">
        <w:rPr>
          <w:rFonts w:cs="Times New Roman"/>
          <w:szCs w:val="24"/>
        </w:rPr>
        <w:t xml:space="preserve">Additionally, this crust grew in the open Pacific Ocean at similar water depths as CD29 and D11, which were re-examined for their </w:t>
      </w:r>
      <w:proofErr w:type="spellStart"/>
      <w:r w:rsidRPr="00D015B2">
        <w:rPr>
          <w:rFonts w:cs="Times New Roman"/>
          <w:szCs w:val="24"/>
        </w:rPr>
        <w:t>Os</w:t>
      </w:r>
      <w:proofErr w:type="spellEnd"/>
      <w:r w:rsidRPr="00D015B2">
        <w:rPr>
          <w:rFonts w:cs="Times New Roman"/>
          <w:szCs w:val="24"/>
        </w:rPr>
        <w:t xml:space="preserve"> isotope records by Nielsen et al. (2009)</w:t>
      </w:r>
      <w:r w:rsidR="00EC12A1">
        <w:rPr>
          <w:rFonts w:cs="Times New Roman"/>
          <w:szCs w:val="24"/>
          <w:vertAlign w:val="superscript"/>
        </w:rPr>
        <w:t>14</w:t>
      </w:r>
      <w:r w:rsidRPr="00D015B2">
        <w:rPr>
          <w:rFonts w:cs="Times New Roman"/>
          <w:szCs w:val="24"/>
        </w:rPr>
        <w:t xml:space="preserve">. To ensure a more accurate age determination for the crust, we adopted the same methodology as described </w:t>
      </w:r>
      <w:r w:rsidR="00636346">
        <w:rPr>
          <w:rFonts w:cs="Times New Roman"/>
          <w:szCs w:val="24"/>
        </w:rPr>
        <w:t xml:space="preserve">in </w:t>
      </w:r>
      <w:r w:rsidR="00636346" w:rsidRPr="00D015B2">
        <w:rPr>
          <w:rFonts w:cs="Times New Roman"/>
          <w:szCs w:val="24"/>
        </w:rPr>
        <w:t>Nielsen et al. (2009)</w:t>
      </w:r>
      <w:r w:rsidRPr="00D015B2">
        <w:rPr>
          <w:rFonts w:cs="Times New Roman"/>
          <w:szCs w:val="24"/>
        </w:rPr>
        <w:t xml:space="preserve">. We plotted the </w:t>
      </w:r>
      <w:proofErr w:type="spellStart"/>
      <w:r w:rsidRPr="00D015B2">
        <w:rPr>
          <w:rFonts w:cs="Times New Roman"/>
          <w:szCs w:val="24"/>
        </w:rPr>
        <w:t>Os</w:t>
      </w:r>
      <w:proofErr w:type="spellEnd"/>
      <w:r w:rsidRPr="00D015B2">
        <w:rPr>
          <w:rFonts w:cs="Times New Roman"/>
          <w:szCs w:val="24"/>
        </w:rPr>
        <w:t xml:space="preserve"> isotope compositions as a function of the fraction of the total depth from the top (Fig.S</w:t>
      </w:r>
      <w:r w:rsidR="00AD060F">
        <w:rPr>
          <w:rFonts w:cs="Times New Roman"/>
          <w:szCs w:val="24"/>
        </w:rPr>
        <w:t xml:space="preserve">4 </w:t>
      </w:r>
      <w:r w:rsidRPr="00D015B2">
        <w:rPr>
          <w:rFonts w:cs="Times New Roman"/>
          <w:szCs w:val="24"/>
        </w:rPr>
        <w:t xml:space="preserve">C) and observed similar </w:t>
      </w:r>
      <w:proofErr w:type="spellStart"/>
      <w:r w:rsidRPr="00D015B2">
        <w:rPr>
          <w:rFonts w:cs="Times New Roman"/>
          <w:szCs w:val="24"/>
        </w:rPr>
        <w:t>Os</w:t>
      </w:r>
      <w:proofErr w:type="spellEnd"/>
      <w:r w:rsidRPr="00D015B2">
        <w:rPr>
          <w:rFonts w:cs="Times New Roman"/>
          <w:szCs w:val="24"/>
        </w:rPr>
        <w:t xml:space="preserve"> isotope variations with depth. To better align the global </w:t>
      </w:r>
      <w:proofErr w:type="spellStart"/>
      <w:r w:rsidRPr="00D015B2">
        <w:rPr>
          <w:rFonts w:cs="Times New Roman"/>
          <w:szCs w:val="24"/>
        </w:rPr>
        <w:t>Os</w:t>
      </w:r>
      <w:proofErr w:type="spellEnd"/>
      <w:r w:rsidRPr="00D015B2">
        <w:rPr>
          <w:rFonts w:cs="Times New Roman"/>
          <w:szCs w:val="24"/>
        </w:rPr>
        <w:t xml:space="preserve"> isotope </w:t>
      </w:r>
      <w:r w:rsidRPr="00D015B2">
        <w:rPr>
          <w:rFonts w:cs="Times New Roman"/>
          <w:szCs w:val="24"/>
        </w:rPr>
        <w:lastRenderedPageBreak/>
        <w:t>curve with the data for CD29 and D11, we made three minor adjustments to our age model (Fig.</w:t>
      </w:r>
      <w:r w:rsidR="00AD060F" w:rsidRPr="00D015B2">
        <w:rPr>
          <w:rFonts w:cs="Times New Roman"/>
          <w:szCs w:val="24"/>
        </w:rPr>
        <w:t>S</w:t>
      </w:r>
      <w:r w:rsidR="00AD060F">
        <w:rPr>
          <w:rFonts w:cs="Times New Roman"/>
          <w:szCs w:val="24"/>
        </w:rPr>
        <w:t xml:space="preserve">4 </w:t>
      </w:r>
      <w:r w:rsidRPr="00D015B2">
        <w:rPr>
          <w:rFonts w:cs="Times New Roman"/>
          <w:szCs w:val="24"/>
        </w:rPr>
        <w:t xml:space="preserve">D). First, at ~11–12Ma, we adjusted the growth rate to 2.25 mm/Ma from 0 to ~12 Ma for the end of the first major decline in the </w:t>
      </w:r>
      <w:proofErr w:type="spellStart"/>
      <w:r w:rsidRPr="00D015B2">
        <w:rPr>
          <w:rFonts w:cs="Times New Roman"/>
          <w:szCs w:val="24"/>
        </w:rPr>
        <w:t>Os</w:t>
      </w:r>
      <w:proofErr w:type="spellEnd"/>
      <w:r w:rsidRPr="00D015B2">
        <w:rPr>
          <w:rFonts w:cs="Times New Roman"/>
          <w:szCs w:val="24"/>
        </w:rPr>
        <w:t xml:space="preserve"> isotope curve. Second, during the growth hiatus between 16 </w:t>
      </w:r>
      <w:r w:rsidR="00636346">
        <w:rPr>
          <w:rFonts w:cs="Times New Roman"/>
          <w:szCs w:val="24"/>
        </w:rPr>
        <w:t xml:space="preserve">Ma </w:t>
      </w:r>
      <w:r w:rsidRPr="00D015B2">
        <w:rPr>
          <w:rFonts w:cs="Times New Roman"/>
          <w:szCs w:val="24"/>
        </w:rPr>
        <w:t xml:space="preserve">and 28 Ma, we adjusted the growth rate to 0.8 mm/Ma between 12 </w:t>
      </w:r>
      <w:r w:rsidR="00636346">
        <w:rPr>
          <w:rFonts w:cs="Times New Roman"/>
          <w:szCs w:val="24"/>
        </w:rPr>
        <w:t xml:space="preserve">Ma </w:t>
      </w:r>
      <w:r w:rsidRPr="00D015B2">
        <w:rPr>
          <w:rFonts w:cs="Times New Roman"/>
          <w:szCs w:val="24"/>
        </w:rPr>
        <w:t xml:space="preserve">and 20 Ma and 1.69 mm/Ma between 21 </w:t>
      </w:r>
      <w:r w:rsidR="00636346">
        <w:rPr>
          <w:rFonts w:cs="Times New Roman"/>
          <w:szCs w:val="24"/>
        </w:rPr>
        <w:t xml:space="preserve">Ma </w:t>
      </w:r>
      <w:r w:rsidRPr="00D015B2">
        <w:rPr>
          <w:rFonts w:cs="Times New Roman"/>
          <w:szCs w:val="24"/>
        </w:rPr>
        <w:t xml:space="preserve">and 34.5 Ma. The last adjustment was made between 59 </w:t>
      </w:r>
      <w:r w:rsidR="00636346">
        <w:rPr>
          <w:rFonts w:cs="Times New Roman"/>
          <w:szCs w:val="24"/>
        </w:rPr>
        <w:t xml:space="preserve">Ma </w:t>
      </w:r>
      <w:r w:rsidRPr="00D015B2">
        <w:rPr>
          <w:rFonts w:cs="Times New Roman"/>
          <w:szCs w:val="24"/>
        </w:rPr>
        <w:t>and 65.5 Ma, where we changed the growth rate to 1.16 mm/Ma to fit the curve data better. Refer to Zeng et al. (2023)</w:t>
      </w:r>
      <w:r w:rsidR="00EC12A1">
        <w:rPr>
          <w:rFonts w:cs="Times New Roman"/>
          <w:szCs w:val="24"/>
          <w:vertAlign w:val="superscript"/>
        </w:rPr>
        <w:t>15</w:t>
      </w:r>
      <w:r w:rsidR="00EC12A1" w:rsidRPr="00D015B2">
        <w:rPr>
          <w:rFonts w:cs="Times New Roman"/>
          <w:szCs w:val="24"/>
        </w:rPr>
        <w:t xml:space="preserve"> </w:t>
      </w:r>
      <w:r w:rsidRPr="00D015B2">
        <w:rPr>
          <w:rFonts w:cs="Times New Roman"/>
          <w:szCs w:val="24"/>
        </w:rPr>
        <w:t>for the corrected age data</w:t>
      </w:r>
      <w:r w:rsidRPr="00636346">
        <w:rPr>
          <w:rFonts w:cs="Times New Roman"/>
          <w:szCs w:val="24"/>
        </w:rPr>
        <w:t>.</w:t>
      </w:r>
    </w:p>
    <w:p w14:paraId="325AC6A1" w14:textId="77777777" w:rsidR="00281D1A" w:rsidRPr="00D015B2" w:rsidRDefault="00000000" w:rsidP="00D85F06">
      <w:pPr>
        <w:pStyle w:val="2"/>
        <w:numPr>
          <w:ilvl w:val="0"/>
          <w:numId w:val="1"/>
        </w:numPr>
        <w:spacing w:line="480" w:lineRule="auto"/>
      </w:pPr>
      <w:bookmarkStart w:id="9" w:name="_Hlk136121070"/>
      <w:r w:rsidRPr="00D015B2">
        <w:t>Diagenetic and post-diagenetic</w:t>
      </w:r>
      <w:bookmarkEnd w:id="9"/>
      <w:r w:rsidRPr="00D015B2">
        <w:t xml:space="preserve"> effects on </w:t>
      </w:r>
      <w:r w:rsidRPr="00D015B2">
        <w:rPr>
          <w:rFonts w:eastAsiaTheme="minorEastAsia"/>
        </w:rPr>
        <w:t>δ</w:t>
      </w:r>
      <w:r w:rsidRPr="00D015B2">
        <w:rPr>
          <w:rFonts w:eastAsiaTheme="minorEastAsia"/>
          <w:vertAlign w:val="superscript"/>
        </w:rPr>
        <w:t>98/95</w:t>
      </w:r>
      <w:r w:rsidRPr="00D015B2">
        <w:rPr>
          <w:rFonts w:eastAsiaTheme="minorEastAsia"/>
        </w:rPr>
        <w:t xml:space="preserve">Mo in crust </w:t>
      </w:r>
    </w:p>
    <w:p w14:paraId="5F82CACE" w14:textId="7B9DD02B" w:rsidR="00281D1A" w:rsidRPr="00D015B2" w:rsidRDefault="00000000" w:rsidP="00D85F06">
      <w:pPr>
        <w:spacing w:line="480" w:lineRule="auto"/>
        <w:ind w:firstLine="480"/>
        <w:rPr>
          <w:rFonts w:eastAsiaTheme="minorEastAsia"/>
          <w:bCs/>
        </w:rPr>
      </w:pPr>
      <w:r w:rsidRPr="00D015B2">
        <w:t>According to Menendez</w:t>
      </w:r>
      <w:r w:rsidRPr="00D015B2">
        <w:rPr>
          <w:rFonts w:eastAsiaTheme="minorEastAsia"/>
          <w:bCs/>
        </w:rPr>
        <w:t xml:space="preserve"> et al. (</w:t>
      </w:r>
      <w:r w:rsidRPr="00D015B2">
        <w:t>201</w:t>
      </w:r>
      <w:r w:rsidRPr="00281D1A">
        <w:t>9</w:t>
      </w:r>
      <w:r w:rsidRPr="00281D1A">
        <w:rPr>
          <w:rFonts w:eastAsiaTheme="minorEastAsia"/>
          <w:bCs/>
        </w:rPr>
        <w:t>)</w:t>
      </w:r>
      <w:r w:rsidR="00EC12A1">
        <w:rPr>
          <w:rFonts w:eastAsiaTheme="minorEastAsia"/>
          <w:bCs/>
          <w:vertAlign w:val="superscript"/>
        </w:rPr>
        <w:t>16</w:t>
      </w:r>
      <w:r w:rsidRPr="00281D1A">
        <w:t>,</w:t>
      </w:r>
      <w:r w:rsidRPr="00D015B2">
        <w:t xml:space="preserve"> Fe-Mn oxides can be </w:t>
      </w:r>
      <w:proofErr w:type="spellStart"/>
      <w:r w:rsidRPr="00D015B2">
        <w:t>hydrogenetic</w:t>
      </w:r>
      <w:proofErr w:type="spellEnd"/>
      <w:r w:rsidRPr="00D015B2">
        <w:t xml:space="preserve">, characterised by </w:t>
      </w:r>
      <w:r w:rsidRPr="00D015B2">
        <w:rPr>
          <w:rFonts w:cs="Times New Roman"/>
        </w:rPr>
        <w:t xml:space="preserve">an Mn/Fe ratio &lt; 1, with relatively higher concentrations of Cu + Ni + Co than in other genetic types. In this study, </w:t>
      </w:r>
      <w:r w:rsidRPr="00D015B2">
        <w:rPr>
          <w:rFonts w:eastAsiaTheme="minorEastAsia"/>
          <w:bCs/>
        </w:rPr>
        <w:t>no hydrothermal or volcanic influence</w:t>
      </w:r>
      <w:r w:rsidRPr="00D015B2">
        <w:rPr>
          <w:rFonts w:eastAsia="等线" w:cs="Times New Roman"/>
          <w:bCs/>
        </w:rPr>
        <w:t>s w</w:t>
      </w:r>
      <w:r w:rsidRPr="00D015B2">
        <w:rPr>
          <w:rFonts w:eastAsiaTheme="minorEastAsia"/>
          <w:bCs/>
        </w:rPr>
        <w:t>ere detected</w:t>
      </w:r>
      <w:r w:rsidRPr="00D015B2">
        <w:rPr>
          <w:rFonts w:eastAsia="等线" w:cs="Times New Roman"/>
          <w:bCs/>
        </w:rPr>
        <w:t xml:space="preserve"> in the geochemical data, and all subsamples </w:t>
      </w:r>
      <w:r w:rsidRPr="00D015B2">
        <w:rPr>
          <w:rFonts w:eastAsiaTheme="minorEastAsia"/>
          <w:bCs/>
        </w:rPr>
        <w:t xml:space="preserve">were of </w:t>
      </w:r>
      <w:proofErr w:type="spellStart"/>
      <w:r w:rsidRPr="00D015B2">
        <w:rPr>
          <w:rFonts w:eastAsiaTheme="minorEastAsia"/>
          <w:bCs/>
        </w:rPr>
        <w:t>hydrogenetic</w:t>
      </w:r>
      <w:proofErr w:type="spellEnd"/>
      <w:r w:rsidRPr="00D015B2">
        <w:rPr>
          <w:rFonts w:eastAsiaTheme="minorEastAsia"/>
          <w:bCs/>
        </w:rPr>
        <w:t xml:space="preserve"> origin (</w:t>
      </w:r>
      <w:r w:rsidRPr="00D015B2">
        <w:t>Fig</w:t>
      </w:r>
      <w:r w:rsidR="00AD060F">
        <w:t>.</w:t>
      </w:r>
      <w:r w:rsidRPr="00D015B2">
        <w:t>S</w:t>
      </w:r>
      <w:r w:rsidR="00AD060F">
        <w:t>5</w:t>
      </w:r>
      <w:r w:rsidRPr="00D015B2">
        <w:rPr>
          <w:rFonts w:eastAsiaTheme="minorEastAsia"/>
          <w:bCs/>
        </w:rPr>
        <w:t xml:space="preserve">). </w:t>
      </w:r>
      <w:r w:rsidRPr="00D015B2">
        <w:rPr>
          <w:rFonts w:eastAsiaTheme="minorEastAsia"/>
        </w:rPr>
        <w:t xml:space="preserve">The </w:t>
      </w:r>
      <w:r w:rsidRPr="00D015B2">
        <w:t>Fe-Mn crusts examined have lower Fe content (about 6</w:t>
      </w:r>
      <w:r>
        <w:t>–</w:t>
      </w:r>
      <w:r w:rsidRPr="00D015B2">
        <w:t>17%) than Mn content (about 10</w:t>
      </w:r>
      <w:r>
        <w:t>–</w:t>
      </w:r>
      <w:r w:rsidRPr="00D015B2">
        <w:t>20%), resulting in low Fe/Mn ratios ranging from 0.45</w:t>
      </w:r>
      <w:r w:rsidRPr="00D015B2">
        <w:rPr>
          <w:rFonts w:cs="Times New Roman"/>
        </w:rPr>
        <w:t>–</w:t>
      </w:r>
      <w:r w:rsidRPr="00D015B2">
        <w:t>1.51</w:t>
      </w:r>
      <w:r w:rsidRPr="00D015B2">
        <w:rPr>
          <w:rFonts w:ascii="宋体" w:hAnsi="宋体" w:cs="宋体"/>
        </w:rPr>
        <w:t>.</w:t>
      </w:r>
      <w:r w:rsidR="00AD060F">
        <w:rPr>
          <w:rFonts w:ascii="宋体" w:hAnsi="宋体" w:cs="宋体"/>
        </w:rPr>
        <w:t xml:space="preserve"> </w:t>
      </w:r>
      <w:r w:rsidRPr="00D015B2">
        <w:rPr>
          <w:rFonts w:eastAsiaTheme="minorEastAsia"/>
        </w:rPr>
        <w:t xml:space="preserve">These Fe/Mn ratios are within the ranges reported for other </w:t>
      </w:r>
      <w:proofErr w:type="spellStart"/>
      <w:r w:rsidRPr="00D015B2">
        <w:rPr>
          <w:rFonts w:eastAsiaTheme="minorEastAsia"/>
        </w:rPr>
        <w:t>hydrogenetic</w:t>
      </w:r>
      <w:proofErr w:type="spellEnd"/>
      <w:r w:rsidRPr="00D015B2">
        <w:rPr>
          <w:rFonts w:eastAsiaTheme="minorEastAsia"/>
        </w:rPr>
        <w:t xml:space="preserve"> Fe-Mn crusts (0.4</w:t>
      </w:r>
      <w:r>
        <w:rPr>
          <w:rFonts w:eastAsiaTheme="minorEastAsia"/>
        </w:rPr>
        <w:t>–</w:t>
      </w:r>
      <w:r w:rsidRPr="00D015B2">
        <w:rPr>
          <w:rFonts w:eastAsiaTheme="minorEastAsia"/>
        </w:rPr>
        <w:t>1.2)</w:t>
      </w:r>
      <w:r w:rsidR="00EC12A1">
        <w:rPr>
          <w:rFonts w:eastAsiaTheme="minorEastAsia"/>
          <w:vertAlign w:val="superscript"/>
        </w:rPr>
        <w:t>17</w:t>
      </w:r>
      <w:r w:rsidRPr="00D015B2">
        <w:rPr>
          <w:rFonts w:eastAsiaTheme="minorEastAsia"/>
        </w:rPr>
        <w:t>.</w:t>
      </w:r>
      <w:r w:rsidRPr="00D015B2">
        <w:t xml:space="preserve"> Compared to hydrothermal crust, this </w:t>
      </w:r>
      <w:proofErr w:type="spellStart"/>
      <w:r w:rsidRPr="00D015B2">
        <w:rPr>
          <w:rFonts w:eastAsiaTheme="minorEastAsia"/>
          <w:bCs/>
        </w:rPr>
        <w:t>hydrogenetic</w:t>
      </w:r>
      <w:proofErr w:type="spellEnd"/>
      <w:r w:rsidRPr="00D015B2">
        <w:rPr>
          <w:rFonts w:eastAsiaTheme="minorEastAsia"/>
          <w:bCs/>
        </w:rPr>
        <w:t xml:space="preserve"> crust has no anomalous growth rate (0.8–2.3 mm/</w:t>
      </w:r>
      <w:proofErr w:type="spellStart"/>
      <w:r w:rsidRPr="00D015B2">
        <w:rPr>
          <w:rFonts w:eastAsiaTheme="minorEastAsia"/>
          <w:bCs/>
        </w:rPr>
        <w:t>Myr</w:t>
      </w:r>
      <w:proofErr w:type="spellEnd"/>
      <w:r w:rsidRPr="00D015B2">
        <w:rPr>
          <w:rFonts w:eastAsiaTheme="minorEastAsia"/>
          <w:bCs/>
        </w:rPr>
        <w:t>, average of 1.9 mm/</w:t>
      </w:r>
      <w:proofErr w:type="spellStart"/>
      <w:r w:rsidRPr="00D015B2">
        <w:rPr>
          <w:rFonts w:eastAsiaTheme="minorEastAsia"/>
          <w:bCs/>
        </w:rPr>
        <w:t>Myr</w:t>
      </w:r>
      <w:proofErr w:type="spellEnd"/>
      <w:r w:rsidRPr="00D015B2">
        <w:rPr>
          <w:rFonts w:eastAsiaTheme="minorEastAsia"/>
          <w:bCs/>
        </w:rPr>
        <w:t xml:space="preserve">). </w:t>
      </w:r>
    </w:p>
    <w:p w14:paraId="37AB2325" w14:textId="79AC6CEF" w:rsidR="00281D1A" w:rsidRPr="00D015B2" w:rsidRDefault="00000000" w:rsidP="00D85F06">
      <w:pPr>
        <w:spacing w:line="480" w:lineRule="auto"/>
        <w:ind w:firstLine="480"/>
      </w:pPr>
      <w:r w:rsidRPr="00D015B2">
        <w:t xml:space="preserve">The main metal oxide phases in Fe-Mn crusts are Mn and Fe oxides. </w:t>
      </w:r>
      <w:r w:rsidRPr="00D015B2">
        <w:rPr>
          <w:rFonts w:cs="Times New Roman"/>
        </w:rPr>
        <w:t xml:space="preserve">The deposition of Mo into these crusts and </w:t>
      </w:r>
      <w:r w:rsidRPr="00D015B2">
        <w:t xml:space="preserve">their associated isotopic fractionation can be determined by considering </w:t>
      </w:r>
      <w:r w:rsidRPr="00D015B2">
        <w:rPr>
          <w:rFonts w:cs="Times New Roman"/>
        </w:rPr>
        <w:t xml:space="preserve">the adsorption of dissolved Mo onto the surfaces of these </w:t>
      </w:r>
      <w:r w:rsidRPr="00D015B2">
        <w:rPr>
          <w:rFonts w:cs="Times New Roman"/>
        </w:rPr>
        <w:lastRenderedPageBreak/>
        <w:t>metal</w:t>
      </w:r>
      <w:r w:rsidRPr="00D015B2">
        <w:t xml:space="preserve"> oxide phases. Previous studies using X-ray absorption fine structure (XRFs) have revealed that Mo mainly occurs in </w:t>
      </w:r>
      <w:r w:rsidRPr="00D015B2">
        <w:rPr>
          <w:rFonts w:cs="Times New Roman"/>
        </w:rPr>
        <w:t xml:space="preserve">the Mn phases of </w:t>
      </w:r>
      <w:proofErr w:type="spellStart"/>
      <w:r w:rsidRPr="00D015B2">
        <w:t>hydrogenetic</w:t>
      </w:r>
      <w:proofErr w:type="spellEnd"/>
      <w:r w:rsidRPr="00D015B2">
        <w:t xml:space="preserve"> Fe-Mn crusts</w:t>
      </w:r>
      <w:r w:rsidR="00EC12A1">
        <w:rPr>
          <w:vertAlign w:val="superscript"/>
        </w:rPr>
        <w:t>17</w:t>
      </w:r>
      <w:r w:rsidRPr="00D015B2">
        <w:t xml:space="preserve">. Additionally, experiments investigating Mo adsorption onto Mn-oxides have shown similar Mo isotope fractionation patterns to those of </w:t>
      </w:r>
      <w:r w:rsidRPr="00D015B2">
        <w:rPr>
          <w:rFonts w:cs="Times New Roman"/>
        </w:rPr>
        <w:t>the surface crust and seawater (Δ</w:t>
      </w:r>
      <w:r w:rsidRPr="00D015B2">
        <w:rPr>
          <w:vertAlign w:val="superscript"/>
        </w:rPr>
        <w:t>98/95</w:t>
      </w:r>
      <w:r w:rsidRPr="00D015B2">
        <w:t>Mo</w:t>
      </w:r>
      <w:r w:rsidRPr="00D015B2">
        <w:rPr>
          <w:vertAlign w:val="subscript"/>
        </w:rPr>
        <w:t>crust-sw</w:t>
      </w:r>
      <w:r w:rsidRPr="00D015B2">
        <w:t>= -3</w:t>
      </w:r>
      <w:r w:rsidRPr="008970A3">
        <w:t>‰)</w:t>
      </w:r>
      <w:r w:rsidR="00EC12A1">
        <w:rPr>
          <w:vertAlign w:val="superscript"/>
        </w:rPr>
        <w:t>18</w:t>
      </w:r>
      <w:r w:rsidRPr="008970A3">
        <w:t>. Th</w:t>
      </w:r>
      <w:r w:rsidRPr="00D015B2">
        <w:t>e adsorption of Mo onto Fe oxyhydroxide accompanied by various Mo isotope fractionation (ranging between 1.0‰ and 2.</w:t>
      </w:r>
      <w:r w:rsidRPr="008970A3">
        <w:t>6‰)</w:t>
      </w:r>
      <w:r w:rsidR="00EC12A1">
        <w:rPr>
          <w:vertAlign w:val="superscript"/>
        </w:rPr>
        <w:t>19</w:t>
      </w:r>
      <w:r w:rsidR="00EC12A1" w:rsidRPr="008970A3">
        <w:t xml:space="preserve"> </w:t>
      </w:r>
      <w:r w:rsidRPr="008970A3">
        <w:t>may p</w:t>
      </w:r>
      <w:r w:rsidRPr="00D015B2">
        <w:t>otentially influence the δ</w:t>
      </w:r>
      <w:r w:rsidRPr="00D015B2">
        <w:rPr>
          <w:vertAlign w:val="superscript"/>
        </w:rPr>
        <w:t>98/95</w:t>
      </w:r>
      <w:r w:rsidRPr="00D015B2">
        <w:t xml:space="preserve">Mo values of the </w:t>
      </w:r>
      <w:proofErr w:type="spellStart"/>
      <w:r w:rsidRPr="00D015B2">
        <w:t>hydrogenetic</w:t>
      </w:r>
      <w:proofErr w:type="spellEnd"/>
      <w:r w:rsidRPr="00D015B2">
        <w:t xml:space="preserve"> crust during the deposition process. This is due to a substantial portion of Fe in Mn oxide. However, in this study, no significant correlation was observed between the Fe/Mn ratios and δ</w:t>
      </w:r>
      <w:r w:rsidRPr="00D015B2">
        <w:rPr>
          <w:vertAlign w:val="superscript"/>
        </w:rPr>
        <w:t>98/95</w:t>
      </w:r>
      <w:r w:rsidRPr="00D015B2">
        <w:t>Mo values for th</w:t>
      </w:r>
      <w:r w:rsidR="008970A3">
        <w:t>ose</w:t>
      </w:r>
      <w:r w:rsidRPr="00D015B2">
        <w:t xml:space="preserve"> sub-profile</w:t>
      </w:r>
      <w:r w:rsidR="008970A3">
        <w:t>s</w:t>
      </w:r>
      <w:r w:rsidRPr="00D015B2">
        <w:t xml:space="preserve"> (Fig.</w:t>
      </w:r>
      <w:r w:rsidR="00AD060F">
        <w:rPr>
          <w:rFonts w:hint="eastAsia"/>
        </w:rPr>
        <w:t>S</w:t>
      </w:r>
      <w:r w:rsidR="007806D2">
        <w:t>6</w:t>
      </w:r>
      <w:r w:rsidRPr="00D015B2">
        <w:t xml:space="preserve"> B). Specifically, the Fe/Mo ratio did not exhibit change correspondingly in the stratum where significant variations in </w:t>
      </w:r>
      <w:r w:rsidRPr="00D015B2">
        <w:rPr>
          <w:rFonts w:cs="Times New Roman"/>
          <w:szCs w:val="24"/>
        </w:rPr>
        <w:t>δ</w:t>
      </w:r>
      <w:r w:rsidRPr="00D015B2">
        <w:rPr>
          <w:rFonts w:cs="Times New Roman"/>
          <w:szCs w:val="24"/>
          <w:vertAlign w:val="superscript"/>
        </w:rPr>
        <w:t>98/95</w:t>
      </w:r>
      <w:r w:rsidRPr="00D015B2">
        <w:rPr>
          <w:rFonts w:cs="Times New Roman"/>
          <w:szCs w:val="24"/>
        </w:rPr>
        <w:t>Mo</w:t>
      </w:r>
      <w:r w:rsidRPr="00D015B2">
        <w:t xml:space="preserve"> occurred (Fig</w:t>
      </w:r>
      <w:r w:rsidR="00AD060F">
        <w:rPr>
          <w:rFonts w:hint="eastAsia"/>
        </w:rPr>
        <w:t>.</w:t>
      </w:r>
      <w:r w:rsidRPr="00D015B2">
        <w:t xml:space="preserve"> </w:t>
      </w:r>
      <w:r w:rsidR="00B2614B">
        <w:t>S</w:t>
      </w:r>
      <w:r w:rsidR="007806D2">
        <w:t>6</w:t>
      </w:r>
      <w:r w:rsidR="00AD060F">
        <w:t xml:space="preserve"> </w:t>
      </w:r>
      <w:r w:rsidRPr="00D015B2">
        <w:t xml:space="preserve">A), suggesting variation in Fe/Mo ratios did not significantly affect the Mo isotope fractionation of the Fe-Mn crust. </w:t>
      </w:r>
    </w:p>
    <w:p w14:paraId="3B7001E8" w14:textId="15A3A09B" w:rsidR="00281D1A" w:rsidRPr="00D015B2" w:rsidRDefault="00000000" w:rsidP="00D85F06">
      <w:pPr>
        <w:spacing w:line="480" w:lineRule="auto"/>
        <w:ind w:firstLine="480"/>
        <w:rPr>
          <w:rFonts w:eastAsiaTheme="minorEastAsia"/>
        </w:rPr>
      </w:pPr>
      <w:r w:rsidRPr="00D015B2">
        <w:rPr>
          <w:rFonts w:eastAsiaTheme="minorEastAsia"/>
        </w:rPr>
        <w:t>Phosphating is an important post-diagenetic process that needs to be considered when analysing Fe-Mn crustal isotopes. During periods of global climate change throughout the Pal</w:t>
      </w:r>
      <w:r w:rsidRPr="00D015B2">
        <w:rPr>
          <w:rFonts w:eastAsia="等线" w:cs="Times New Roman"/>
        </w:rPr>
        <w:t>aeogene, previously formed Fe-Mn crusts were impregnated with carbonate fluo</w:t>
      </w:r>
      <w:r w:rsidRPr="008970A3">
        <w:rPr>
          <w:rFonts w:eastAsia="等线" w:cs="Times New Roman"/>
        </w:rPr>
        <w:t>rapatite</w:t>
      </w:r>
      <w:r w:rsidR="00EC12A1">
        <w:rPr>
          <w:rFonts w:eastAsiaTheme="minorEastAsia"/>
          <w:vertAlign w:val="superscript"/>
        </w:rPr>
        <w:t>20</w:t>
      </w:r>
      <w:r w:rsidRPr="008970A3">
        <w:rPr>
          <w:rFonts w:eastAsiaTheme="minorEastAsia"/>
        </w:rPr>
        <w:t>. The ol</w:t>
      </w:r>
      <w:r w:rsidRPr="00D015B2">
        <w:rPr>
          <w:rFonts w:eastAsiaTheme="minorEastAsia"/>
        </w:rPr>
        <w:t xml:space="preserve">der part of this crust (below </w:t>
      </w:r>
      <w:r w:rsidRPr="00D015B2">
        <w:rPr>
          <w:rFonts w:eastAsia="等线" w:cs="Times New Roman"/>
        </w:rPr>
        <w:t>a depth</w:t>
      </w:r>
      <w:r w:rsidRPr="00D015B2">
        <w:rPr>
          <w:rFonts w:eastAsiaTheme="minorEastAsia"/>
        </w:rPr>
        <w:t xml:space="preserve"> of 40 mm from the surface) shows signs of </w:t>
      </w:r>
      <w:proofErr w:type="spellStart"/>
      <w:r w:rsidRPr="00D015B2">
        <w:rPr>
          <w:rFonts w:eastAsiaTheme="minorEastAsia"/>
        </w:rPr>
        <w:t>phosphatization</w:t>
      </w:r>
      <w:proofErr w:type="spellEnd"/>
      <w:r w:rsidRPr="00D015B2">
        <w:rPr>
          <w:rFonts w:eastAsiaTheme="minorEastAsia"/>
        </w:rPr>
        <w:t xml:space="preserve"> (Ca and P concentrations up to 11.79</w:t>
      </w:r>
      <w:r w:rsidR="00B2614B">
        <w:rPr>
          <w:rFonts w:eastAsiaTheme="minorEastAsia"/>
        </w:rPr>
        <w:t xml:space="preserve"> </w:t>
      </w:r>
      <w:r w:rsidRPr="00D015B2">
        <w:rPr>
          <w:rFonts w:eastAsiaTheme="minorEastAsia"/>
        </w:rPr>
        <w:t>% and 4.17</w:t>
      </w:r>
      <w:r w:rsidR="00B2614B">
        <w:rPr>
          <w:rFonts w:eastAsiaTheme="minorEastAsia"/>
        </w:rPr>
        <w:t xml:space="preserve"> </w:t>
      </w:r>
      <w:r w:rsidRPr="00D015B2">
        <w:rPr>
          <w:rFonts w:eastAsiaTheme="minorEastAsia"/>
        </w:rPr>
        <w:t>%, respectively), which is a common feature of aged Fe–Mn crusts found in the Pacific Oc</w:t>
      </w:r>
      <w:r w:rsidRPr="008970A3">
        <w:rPr>
          <w:rFonts w:eastAsiaTheme="minorEastAsia"/>
        </w:rPr>
        <w:t>ean</w:t>
      </w:r>
      <w:r w:rsidR="00EC12A1">
        <w:rPr>
          <w:rFonts w:eastAsiaTheme="minorEastAsia"/>
          <w:vertAlign w:val="superscript"/>
        </w:rPr>
        <w:t>21</w:t>
      </w:r>
      <w:r w:rsidRPr="008970A3">
        <w:rPr>
          <w:rFonts w:eastAsiaTheme="minorEastAsia"/>
        </w:rPr>
        <w:t>.</w:t>
      </w:r>
      <w:r w:rsidRPr="00D015B2">
        <w:rPr>
          <w:rFonts w:eastAsiaTheme="minorEastAsia"/>
        </w:rPr>
        <w:t xml:space="preserve"> Preservation of a </w:t>
      </w:r>
      <w:proofErr w:type="spellStart"/>
      <w:r w:rsidRPr="00D015B2">
        <w:rPr>
          <w:rFonts w:eastAsiaTheme="minorEastAsia"/>
        </w:rPr>
        <w:t>hydrogenetic</w:t>
      </w:r>
      <w:proofErr w:type="spellEnd"/>
      <w:r w:rsidRPr="00D015B2">
        <w:rPr>
          <w:rFonts w:eastAsiaTheme="minorEastAsia"/>
        </w:rPr>
        <w:t xml:space="preserve"> signature (</w:t>
      </w:r>
      <w:r w:rsidR="008970A3">
        <w:rPr>
          <w:rFonts w:eastAsiaTheme="minorEastAsia"/>
        </w:rPr>
        <w:t>Fig</w:t>
      </w:r>
      <w:r w:rsidR="003A5E39">
        <w:rPr>
          <w:rFonts w:eastAsiaTheme="minorEastAsia"/>
        </w:rPr>
        <w:t>.</w:t>
      </w:r>
      <w:r w:rsidR="00AD060F">
        <w:rPr>
          <w:rFonts w:eastAsiaTheme="minorEastAsia"/>
        </w:rPr>
        <w:t>S</w:t>
      </w:r>
      <w:r w:rsidR="007806D2">
        <w:rPr>
          <w:rFonts w:eastAsiaTheme="minorEastAsia"/>
        </w:rPr>
        <w:t>7</w:t>
      </w:r>
      <w:r w:rsidR="008970A3">
        <w:rPr>
          <w:rFonts w:eastAsiaTheme="minorEastAsia"/>
        </w:rPr>
        <w:t xml:space="preserve">. </w:t>
      </w:r>
      <w:r w:rsidRPr="00D015B2">
        <w:rPr>
          <w:rFonts w:eastAsiaTheme="minorEastAsia"/>
        </w:rPr>
        <w:t>positive Ce anomalies, (La/</w:t>
      </w:r>
      <w:proofErr w:type="spellStart"/>
      <w:proofErr w:type="gramStart"/>
      <w:r w:rsidRPr="00D015B2">
        <w:rPr>
          <w:rFonts w:eastAsiaTheme="minorEastAsia"/>
        </w:rPr>
        <w:t>Sm</w:t>
      </w:r>
      <w:proofErr w:type="spellEnd"/>
      <w:r w:rsidRPr="00D015B2">
        <w:rPr>
          <w:rFonts w:eastAsiaTheme="minorEastAsia"/>
        </w:rPr>
        <w:t>)</w:t>
      </w:r>
      <w:r w:rsidRPr="00D015B2">
        <w:rPr>
          <w:rFonts w:eastAsiaTheme="minorEastAsia"/>
          <w:vertAlign w:val="subscript"/>
        </w:rPr>
        <w:t>SN</w:t>
      </w:r>
      <w:proofErr w:type="gramEnd"/>
      <w:r w:rsidRPr="00D015B2">
        <w:rPr>
          <w:rFonts w:eastAsiaTheme="minorEastAsia"/>
        </w:rPr>
        <w:t xml:space="preserve"> ratios&gt;1) in the phosphatised samples from </w:t>
      </w:r>
      <w:r w:rsidRPr="00D015B2">
        <w:rPr>
          <w:rFonts w:cs="Times New Roman"/>
        </w:rPr>
        <w:t xml:space="preserve">the </w:t>
      </w:r>
      <w:r w:rsidRPr="00D015B2">
        <w:t>Magellan</w:t>
      </w:r>
      <w:r w:rsidRPr="00D015B2">
        <w:rPr>
          <w:rFonts w:eastAsiaTheme="minorEastAsia"/>
        </w:rPr>
        <w:t xml:space="preserve"> </w:t>
      </w:r>
      <w:r w:rsidRPr="00D015B2">
        <w:rPr>
          <w:rFonts w:eastAsiaTheme="minorEastAsia"/>
        </w:rPr>
        <w:lastRenderedPageBreak/>
        <w:t>Seamount suggests that the primary trace element budget and signature have undergone minimal modifications</w:t>
      </w:r>
      <w:r w:rsidR="00B2614B">
        <w:rPr>
          <w:rFonts w:eastAsiaTheme="minorEastAsia"/>
        </w:rPr>
        <w:t xml:space="preserve"> compared to</w:t>
      </w:r>
      <w:r w:rsidRPr="00D015B2">
        <w:rPr>
          <w:rFonts w:eastAsiaTheme="minorEastAsia"/>
        </w:rPr>
        <w:t xml:space="preserve"> the more heavily phosphatised crust samples found in the Pacific Oce</w:t>
      </w:r>
      <w:r w:rsidRPr="008970A3">
        <w:rPr>
          <w:rFonts w:eastAsiaTheme="minorEastAsia"/>
        </w:rPr>
        <w:t>an</w:t>
      </w:r>
      <w:r w:rsidR="00EC12A1">
        <w:rPr>
          <w:rFonts w:eastAsiaTheme="minorEastAsia"/>
          <w:vertAlign w:val="superscript"/>
        </w:rPr>
        <w:t>22</w:t>
      </w:r>
      <w:r w:rsidRPr="00D015B2">
        <w:rPr>
          <w:rFonts w:eastAsiaTheme="minorEastAsia"/>
        </w:rPr>
        <w:t>. In addition, no significant correlation between P</w:t>
      </w:r>
      <w:r w:rsidRPr="00D015B2">
        <w:rPr>
          <w:rFonts w:eastAsiaTheme="minorEastAsia"/>
          <w:vertAlign w:val="subscript"/>
        </w:rPr>
        <w:t>2</w:t>
      </w:r>
      <w:r w:rsidRPr="00D015B2">
        <w:rPr>
          <w:rFonts w:eastAsiaTheme="minorEastAsia"/>
        </w:rPr>
        <w:t>O</w:t>
      </w:r>
      <w:r w:rsidRPr="00D015B2">
        <w:rPr>
          <w:rFonts w:eastAsiaTheme="minorEastAsia"/>
          <w:vertAlign w:val="subscript"/>
        </w:rPr>
        <w:t>5</w:t>
      </w:r>
      <w:r w:rsidRPr="00D015B2">
        <w:rPr>
          <w:rFonts w:eastAsiaTheme="minorEastAsia"/>
        </w:rPr>
        <w:t xml:space="preserve"> content and δ</w:t>
      </w:r>
      <w:r w:rsidRPr="00D015B2">
        <w:rPr>
          <w:rFonts w:eastAsiaTheme="minorEastAsia"/>
          <w:vertAlign w:val="superscript"/>
        </w:rPr>
        <w:t>98/95</w:t>
      </w:r>
      <w:r w:rsidRPr="00D015B2">
        <w:rPr>
          <w:rFonts w:eastAsiaTheme="minorEastAsia"/>
        </w:rPr>
        <w:t>Mo was observed, and no inflection point in the δ</w:t>
      </w:r>
      <w:r w:rsidRPr="00D015B2">
        <w:rPr>
          <w:rFonts w:eastAsiaTheme="minorEastAsia"/>
          <w:vertAlign w:val="superscript"/>
        </w:rPr>
        <w:t>98/95</w:t>
      </w:r>
      <w:r w:rsidRPr="00D015B2">
        <w:rPr>
          <w:rFonts w:eastAsiaTheme="minorEastAsia"/>
        </w:rPr>
        <w:t xml:space="preserve">Mo curve was observed at the </w:t>
      </w:r>
      <w:proofErr w:type="spellStart"/>
      <w:r w:rsidRPr="00D015B2">
        <w:rPr>
          <w:rFonts w:eastAsiaTheme="minorEastAsia"/>
        </w:rPr>
        <w:t>phosphatization</w:t>
      </w:r>
      <w:proofErr w:type="spellEnd"/>
      <w:r w:rsidRPr="00D015B2">
        <w:rPr>
          <w:rFonts w:eastAsiaTheme="minorEastAsia"/>
        </w:rPr>
        <w:t xml:space="preserve"> boundary in </w:t>
      </w:r>
      <w:r w:rsidRPr="00D015B2">
        <w:rPr>
          <w:rFonts w:eastAsia="等线" w:cs="Times New Roman"/>
        </w:rPr>
        <w:t xml:space="preserve">the crust (~40 mm) (Fig. </w:t>
      </w:r>
      <w:r w:rsidR="00D124C1" w:rsidRPr="00D015B2">
        <w:rPr>
          <w:rFonts w:eastAsia="等线" w:cs="Times New Roman"/>
        </w:rPr>
        <w:t>S</w:t>
      </w:r>
      <w:r w:rsidR="007806D2">
        <w:rPr>
          <w:rFonts w:eastAsia="等线" w:cs="Times New Roman"/>
        </w:rPr>
        <w:t>6</w:t>
      </w:r>
      <w:r w:rsidR="00D124C1">
        <w:rPr>
          <w:rFonts w:eastAsia="等线" w:cs="Times New Roman"/>
        </w:rPr>
        <w:t xml:space="preserve"> </w:t>
      </w:r>
      <w:r w:rsidRPr="00D015B2">
        <w:rPr>
          <w:rFonts w:eastAsia="等线" w:cs="Times New Roman"/>
        </w:rPr>
        <w:t>A and C). This indicates that the δ</w:t>
      </w:r>
      <w:r w:rsidRPr="00D015B2">
        <w:rPr>
          <w:rFonts w:eastAsiaTheme="minorEastAsia"/>
          <w:vertAlign w:val="superscript"/>
        </w:rPr>
        <w:t>98/95</w:t>
      </w:r>
      <w:r w:rsidRPr="00D015B2">
        <w:rPr>
          <w:rFonts w:eastAsiaTheme="minorEastAsia"/>
        </w:rPr>
        <w:t xml:space="preserve">Mo signature was not significantly affected by </w:t>
      </w:r>
      <w:proofErr w:type="spellStart"/>
      <w:r w:rsidRPr="00D015B2">
        <w:rPr>
          <w:rFonts w:eastAsiaTheme="minorEastAsia"/>
        </w:rPr>
        <w:t>phosphatization</w:t>
      </w:r>
      <w:proofErr w:type="spellEnd"/>
      <w:r w:rsidRPr="00D015B2">
        <w:rPr>
          <w:rFonts w:eastAsiaTheme="minorEastAsia"/>
        </w:rPr>
        <w:t xml:space="preserve">. </w:t>
      </w:r>
      <w:r w:rsidRPr="00D015B2">
        <w:t>This conclusion is consistent with that of Siebert et al.</w:t>
      </w:r>
      <w:r w:rsidRPr="008970A3">
        <w:t xml:space="preserve"> (2003)</w:t>
      </w:r>
      <w:r w:rsidR="00EC12A1">
        <w:rPr>
          <w:vertAlign w:val="superscript"/>
        </w:rPr>
        <w:t>23</w:t>
      </w:r>
      <w:r w:rsidRPr="008970A3">
        <w:t>, wh</w:t>
      </w:r>
      <w:r w:rsidRPr="00D015B2">
        <w:t>o proposed a closed system behavio</w:t>
      </w:r>
      <w:r w:rsidRPr="00D015B2">
        <w:rPr>
          <w:rFonts w:cs="Times New Roman"/>
        </w:rPr>
        <w:t>ur of Mo in Fe-Mn crusts based on Mo isotope analysis.</w:t>
      </w:r>
    </w:p>
    <w:p w14:paraId="5305F55A" w14:textId="77777777" w:rsidR="008970A3" w:rsidRPr="00D015B2" w:rsidRDefault="00000000" w:rsidP="00D85F06">
      <w:pPr>
        <w:pStyle w:val="2"/>
        <w:numPr>
          <w:ilvl w:val="0"/>
          <w:numId w:val="1"/>
        </w:numPr>
        <w:spacing w:line="480" w:lineRule="auto"/>
      </w:pPr>
      <w:r w:rsidRPr="00D015B2">
        <w:t>Assessing Mo isotope fractionation values in the Fe-Mn crust over the Cenozoic</w:t>
      </w:r>
    </w:p>
    <w:p w14:paraId="26A24FE5" w14:textId="41B2B2CD" w:rsidR="008970A3" w:rsidRPr="00D015B2" w:rsidRDefault="00000000" w:rsidP="00D85F06">
      <w:pPr>
        <w:spacing w:line="480" w:lineRule="auto"/>
        <w:ind w:firstLine="480"/>
      </w:pPr>
      <w:r w:rsidRPr="00D015B2">
        <w:t xml:space="preserve">To accurately reconstruct the Mo isotopic evolution history of the </w:t>
      </w:r>
      <w:proofErr w:type="spellStart"/>
      <w:r w:rsidRPr="00D015B2">
        <w:t>palaeo</w:t>
      </w:r>
      <w:proofErr w:type="spellEnd"/>
      <w:r w:rsidRPr="00D015B2">
        <w:t>-ocean using Fe-Mn records, it is essential to establish relative</w:t>
      </w:r>
      <w:r w:rsidRPr="00D015B2">
        <w:rPr>
          <w:rFonts w:cs="Times New Roman"/>
        </w:rPr>
        <w:t>ly stable isotopic offsets between Fe-Mn crusts and seawater (Δ</w:t>
      </w:r>
      <w:r w:rsidRPr="00D015B2">
        <w:rPr>
          <w:vertAlign w:val="superscript"/>
        </w:rPr>
        <w:t>98/95</w:t>
      </w:r>
      <w:r w:rsidRPr="00D015B2">
        <w:t>Mo</w:t>
      </w:r>
      <w:r w:rsidRPr="00D015B2">
        <w:rPr>
          <w:vertAlign w:val="subscript"/>
        </w:rPr>
        <w:t>crust-sw</w:t>
      </w:r>
      <w:r w:rsidRPr="00D015B2">
        <w:t>) over time as previously described.</w:t>
      </w:r>
      <w:r w:rsidRPr="00D015B2">
        <w:rPr>
          <w:rFonts w:cs="Times New Roman"/>
        </w:rPr>
        <w:t xml:space="preserve"> Studies conducted in natural settings have shown that the fractionation factors between surface scrapings of crusts from different oceanic basins and that of present-day seawater are relatively similar (Δ</w:t>
      </w:r>
      <w:r w:rsidRPr="00D015B2">
        <w:rPr>
          <w:vertAlign w:val="superscript"/>
        </w:rPr>
        <w:t>98/95</w:t>
      </w:r>
      <w:r w:rsidRPr="00D015B2">
        <w:t>Mo</w:t>
      </w:r>
      <w:r w:rsidRPr="00D015B2">
        <w:rPr>
          <w:vertAlign w:val="subscript"/>
        </w:rPr>
        <w:t>crust-sw</w:t>
      </w:r>
      <w:r w:rsidR="00B2614B">
        <w:rPr>
          <w:vertAlign w:val="subscript"/>
        </w:rPr>
        <w:t xml:space="preserve"> </w:t>
      </w:r>
      <w:r w:rsidRPr="00D015B2">
        <w:t>=</w:t>
      </w:r>
      <w:r w:rsidR="00B2614B">
        <w:t xml:space="preserve"> </w:t>
      </w:r>
      <w:r w:rsidRPr="00D015B2">
        <w:t>-3</w:t>
      </w:r>
      <w:r w:rsidR="00B2614B">
        <w:t xml:space="preserve"> </w:t>
      </w:r>
      <w:r w:rsidRPr="00D015B2">
        <w:t>‰)</w:t>
      </w:r>
      <w:r w:rsidR="00EC12A1">
        <w:rPr>
          <w:vertAlign w:val="superscript"/>
        </w:rPr>
        <w:t>18</w:t>
      </w:r>
      <w:r w:rsidR="00BC2B21" w:rsidRPr="00BC2B21">
        <w:rPr>
          <w:vertAlign w:val="superscript"/>
        </w:rPr>
        <w:t xml:space="preserve">, </w:t>
      </w:r>
      <w:r w:rsidR="00A16F7E">
        <w:rPr>
          <w:vertAlign w:val="superscript"/>
        </w:rPr>
        <w:t>24</w:t>
      </w:r>
      <w:r w:rsidRPr="00D015B2">
        <w:t>. These findings indicate that water depth, salinity, or other physicochemical conditions of ambient seawater have minimal effect on Δ</w:t>
      </w:r>
      <w:r w:rsidRPr="00D015B2">
        <w:rPr>
          <w:vertAlign w:val="superscript"/>
        </w:rPr>
        <w:t>98/95</w:t>
      </w:r>
      <w:r w:rsidRPr="00D015B2">
        <w:t>Mo</w:t>
      </w:r>
      <w:r w:rsidRPr="00D015B2">
        <w:rPr>
          <w:vertAlign w:val="subscript"/>
        </w:rPr>
        <w:t>crust-sw</w:t>
      </w:r>
      <w:r w:rsidRPr="00D015B2">
        <w:t>, further verified by laboratory observations</w:t>
      </w:r>
      <w:r w:rsidRPr="00BC2B21">
        <w:t xml:space="preserve"> </w:t>
      </w:r>
      <w:r w:rsidR="00A16F7E">
        <w:rPr>
          <w:vertAlign w:val="superscript"/>
        </w:rPr>
        <w:t>25</w:t>
      </w:r>
      <w:r w:rsidRPr="00BC2B21">
        <w:rPr>
          <w:vertAlign w:val="superscript"/>
        </w:rPr>
        <w:t>,</w:t>
      </w:r>
      <w:r w:rsidR="00055887">
        <w:rPr>
          <w:vertAlign w:val="superscript"/>
        </w:rPr>
        <w:t xml:space="preserve"> </w:t>
      </w:r>
      <w:r w:rsidR="00A16F7E">
        <w:rPr>
          <w:vertAlign w:val="superscript"/>
        </w:rPr>
        <w:t>26</w:t>
      </w:r>
      <w:r w:rsidRPr="00BC2B21">
        <w:t xml:space="preserve">. </w:t>
      </w:r>
    </w:p>
    <w:p w14:paraId="3BDFC1A2" w14:textId="50A7041D" w:rsidR="008970A3" w:rsidRPr="00055887" w:rsidRDefault="00000000" w:rsidP="00EC12A1">
      <w:pPr>
        <w:spacing w:line="480" w:lineRule="auto"/>
        <w:ind w:firstLine="480"/>
        <w:rPr>
          <w:vertAlign w:val="superscript"/>
        </w:rPr>
      </w:pPr>
      <w:r w:rsidRPr="00D015B2">
        <w:t>Our analysis of surface Fe-Mn crusts revealed δ</w:t>
      </w:r>
      <w:r w:rsidRPr="00D015B2">
        <w:rPr>
          <w:vertAlign w:val="superscript"/>
        </w:rPr>
        <w:t>98/95</w:t>
      </w:r>
      <w:r w:rsidRPr="00D015B2">
        <w:t>Mo values (−0.58 ± 0.06</w:t>
      </w:r>
      <w:r w:rsidR="003A5E39">
        <w:t xml:space="preserve"> </w:t>
      </w:r>
      <w:r w:rsidRPr="00D015B2">
        <w:t>‰, 1σ), indicating an isotope fractionation factor of −2.92</w:t>
      </w:r>
      <w:r w:rsidR="003A5E39">
        <w:t xml:space="preserve"> </w:t>
      </w:r>
      <w:r w:rsidRPr="00D015B2">
        <w:t>‰ between Fe-Mn crust and modern seawater (+2.34</w:t>
      </w:r>
      <w:r w:rsidR="003A5E39">
        <w:t xml:space="preserve"> </w:t>
      </w:r>
      <w:r w:rsidRPr="00D015B2">
        <w:t>‰), which is consistent with the previously reported value</w:t>
      </w:r>
      <w:r w:rsidR="00EC12A1">
        <w:rPr>
          <w:vertAlign w:val="superscript"/>
        </w:rPr>
        <w:t>18</w:t>
      </w:r>
      <w:r w:rsidR="00BC2B21" w:rsidRPr="00BC2B21">
        <w:rPr>
          <w:vertAlign w:val="superscript"/>
        </w:rPr>
        <w:t xml:space="preserve">, </w:t>
      </w:r>
      <w:r w:rsidR="00A16F7E">
        <w:rPr>
          <w:vertAlign w:val="superscript"/>
        </w:rPr>
        <w:lastRenderedPageBreak/>
        <w:t>24</w:t>
      </w:r>
      <w:r w:rsidRPr="00D015B2">
        <w:t xml:space="preserve">. Additionally, as discussed earlier, </w:t>
      </w:r>
      <w:r w:rsidRPr="00D015B2">
        <w:rPr>
          <w:rFonts w:cs="Times New Roman"/>
        </w:rPr>
        <w:t xml:space="preserve">the </w:t>
      </w:r>
      <w:r w:rsidRPr="00D015B2">
        <w:t>diagenetic and post-diagenetic effects on the overall tendency of δ</w:t>
      </w:r>
      <w:r w:rsidRPr="00D015B2">
        <w:rPr>
          <w:vertAlign w:val="superscript"/>
        </w:rPr>
        <w:t>98/95</w:t>
      </w:r>
      <w:r w:rsidRPr="00D015B2">
        <w:t>Mo variation were insignificant. Therefore, we applied this isotope fractionation factor of −2.92</w:t>
      </w:r>
      <w:r w:rsidR="003A5E39">
        <w:t xml:space="preserve"> </w:t>
      </w:r>
      <w:r w:rsidRPr="00D015B2">
        <w:t xml:space="preserve">‰ to all the analysed Fe-Mn crust samples. </w:t>
      </w:r>
    </w:p>
    <w:p w14:paraId="12143B99" w14:textId="77777777" w:rsidR="00BC2B21" w:rsidRPr="00D015B2" w:rsidRDefault="00000000" w:rsidP="00D85F06">
      <w:pPr>
        <w:pStyle w:val="2"/>
        <w:numPr>
          <w:ilvl w:val="0"/>
          <w:numId w:val="1"/>
        </w:numPr>
        <w:spacing w:line="480" w:lineRule="auto"/>
      </w:pPr>
      <w:r w:rsidRPr="00D015B2">
        <w:rPr>
          <w:color w:val="000000" w:themeColor="text1"/>
        </w:rPr>
        <w:t>Marine M</w:t>
      </w:r>
      <w:r w:rsidRPr="00D015B2">
        <w:t>o isotope and mass balance model</w:t>
      </w:r>
    </w:p>
    <w:p w14:paraId="2D3F0498" w14:textId="4107FCEB" w:rsidR="00BC2B21" w:rsidRPr="00D015B2" w:rsidRDefault="00000000" w:rsidP="00D85F06">
      <w:pPr>
        <w:spacing w:line="480" w:lineRule="auto"/>
        <w:ind w:firstLine="480"/>
        <w:rPr>
          <w:rFonts w:cs="Times New Roman"/>
          <w:szCs w:val="24"/>
        </w:rPr>
      </w:pPr>
      <w:r w:rsidRPr="00D015B2">
        <w:rPr>
          <w:rFonts w:cs="Times New Roman"/>
          <w:szCs w:val="24"/>
        </w:rPr>
        <w:t>The seawater δ</w:t>
      </w:r>
      <w:r w:rsidRPr="00D015B2">
        <w:rPr>
          <w:rFonts w:cs="Times New Roman"/>
          <w:szCs w:val="24"/>
          <w:vertAlign w:val="superscript"/>
        </w:rPr>
        <w:t>98/95</w:t>
      </w:r>
      <w:r w:rsidRPr="00D015B2">
        <w:rPr>
          <w:rFonts w:cs="Times New Roman"/>
          <w:szCs w:val="24"/>
        </w:rPr>
        <w:t>Mo record offers insights into changes in the flux and/or isotopic composition of the input sources and the relative partitioning of Mo between oxidised and reduced buried reserv</w:t>
      </w:r>
      <w:r w:rsidRPr="00BC2B21">
        <w:rPr>
          <w:rFonts w:cs="Times New Roman"/>
          <w:szCs w:val="24"/>
        </w:rPr>
        <w:t>oirs</w:t>
      </w:r>
      <w:r w:rsidR="00A16F7E">
        <w:rPr>
          <w:rFonts w:cs="Times New Roman"/>
          <w:szCs w:val="24"/>
          <w:vertAlign w:val="superscript"/>
        </w:rPr>
        <w:t>23</w:t>
      </w:r>
      <w:r w:rsidR="00A16F7E">
        <w:rPr>
          <w:rFonts w:cs="Times New Roman" w:hint="eastAsia"/>
          <w:szCs w:val="24"/>
          <w:vertAlign w:val="superscript"/>
        </w:rPr>
        <w:t>,</w:t>
      </w:r>
      <w:r w:rsidR="00A16F7E">
        <w:rPr>
          <w:rFonts w:cs="Times New Roman"/>
          <w:szCs w:val="24"/>
          <w:vertAlign w:val="superscript"/>
        </w:rPr>
        <w:t xml:space="preserve"> 27</w:t>
      </w:r>
      <w:r w:rsidRPr="00BC2B21">
        <w:rPr>
          <w:rFonts w:cs="Times New Roman"/>
          <w:szCs w:val="24"/>
        </w:rPr>
        <w:t xml:space="preserve">. Here, we used a simple steady-state mass- and isotope-balance model to quantitatively explore the potential cause </w:t>
      </w:r>
      <w:r w:rsidR="00B2614B">
        <w:rPr>
          <w:rFonts w:cs="Times New Roman"/>
          <w:szCs w:val="24"/>
        </w:rPr>
        <w:t xml:space="preserve">of changes in </w:t>
      </w:r>
      <w:r w:rsidRPr="00BC2B21">
        <w:rPr>
          <w:rFonts w:cs="Times New Roman"/>
          <w:kern w:val="0"/>
          <w:szCs w:val="24"/>
        </w:rPr>
        <w:t>δ</w:t>
      </w:r>
      <w:r w:rsidRPr="00BC2B21">
        <w:rPr>
          <w:rFonts w:cs="Times New Roman"/>
          <w:kern w:val="0"/>
          <w:szCs w:val="24"/>
          <w:vertAlign w:val="superscript"/>
        </w:rPr>
        <w:t>98/95</w:t>
      </w:r>
      <w:r w:rsidRPr="00BC2B21">
        <w:rPr>
          <w:rFonts w:cs="Times New Roman"/>
          <w:kern w:val="0"/>
          <w:szCs w:val="24"/>
        </w:rPr>
        <w:t xml:space="preserve">Mo during the early Eocene. </w:t>
      </w:r>
      <w:r w:rsidR="00B2614B">
        <w:rPr>
          <w:rFonts w:cs="Times New Roman"/>
          <w:kern w:val="0"/>
          <w:szCs w:val="24"/>
        </w:rPr>
        <w:t>S</w:t>
      </w:r>
      <w:r w:rsidRPr="00BC2B21">
        <w:rPr>
          <w:rFonts w:cs="Times New Roman"/>
          <w:kern w:val="0"/>
          <w:szCs w:val="24"/>
        </w:rPr>
        <w:t>ince the rate of Mo isotope change in Fe-Mn crusts occurs over million-year timescales, while the Mo residence time is ~440 kyr</w:t>
      </w:r>
      <w:r w:rsidR="00A16F7E">
        <w:rPr>
          <w:rFonts w:cs="Times New Roman"/>
          <w:kern w:val="0"/>
          <w:szCs w:val="24"/>
          <w:vertAlign w:val="superscript"/>
        </w:rPr>
        <w:t>28</w:t>
      </w:r>
      <w:r w:rsidRPr="00BC2B21">
        <w:rPr>
          <w:rFonts w:cs="Times New Roman"/>
          <w:kern w:val="0"/>
          <w:szCs w:val="24"/>
        </w:rPr>
        <w:t>, any</w:t>
      </w:r>
      <w:r w:rsidRPr="00D015B2">
        <w:rPr>
          <w:rFonts w:cs="Times New Roman"/>
          <w:kern w:val="0"/>
          <w:szCs w:val="24"/>
        </w:rPr>
        <w:t xml:space="preserve"> changes in sources (or sinks) that occurred during the Cenozoic will be almost instantaneous responses in the Mo isotopic system. Therefore, it is reasonable to infer that the oceans are in a steady state at any given point in time.</w:t>
      </w:r>
    </w:p>
    <w:p w14:paraId="65A014E8" w14:textId="77777777" w:rsidR="00BC2B21" w:rsidRPr="00D015B2" w:rsidRDefault="00000000" w:rsidP="00D85F06">
      <w:pPr>
        <w:spacing w:line="480" w:lineRule="auto"/>
        <w:ind w:firstLine="480"/>
      </w:pPr>
      <w:r w:rsidRPr="00D015B2">
        <w:t xml:space="preserve">Therefore, two equations can be obtained: </w:t>
      </w:r>
    </w:p>
    <w:p w14:paraId="494EF261" w14:textId="12EE48D2" w:rsidR="00BC2B21" w:rsidRPr="00D015B2" w:rsidRDefault="00000000" w:rsidP="003A5E39">
      <w:pPr>
        <w:spacing w:line="480" w:lineRule="auto"/>
        <w:ind w:firstLine="480"/>
        <w:jc w:val="center"/>
        <w:rPr>
          <w:rFonts w:cs="Times New Roman"/>
          <w:szCs w:val="24"/>
        </w:rPr>
      </w:pPr>
      <w:r w:rsidRPr="00D015B2">
        <w:rPr>
          <w:rFonts w:cs="Times New Roman"/>
          <w:szCs w:val="24"/>
        </w:rPr>
        <w:t>δ</w:t>
      </w:r>
      <w:r w:rsidRPr="00D015B2">
        <w:rPr>
          <w:rFonts w:cs="Times New Roman"/>
          <w:szCs w:val="24"/>
          <w:vertAlign w:val="superscript"/>
        </w:rPr>
        <w:t>98/95</w:t>
      </w:r>
      <w:r w:rsidRPr="00D015B2">
        <w:rPr>
          <w:rFonts w:cs="Times New Roman"/>
          <w:szCs w:val="24"/>
        </w:rPr>
        <w:t>Mo</w:t>
      </w:r>
      <w:r w:rsidRPr="00D015B2">
        <w:rPr>
          <w:rFonts w:cs="Times New Roman"/>
          <w:szCs w:val="24"/>
          <w:vertAlign w:val="subscript"/>
        </w:rPr>
        <w:t xml:space="preserve">input </w:t>
      </w:r>
      <w:r w:rsidRPr="00D015B2">
        <w:rPr>
          <w:rFonts w:cs="Times New Roman"/>
          <w:szCs w:val="24"/>
        </w:rPr>
        <w:t xml:space="preserve">× </w:t>
      </w:r>
      <w:proofErr w:type="spellStart"/>
      <w:r w:rsidRPr="00D015B2">
        <w:rPr>
          <w:rFonts w:cs="Times New Roman"/>
          <w:i/>
          <w:szCs w:val="24"/>
        </w:rPr>
        <w:t>f</w:t>
      </w:r>
      <w:r w:rsidRPr="00D015B2">
        <w:rPr>
          <w:rFonts w:cs="Times New Roman"/>
          <w:szCs w:val="24"/>
          <w:vertAlign w:val="subscript"/>
        </w:rPr>
        <w:t>input</w:t>
      </w:r>
      <w:proofErr w:type="spellEnd"/>
      <w:r w:rsidRPr="00D015B2">
        <w:rPr>
          <w:rFonts w:cs="Times New Roman"/>
          <w:szCs w:val="24"/>
        </w:rPr>
        <w:t xml:space="preserve"> =</w:t>
      </w:r>
      <w:r w:rsidR="00A900A9">
        <w:rPr>
          <w:rFonts w:cs="Times New Roman"/>
          <w:szCs w:val="24"/>
        </w:rPr>
        <w:t xml:space="preserve"> </w:t>
      </w:r>
      <w:r w:rsidRPr="00D015B2">
        <w:rPr>
          <w:rFonts w:cs="Times New Roman"/>
          <w:szCs w:val="24"/>
        </w:rPr>
        <w:t>δ</w:t>
      </w:r>
      <w:r w:rsidRPr="00D015B2">
        <w:rPr>
          <w:rFonts w:cs="Times New Roman"/>
          <w:szCs w:val="24"/>
          <w:vertAlign w:val="superscript"/>
        </w:rPr>
        <w:t>98/95</w:t>
      </w:r>
      <w:r w:rsidRPr="00D015B2">
        <w:rPr>
          <w:rFonts w:cs="Times New Roman"/>
          <w:szCs w:val="24"/>
        </w:rPr>
        <w:t>Mo</w:t>
      </w:r>
      <w:r w:rsidRPr="00D015B2">
        <w:rPr>
          <w:rFonts w:cs="Times New Roman"/>
          <w:szCs w:val="24"/>
          <w:vertAlign w:val="subscript"/>
        </w:rPr>
        <w:t xml:space="preserve">sw </w:t>
      </w:r>
      <w:r w:rsidRPr="00D015B2">
        <w:rPr>
          <w:rFonts w:cs="Times New Roman"/>
          <w:szCs w:val="24"/>
        </w:rPr>
        <w:t>– ∆</w:t>
      </w:r>
      <w:r w:rsidRPr="00D015B2">
        <w:rPr>
          <w:rFonts w:cs="Times New Roman"/>
          <w:szCs w:val="24"/>
          <w:vertAlign w:val="superscript"/>
        </w:rPr>
        <w:t>98/95</w:t>
      </w:r>
      <w:r w:rsidRPr="00D015B2">
        <w:rPr>
          <w:rFonts w:cs="Times New Roman"/>
          <w:szCs w:val="24"/>
        </w:rPr>
        <w:t>Mo</w:t>
      </w:r>
      <w:r w:rsidRPr="00D015B2">
        <w:rPr>
          <w:rFonts w:cs="Times New Roman"/>
          <w:szCs w:val="24"/>
          <w:vertAlign w:val="subscript"/>
        </w:rPr>
        <w:t>sw-oxic</w:t>
      </w:r>
      <w:r w:rsidRPr="00D015B2">
        <w:rPr>
          <w:rFonts w:cs="Times New Roman"/>
          <w:szCs w:val="24"/>
        </w:rPr>
        <w:t xml:space="preserve"> × </w:t>
      </w:r>
      <w:proofErr w:type="spellStart"/>
      <w:r w:rsidRPr="00D015B2">
        <w:rPr>
          <w:rFonts w:cs="Times New Roman"/>
          <w:i/>
          <w:szCs w:val="24"/>
        </w:rPr>
        <w:t>f</w:t>
      </w:r>
      <w:r w:rsidRPr="00D015B2">
        <w:rPr>
          <w:rFonts w:cs="Times New Roman"/>
          <w:szCs w:val="24"/>
          <w:vertAlign w:val="subscript"/>
        </w:rPr>
        <w:t>oxic</w:t>
      </w:r>
      <w:proofErr w:type="spellEnd"/>
      <w:r w:rsidRPr="00D015B2">
        <w:rPr>
          <w:rFonts w:cs="Times New Roman"/>
          <w:szCs w:val="24"/>
          <w:vertAlign w:val="subscript"/>
        </w:rPr>
        <w:t xml:space="preserve"> </w:t>
      </w:r>
      <w:r w:rsidRPr="00D015B2">
        <w:rPr>
          <w:rFonts w:cs="Times New Roman"/>
          <w:szCs w:val="24"/>
        </w:rPr>
        <w:t>+ ∆</w:t>
      </w:r>
      <w:r w:rsidRPr="00D015B2">
        <w:rPr>
          <w:rFonts w:cs="Times New Roman"/>
          <w:szCs w:val="24"/>
          <w:vertAlign w:val="superscript"/>
        </w:rPr>
        <w:t>98/95</w:t>
      </w:r>
      <w:r w:rsidRPr="00D015B2">
        <w:rPr>
          <w:rFonts w:cs="Times New Roman"/>
          <w:szCs w:val="24"/>
        </w:rPr>
        <w:t>Mo</w:t>
      </w:r>
      <w:r w:rsidRPr="00D015B2">
        <w:rPr>
          <w:rFonts w:cs="Times New Roman"/>
          <w:szCs w:val="24"/>
          <w:vertAlign w:val="subscript"/>
        </w:rPr>
        <w:t>sw-OMZ</w:t>
      </w:r>
      <w:r w:rsidRPr="00D015B2">
        <w:rPr>
          <w:rFonts w:cs="Times New Roman"/>
          <w:szCs w:val="24"/>
        </w:rPr>
        <w:t xml:space="preserve"> × </w:t>
      </w:r>
      <w:proofErr w:type="spellStart"/>
      <w:r w:rsidRPr="00D015B2">
        <w:rPr>
          <w:rFonts w:cs="Times New Roman"/>
          <w:i/>
          <w:szCs w:val="24"/>
        </w:rPr>
        <w:t>f</w:t>
      </w:r>
      <w:r w:rsidRPr="00D015B2">
        <w:rPr>
          <w:rFonts w:cs="Times New Roman"/>
          <w:szCs w:val="24"/>
          <w:vertAlign w:val="subscript"/>
        </w:rPr>
        <w:t>OMZ</w:t>
      </w:r>
      <w:proofErr w:type="spellEnd"/>
      <w:r w:rsidRPr="00D015B2">
        <w:rPr>
          <w:rFonts w:cs="Times New Roman"/>
          <w:szCs w:val="24"/>
        </w:rPr>
        <w:t xml:space="preserve"> + ∆</w:t>
      </w:r>
      <w:r w:rsidRPr="00D015B2">
        <w:rPr>
          <w:rFonts w:cs="Times New Roman"/>
          <w:szCs w:val="24"/>
          <w:vertAlign w:val="superscript"/>
        </w:rPr>
        <w:t>98/95</w:t>
      </w:r>
      <w:r w:rsidRPr="00D015B2">
        <w:rPr>
          <w:rFonts w:cs="Times New Roman"/>
          <w:szCs w:val="24"/>
        </w:rPr>
        <w:t>Mo</w:t>
      </w:r>
      <w:r w:rsidRPr="00D015B2">
        <w:rPr>
          <w:rFonts w:cs="Times New Roman"/>
          <w:szCs w:val="24"/>
          <w:vertAlign w:val="subscript"/>
        </w:rPr>
        <w:t>sw-eux</w:t>
      </w:r>
      <w:r w:rsidRPr="00D015B2">
        <w:rPr>
          <w:rFonts w:cs="Times New Roman"/>
          <w:szCs w:val="24"/>
        </w:rPr>
        <w:t xml:space="preserve"> × </w:t>
      </w:r>
      <w:proofErr w:type="spellStart"/>
      <w:proofErr w:type="gramStart"/>
      <w:r w:rsidRPr="00D015B2">
        <w:rPr>
          <w:rFonts w:cs="Times New Roman"/>
          <w:i/>
          <w:szCs w:val="24"/>
        </w:rPr>
        <w:t>f</w:t>
      </w:r>
      <w:r w:rsidRPr="00D015B2">
        <w:rPr>
          <w:rFonts w:cs="Times New Roman"/>
          <w:szCs w:val="24"/>
          <w:vertAlign w:val="subscript"/>
        </w:rPr>
        <w:t>eux</w:t>
      </w:r>
      <w:proofErr w:type="spellEnd"/>
      <w:r w:rsidRPr="00D015B2">
        <w:rPr>
          <w:rFonts w:cs="Times New Roman"/>
          <w:szCs w:val="24"/>
        </w:rPr>
        <w:t xml:space="preserve">)   </w:t>
      </w:r>
      <w:proofErr w:type="gramEnd"/>
      <w:r w:rsidRPr="00D015B2">
        <w:rPr>
          <w:rFonts w:cs="Times New Roman"/>
          <w:szCs w:val="24"/>
        </w:rPr>
        <w:t xml:space="preserve">           (1)</w:t>
      </w:r>
    </w:p>
    <w:p w14:paraId="74B554DE" w14:textId="77777777" w:rsidR="00BC2B21" w:rsidRPr="00D015B2" w:rsidRDefault="00000000" w:rsidP="003A5E39">
      <w:pPr>
        <w:spacing w:line="480" w:lineRule="auto"/>
        <w:ind w:firstLine="480"/>
        <w:jc w:val="center"/>
        <w:rPr>
          <w:rFonts w:cs="Times New Roman"/>
          <w:szCs w:val="24"/>
        </w:rPr>
      </w:pPr>
      <w:r w:rsidRPr="00D015B2">
        <w:rPr>
          <w:rFonts w:cs="Times New Roman"/>
          <w:i/>
          <w:szCs w:val="24"/>
        </w:rPr>
        <w:t>1</w:t>
      </w:r>
      <w:r w:rsidRPr="00D015B2">
        <w:rPr>
          <w:rFonts w:cs="Times New Roman"/>
          <w:szCs w:val="24"/>
        </w:rPr>
        <w:t xml:space="preserve"> =</w:t>
      </w:r>
      <w:r w:rsidRPr="00D015B2">
        <w:rPr>
          <w:rFonts w:cs="Times New Roman"/>
          <w:i/>
          <w:szCs w:val="24"/>
        </w:rPr>
        <w:t xml:space="preserve"> </w:t>
      </w:r>
      <w:proofErr w:type="spellStart"/>
      <w:r w:rsidRPr="00D015B2">
        <w:rPr>
          <w:rFonts w:cs="Times New Roman"/>
          <w:i/>
          <w:szCs w:val="24"/>
        </w:rPr>
        <w:t>f</w:t>
      </w:r>
      <w:r w:rsidRPr="00D015B2">
        <w:rPr>
          <w:rFonts w:cs="Times New Roman"/>
          <w:szCs w:val="24"/>
          <w:vertAlign w:val="subscript"/>
        </w:rPr>
        <w:t>input</w:t>
      </w:r>
      <w:proofErr w:type="spellEnd"/>
      <w:r w:rsidRPr="00D015B2">
        <w:rPr>
          <w:rFonts w:cs="Times New Roman"/>
          <w:szCs w:val="24"/>
        </w:rPr>
        <w:t xml:space="preserve"> = </w:t>
      </w:r>
      <w:proofErr w:type="spellStart"/>
      <w:r w:rsidRPr="00D015B2">
        <w:rPr>
          <w:rFonts w:cs="Times New Roman"/>
          <w:i/>
          <w:szCs w:val="24"/>
        </w:rPr>
        <w:t>f</w:t>
      </w:r>
      <w:r w:rsidRPr="00D015B2">
        <w:rPr>
          <w:rFonts w:cs="Times New Roman"/>
          <w:szCs w:val="24"/>
          <w:vertAlign w:val="subscript"/>
        </w:rPr>
        <w:t>oxic</w:t>
      </w:r>
      <w:proofErr w:type="spellEnd"/>
      <w:r w:rsidRPr="00D015B2">
        <w:rPr>
          <w:rFonts w:cs="Times New Roman"/>
          <w:szCs w:val="24"/>
        </w:rPr>
        <w:t xml:space="preserve"> +</w:t>
      </w:r>
      <w:r w:rsidRPr="00D015B2">
        <w:rPr>
          <w:rFonts w:cs="Times New Roman"/>
          <w:i/>
          <w:szCs w:val="24"/>
        </w:rPr>
        <w:t xml:space="preserve"> </w:t>
      </w:r>
      <w:proofErr w:type="spellStart"/>
      <w:r w:rsidRPr="00D015B2">
        <w:rPr>
          <w:rFonts w:cs="Times New Roman"/>
          <w:i/>
          <w:szCs w:val="24"/>
        </w:rPr>
        <w:t>f</w:t>
      </w:r>
      <w:r w:rsidRPr="00D015B2">
        <w:rPr>
          <w:rFonts w:cs="Times New Roman"/>
          <w:szCs w:val="24"/>
          <w:vertAlign w:val="subscript"/>
        </w:rPr>
        <w:t>OMZ</w:t>
      </w:r>
      <w:proofErr w:type="spellEnd"/>
      <w:r w:rsidRPr="00D015B2">
        <w:rPr>
          <w:rFonts w:cs="Times New Roman"/>
          <w:szCs w:val="24"/>
        </w:rPr>
        <w:t xml:space="preserve"> +</w:t>
      </w:r>
      <w:r w:rsidRPr="00D015B2">
        <w:rPr>
          <w:rFonts w:cs="Times New Roman"/>
          <w:i/>
          <w:szCs w:val="24"/>
        </w:rPr>
        <w:t xml:space="preserve"> </w:t>
      </w:r>
      <w:proofErr w:type="spellStart"/>
      <w:r w:rsidRPr="00D015B2">
        <w:rPr>
          <w:rFonts w:cs="Times New Roman"/>
          <w:i/>
          <w:szCs w:val="24"/>
        </w:rPr>
        <w:t>f</w:t>
      </w:r>
      <w:r w:rsidRPr="00D015B2">
        <w:rPr>
          <w:rFonts w:cs="Times New Roman"/>
          <w:szCs w:val="24"/>
          <w:vertAlign w:val="subscript"/>
        </w:rPr>
        <w:t>eux</w:t>
      </w:r>
      <w:proofErr w:type="spellEnd"/>
      <w:r w:rsidRPr="00D015B2">
        <w:rPr>
          <w:rFonts w:cs="Times New Roman"/>
          <w:szCs w:val="24"/>
          <w:vertAlign w:val="subscript"/>
        </w:rPr>
        <w:t xml:space="preserve">    </w:t>
      </w:r>
      <w:proofErr w:type="gramStart"/>
      <w:r w:rsidRPr="00D015B2">
        <w:rPr>
          <w:rFonts w:cs="Times New Roman"/>
          <w:szCs w:val="24"/>
          <w:vertAlign w:val="subscript"/>
        </w:rPr>
        <w:t xml:space="preserve">   </w:t>
      </w:r>
      <w:r w:rsidRPr="00D015B2">
        <w:rPr>
          <w:rFonts w:cs="Times New Roman"/>
          <w:szCs w:val="24"/>
        </w:rPr>
        <w:t>(</w:t>
      </w:r>
      <w:proofErr w:type="gramEnd"/>
      <w:r w:rsidRPr="00D015B2">
        <w:rPr>
          <w:rFonts w:cs="Times New Roman"/>
          <w:szCs w:val="24"/>
        </w:rPr>
        <w:t>2)</w:t>
      </w:r>
    </w:p>
    <w:p w14:paraId="6B85BC7C" w14:textId="77777777" w:rsidR="00BC2B21" w:rsidRPr="00D015B2" w:rsidRDefault="00000000" w:rsidP="00D85F06">
      <w:pPr>
        <w:spacing w:line="480" w:lineRule="auto"/>
        <w:ind w:firstLine="480"/>
        <w:rPr>
          <w:rFonts w:cs="Times New Roman"/>
          <w:szCs w:val="24"/>
        </w:rPr>
      </w:pPr>
      <w:r w:rsidRPr="00D015B2">
        <w:rPr>
          <w:rFonts w:cs="Times New Roman"/>
          <w:szCs w:val="24"/>
        </w:rPr>
        <w:t xml:space="preserve">where </w:t>
      </w:r>
      <w:proofErr w:type="spellStart"/>
      <w:r w:rsidRPr="00D015B2">
        <w:rPr>
          <w:rFonts w:cs="Times New Roman"/>
          <w:i/>
          <w:szCs w:val="24"/>
        </w:rPr>
        <w:t>f</w:t>
      </w:r>
      <w:r w:rsidRPr="00D015B2">
        <w:rPr>
          <w:rFonts w:cs="Times New Roman"/>
          <w:szCs w:val="24"/>
          <w:vertAlign w:val="subscript"/>
        </w:rPr>
        <w:t>input</w:t>
      </w:r>
      <w:proofErr w:type="spellEnd"/>
      <w:r w:rsidRPr="00D015B2">
        <w:rPr>
          <w:rFonts w:cs="Times New Roman"/>
          <w:szCs w:val="24"/>
          <w:vertAlign w:val="subscript"/>
        </w:rPr>
        <w:t xml:space="preserve"> </w:t>
      </w:r>
      <w:r w:rsidRPr="00D015B2">
        <w:rPr>
          <w:rFonts w:cs="Times New Roman"/>
          <w:szCs w:val="24"/>
        </w:rPr>
        <w:t xml:space="preserve">represents the Mo input flux fraction of river to the ocean; </w:t>
      </w:r>
      <w:proofErr w:type="spellStart"/>
      <w:r w:rsidRPr="00D015B2">
        <w:rPr>
          <w:rFonts w:cs="Times New Roman"/>
          <w:i/>
          <w:szCs w:val="24"/>
        </w:rPr>
        <w:t>f</w:t>
      </w:r>
      <w:r w:rsidRPr="00D015B2">
        <w:rPr>
          <w:rFonts w:cs="Times New Roman"/>
          <w:szCs w:val="24"/>
          <w:vertAlign w:val="subscript"/>
        </w:rPr>
        <w:t>oxic</w:t>
      </w:r>
      <w:proofErr w:type="spellEnd"/>
      <w:r w:rsidRPr="00D015B2">
        <w:rPr>
          <w:rFonts w:cs="Times New Roman"/>
          <w:szCs w:val="24"/>
        </w:rPr>
        <w:t>,</w:t>
      </w:r>
      <w:r w:rsidRPr="00D015B2">
        <w:rPr>
          <w:rFonts w:cs="Times New Roman"/>
          <w:i/>
          <w:szCs w:val="24"/>
        </w:rPr>
        <w:t xml:space="preserve"> </w:t>
      </w:r>
      <w:proofErr w:type="spellStart"/>
      <w:r w:rsidRPr="00D015B2">
        <w:rPr>
          <w:rFonts w:cs="Times New Roman"/>
          <w:i/>
          <w:szCs w:val="24"/>
        </w:rPr>
        <w:t>f</w:t>
      </w:r>
      <w:r w:rsidRPr="00D015B2">
        <w:rPr>
          <w:rFonts w:cs="Times New Roman"/>
          <w:szCs w:val="24"/>
          <w:vertAlign w:val="subscript"/>
        </w:rPr>
        <w:t>OMZ</w:t>
      </w:r>
      <w:proofErr w:type="spellEnd"/>
      <w:r w:rsidRPr="00D015B2">
        <w:rPr>
          <w:rFonts w:cs="Times New Roman"/>
          <w:szCs w:val="24"/>
        </w:rPr>
        <w:t xml:space="preserve">, and </w:t>
      </w:r>
      <w:proofErr w:type="spellStart"/>
      <w:r w:rsidRPr="00D015B2">
        <w:rPr>
          <w:rFonts w:cs="Times New Roman"/>
          <w:i/>
          <w:szCs w:val="24"/>
        </w:rPr>
        <w:t>f</w:t>
      </w:r>
      <w:r w:rsidRPr="00D015B2">
        <w:rPr>
          <w:rFonts w:cs="Times New Roman"/>
          <w:szCs w:val="24"/>
          <w:vertAlign w:val="subscript"/>
        </w:rPr>
        <w:t>eux</w:t>
      </w:r>
      <w:proofErr w:type="spellEnd"/>
      <w:r w:rsidRPr="00D015B2">
        <w:rPr>
          <w:rFonts w:cs="Times New Roman"/>
          <w:szCs w:val="24"/>
        </w:rPr>
        <w:t xml:space="preserve"> are the </w:t>
      </w:r>
      <w:proofErr w:type="spellStart"/>
      <w:r w:rsidRPr="00D015B2">
        <w:rPr>
          <w:rFonts w:cs="Times New Roman"/>
          <w:szCs w:val="24"/>
        </w:rPr>
        <w:t>oxic</w:t>
      </w:r>
      <w:proofErr w:type="spellEnd"/>
      <w:r w:rsidRPr="00D015B2">
        <w:rPr>
          <w:rFonts w:cs="Times New Roman"/>
          <w:szCs w:val="24"/>
        </w:rPr>
        <w:t>, OMZ, and euxinic sink fractions, respectively; δ</w:t>
      </w:r>
      <w:r w:rsidRPr="00D015B2">
        <w:rPr>
          <w:rFonts w:cs="Times New Roman"/>
          <w:szCs w:val="24"/>
          <w:vertAlign w:val="superscript"/>
        </w:rPr>
        <w:t>98/95</w:t>
      </w:r>
      <w:r w:rsidRPr="00D015B2">
        <w:rPr>
          <w:rFonts w:cs="Times New Roman"/>
          <w:szCs w:val="24"/>
        </w:rPr>
        <w:t>Mo</w:t>
      </w:r>
      <w:r w:rsidRPr="00D015B2">
        <w:rPr>
          <w:rFonts w:cs="Times New Roman"/>
          <w:szCs w:val="24"/>
          <w:vertAlign w:val="subscript"/>
        </w:rPr>
        <w:t>input</w:t>
      </w:r>
      <w:r w:rsidRPr="00D015B2">
        <w:rPr>
          <w:rFonts w:cs="Times New Roman"/>
          <w:szCs w:val="24"/>
        </w:rPr>
        <w:t xml:space="preserve"> and δ</w:t>
      </w:r>
      <w:r w:rsidRPr="00D015B2">
        <w:rPr>
          <w:rFonts w:cs="Times New Roman"/>
          <w:szCs w:val="24"/>
          <w:vertAlign w:val="superscript"/>
        </w:rPr>
        <w:t>98/95</w:t>
      </w:r>
      <w:r w:rsidRPr="00D015B2">
        <w:rPr>
          <w:rFonts w:cs="Times New Roman"/>
          <w:szCs w:val="24"/>
        </w:rPr>
        <w:t>Mo</w:t>
      </w:r>
      <w:r w:rsidRPr="00D015B2">
        <w:rPr>
          <w:rFonts w:cs="Times New Roman"/>
          <w:szCs w:val="24"/>
          <w:vertAlign w:val="subscript"/>
        </w:rPr>
        <w:t>sw</w:t>
      </w:r>
      <w:r w:rsidRPr="00D015B2">
        <w:rPr>
          <w:rFonts w:cs="Times New Roman"/>
          <w:szCs w:val="24"/>
        </w:rPr>
        <w:t xml:space="preserve"> are the average Mo isotopic compositions of the input flux and seawater respectively; ∆</w:t>
      </w:r>
      <w:r w:rsidRPr="00D015B2">
        <w:rPr>
          <w:rFonts w:cs="Times New Roman"/>
          <w:szCs w:val="24"/>
          <w:vertAlign w:val="superscript"/>
        </w:rPr>
        <w:t>98/95</w:t>
      </w:r>
      <w:r w:rsidRPr="00D015B2">
        <w:rPr>
          <w:rFonts w:cs="Times New Roman"/>
          <w:szCs w:val="24"/>
        </w:rPr>
        <w:t>Mo</w:t>
      </w:r>
      <w:r w:rsidRPr="00D015B2">
        <w:rPr>
          <w:rFonts w:cs="Times New Roman"/>
          <w:szCs w:val="24"/>
          <w:vertAlign w:val="subscript"/>
        </w:rPr>
        <w:t>sw-oxic</w:t>
      </w:r>
      <w:r w:rsidRPr="00D015B2">
        <w:rPr>
          <w:rFonts w:cs="Times New Roman"/>
          <w:szCs w:val="24"/>
        </w:rPr>
        <w:t>, ∆</w:t>
      </w:r>
      <w:r w:rsidRPr="00D015B2">
        <w:rPr>
          <w:rFonts w:cs="Times New Roman"/>
          <w:szCs w:val="24"/>
          <w:vertAlign w:val="superscript"/>
        </w:rPr>
        <w:t>98/95</w:t>
      </w:r>
      <w:r w:rsidRPr="00D015B2">
        <w:rPr>
          <w:rFonts w:cs="Times New Roman"/>
          <w:szCs w:val="24"/>
        </w:rPr>
        <w:t>Mo</w:t>
      </w:r>
      <w:r w:rsidRPr="00D015B2">
        <w:rPr>
          <w:rFonts w:cs="Times New Roman"/>
          <w:szCs w:val="24"/>
          <w:vertAlign w:val="subscript"/>
        </w:rPr>
        <w:t>sw-OMZ</w:t>
      </w:r>
      <w:r w:rsidRPr="00D015B2">
        <w:rPr>
          <w:rFonts w:cs="Times New Roman"/>
          <w:szCs w:val="24"/>
        </w:rPr>
        <w:t>, and ∆</w:t>
      </w:r>
      <w:r w:rsidRPr="00D015B2">
        <w:rPr>
          <w:rFonts w:cs="Times New Roman"/>
          <w:szCs w:val="24"/>
          <w:vertAlign w:val="superscript"/>
        </w:rPr>
        <w:t>98/95</w:t>
      </w:r>
      <w:r w:rsidRPr="00D015B2">
        <w:rPr>
          <w:rFonts w:cs="Times New Roman"/>
          <w:szCs w:val="24"/>
        </w:rPr>
        <w:t>Mo</w:t>
      </w:r>
      <w:r w:rsidRPr="00D015B2">
        <w:rPr>
          <w:rFonts w:cs="Times New Roman"/>
          <w:szCs w:val="24"/>
          <w:vertAlign w:val="subscript"/>
        </w:rPr>
        <w:t>sw-eux</w:t>
      </w:r>
      <w:r w:rsidRPr="00D015B2">
        <w:rPr>
          <w:rFonts w:cs="Times New Roman"/>
          <w:szCs w:val="24"/>
        </w:rPr>
        <w:t xml:space="preserve"> refer to Mo isotopic </w:t>
      </w:r>
      <w:r w:rsidRPr="00D015B2">
        <w:rPr>
          <w:rFonts w:cs="Times New Roman"/>
          <w:szCs w:val="24"/>
        </w:rPr>
        <w:lastRenderedPageBreak/>
        <w:t xml:space="preserve">fractionation between seawater and </w:t>
      </w:r>
      <w:proofErr w:type="spellStart"/>
      <w:r w:rsidRPr="00D015B2">
        <w:rPr>
          <w:rFonts w:cs="Times New Roman"/>
          <w:szCs w:val="24"/>
        </w:rPr>
        <w:t>oxic</w:t>
      </w:r>
      <w:proofErr w:type="spellEnd"/>
      <w:r w:rsidRPr="00D015B2">
        <w:rPr>
          <w:rFonts w:cs="Times New Roman"/>
          <w:szCs w:val="24"/>
        </w:rPr>
        <w:t xml:space="preserve">, OMZ, and euxinic sinks, respectively. </w:t>
      </w:r>
    </w:p>
    <w:p w14:paraId="049CDA5C" w14:textId="417EC763" w:rsidR="00BC2B21" w:rsidRPr="00D015B2" w:rsidRDefault="00000000" w:rsidP="00D85F06">
      <w:pPr>
        <w:spacing w:line="480" w:lineRule="auto"/>
        <w:ind w:firstLine="480"/>
        <w:rPr>
          <w:rFonts w:cs="Times New Roman"/>
          <w:szCs w:val="24"/>
        </w:rPr>
      </w:pPr>
      <w:bookmarkStart w:id="10" w:name="OLE_LINK7"/>
      <w:r w:rsidRPr="00D015B2">
        <w:rPr>
          <w:rFonts w:cs="Times New Roman"/>
          <w:szCs w:val="24"/>
        </w:rPr>
        <w:t>The primary sources of Mo inputs to the oceans include rivers, groundwater, and to a lesser extent, hydrothermal systems. Neely et al. (2018) provided an average estimate of the δ</w:t>
      </w:r>
      <w:r w:rsidRPr="00D015B2">
        <w:rPr>
          <w:rFonts w:cs="Times New Roman"/>
          <w:szCs w:val="24"/>
          <w:vertAlign w:val="superscript"/>
        </w:rPr>
        <w:t>98/95</w:t>
      </w:r>
      <w:r w:rsidRPr="00D015B2">
        <w:rPr>
          <w:rFonts w:cs="Times New Roman"/>
          <w:szCs w:val="24"/>
        </w:rPr>
        <w:t>Mo value at 0.55 ‰ for the Mo input flux considering these sources, which we also used in this study</w:t>
      </w:r>
      <w:r w:rsidR="00A16F7E">
        <w:rPr>
          <w:rFonts w:cs="Times New Roman"/>
          <w:szCs w:val="24"/>
          <w:vertAlign w:val="superscript"/>
        </w:rPr>
        <w:t>29</w:t>
      </w:r>
      <w:r w:rsidRPr="00D015B2">
        <w:rPr>
          <w:rFonts w:cs="Times New Roman"/>
          <w:szCs w:val="24"/>
        </w:rPr>
        <w:t>.</w:t>
      </w:r>
      <w:r w:rsidRPr="00D015B2">
        <w:rPr>
          <w:rFonts w:cs="Times New Roman"/>
          <w:szCs w:val="24"/>
          <w:vertAlign w:val="subscript"/>
        </w:rPr>
        <w:t xml:space="preserve"> </w:t>
      </w:r>
      <w:r w:rsidRPr="00D015B2">
        <w:rPr>
          <w:rFonts w:cs="Times New Roman"/>
          <w:szCs w:val="24"/>
        </w:rPr>
        <w:t xml:space="preserve">The </w:t>
      </w:r>
      <w:proofErr w:type="spellStart"/>
      <w:r w:rsidRPr="00D015B2">
        <w:rPr>
          <w:rFonts w:cs="Times New Roman"/>
          <w:szCs w:val="24"/>
        </w:rPr>
        <w:t>oxic</w:t>
      </w:r>
      <w:proofErr w:type="spellEnd"/>
      <w:r w:rsidRPr="00D015B2">
        <w:rPr>
          <w:rFonts w:cs="Times New Roman"/>
          <w:szCs w:val="24"/>
        </w:rPr>
        <w:t xml:space="preserve"> flux (</w:t>
      </w:r>
      <w:proofErr w:type="spellStart"/>
      <w:r w:rsidRPr="00D015B2">
        <w:rPr>
          <w:rFonts w:cs="Times New Roman"/>
          <w:i/>
          <w:szCs w:val="24"/>
        </w:rPr>
        <w:t>f</w:t>
      </w:r>
      <w:r w:rsidRPr="00D015B2">
        <w:rPr>
          <w:rFonts w:cs="Times New Roman"/>
          <w:szCs w:val="24"/>
          <w:vertAlign w:val="subscript"/>
        </w:rPr>
        <w:t>oxic</w:t>
      </w:r>
      <w:proofErr w:type="spellEnd"/>
      <w:r w:rsidRPr="00D015B2">
        <w:rPr>
          <w:rFonts w:cs="Times New Roman"/>
          <w:szCs w:val="24"/>
        </w:rPr>
        <w:t>) is typically associated with Mo adsorption onto Mn oxides and Fe-Mn crusts, represented by a Mo isotope fractionation factor of ~3 ‰</w:t>
      </w:r>
      <w:r w:rsidR="00EC12A1">
        <w:rPr>
          <w:vertAlign w:val="superscript"/>
        </w:rPr>
        <w:t>18</w:t>
      </w:r>
      <w:r w:rsidR="008C19B6" w:rsidRPr="00BC2B21">
        <w:rPr>
          <w:vertAlign w:val="superscript"/>
        </w:rPr>
        <w:t xml:space="preserve">, </w:t>
      </w:r>
      <w:r w:rsidR="00A16F7E">
        <w:rPr>
          <w:vertAlign w:val="superscript"/>
        </w:rPr>
        <w:t>24</w:t>
      </w:r>
      <w:r w:rsidRPr="00D015B2">
        <w:rPr>
          <w:rFonts w:cs="Times New Roman"/>
          <w:szCs w:val="24"/>
        </w:rPr>
        <w:t>. The euxinic flux (</w:t>
      </w:r>
      <w:proofErr w:type="spellStart"/>
      <w:r w:rsidRPr="00D015B2">
        <w:rPr>
          <w:rFonts w:cs="Times New Roman"/>
          <w:i/>
          <w:szCs w:val="24"/>
        </w:rPr>
        <w:t>f</w:t>
      </w:r>
      <w:r w:rsidRPr="00D015B2">
        <w:rPr>
          <w:rFonts w:cs="Times New Roman"/>
          <w:szCs w:val="24"/>
          <w:vertAlign w:val="subscript"/>
        </w:rPr>
        <w:t>eux</w:t>
      </w:r>
      <w:proofErr w:type="spellEnd"/>
      <w:r w:rsidRPr="00D015B2">
        <w:rPr>
          <w:rFonts w:cs="Times New Roman"/>
          <w:szCs w:val="24"/>
        </w:rPr>
        <w:t>) denotes environments where sediments are deposited from highly sulfidic bottom waters ([H</w:t>
      </w:r>
      <w:r w:rsidRPr="00D015B2">
        <w:rPr>
          <w:rFonts w:cs="Times New Roman"/>
          <w:szCs w:val="24"/>
          <w:vertAlign w:val="subscript"/>
        </w:rPr>
        <w:t>2</w:t>
      </w:r>
      <w:r w:rsidRPr="00D015B2">
        <w:rPr>
          <w:rFonts w:cs="Times New Roman"/>
          <w:szCs w:val="24"/>
        </w:rPr>
        <w:t>S]&gt;11μM), and Mo removal from those bottom waters presents minor Mo isotopic fractionation. Mo sinks in modern highly sulfidic environments represent an average isotopic fractionation of ~</w:t>
      </w:r>
      <w:r w:rsidRPr="008C19B6">
        <w:rPr>
          <w:rFonts w:cs="Times New Roman"/>
          <w:szCs w:val="24"/>
        </w:rPr>
        <w:t>0.3 ‰</w:t>
      </w:r>
      <w:r w:rsidR="00A16F7E">
        <w:rPr>
          <w:rFonts w:cs="Times New Roman"/>
          <w:szCs w:val="24"/>
          <w:vertAlign w:val="superscript"/>
        </w:rPr>
        <w:t>23, 30</w:t>
      </w:r>
      <w:r w:rsidRPr="00D015B2">
        <w:rPr>
          <w:rFonts w:cs="Times New Roman"/>
          <w:szCs w:val="24"/>
        </w:rPr>
        <w:t>. The OMZ flux (</w:t>
      </w:r>
      <w:proofErr w:type="spellStart"/>
      <w:r w:rsidRPr="00D015B2">
        <w:rPr>
          <w:rFonts w:cs="Times New Roman"/>
          <w:i/>
          <w:szCs w:val="24"/>
        </w:rPr>
        <w:t>f</w:t>
      </w:r>
      <w:r w:rsidRPr="00D015B2">
        <w:rPr>
          <w:rFonts w:cs="Times New Roman"/>
          <w:szCs w:val="24"/>
          <w:vertAlign w:val="subscript"/>
        </w:rPr>
        <w:t>OMZ</w:t>
      </w:r>
      <w:proofErr w:type="spellEnd"/>
      <w:r w:rsidRPr="00D015B2">
        <w:rPr>
          <w:rFonts w:cs="Times New Roman"/>
          <w:szCs w:val="24"/>
        </w:rPr>
        <w:t>) represents environments with intermediate redox characteristics, ranging from mildly oxygenated to weakly euxinic bottom waters. The OMZ along the continental margin is the primary contributor to this type of Mo sink. Thus, the modern Mo isotopic fractionation value applied here is the statistical average value from continental margin sediments, which is 0.7 ‰</w:t>
      </w:r>
      <w:r w:rsidR="00A16F7E">
        <w:rPr>
          <w:rFonts w:cs="Times New Roman"/>
          <w:szCs w:val="24"/>
          <w:vertAlign w:val="superscript"/>
        </w:rPr>
        <w:t>27</w:t>
      </w:r>
      <w:r w:rsidRPr="00D015B2">
        <w:rPr>
          <w:rFonts w:cs="Times New Roman"/>
          <w:szCs w:val="24"/>
        </w:rPr>
        <w:t xml:space="preserve">. </w:t>
      </w:r>
    </w:p>
    <w:bookmarkEnd w:id="10"/>
    <w:p w14:paraId="1071B1E6" w14:textId="33B9F8B8" w:rsidR="00A900A9" w:rsidRDefault="00000000" w:rsidP="00D85F06">
      <w:pPr>
        <w:spacing w:line="480" w:lineRule="auto"/>
        <w:ind w:firstLine="480"/>
      </w:pPr>
      <w:r w:rsidRPr="00D015B2">
        <w:rPr>
          <w:rFonts w:cs="Times New Roman"/>
          <w:szCs w:val="24"/>
        </w:rPr>
        <w:t>By using these two equations, we can construct a redox evolution curve of seawater with a certain δ</w:t>
      </w:r>
      <w:r w:rsidRPr="00D015B2">
        <w:rPr>
          <w:rFonts w:cs="Times New Roman"/>
          <w:szCs w:val="24"/>
          <w:vertAlign w:val="superscript"/>
        </w:rPr>
        <w:t>98/95</w:t>
      </w:r>
      <w:r w:rsidRPr="00D015B2">
        <w:rPr>
          <w:rFonts w:cs="Times New Roman"/>
          <w:szCs w:val="24"/>
        </w:rPr>
        <w:t>Mo</w:t>
      </w:r>
      <w:r w:rsidRPr="00D015B2">
        <w:rPr>
          <w:rFonts w:cs="Times New Roman"/>
          <w:szCs w:val="24"/>
          <w:vertAlign w:val="subscript"/>
        </w:rPr>
        <w:t>sw</w:t>
      </w:r>
      <w:r w:rsidRPr="00D015B2">
        <w:rPr>
          <w:rFonts w:cs="Times New Roman"/>
          <w:szCs w:val="24"/>
        </w:rPr>
        <w:t xml:space="preserve"> by plotting </w:t>
      </w:r>
      <w:proofErr w:type="spellStart"/>
      <w:r w:rsidRPr="00D015B2">
        <w:rPr>
          <w:rFonts w:cs="Times New Roman"/>
          <w:i/>
          <w:szCs w:val="24"/>
        </w:rPr>
        <w:t>f</w:t>
      </w:r>
      <w:r w:rsidRPr="00D015B2">
        <w:rPr>
          <w:rFonts w:cs="Times New Roman"/>
          <w:szCs w:val="24"/>
          <w:vertAlign w:val="subscript"/>
        </w:rPr>
        <w:t>oxic</w:t>
      </w:r>
      <w:proofErr w:type="spellEnd"/>
      <w:r w:rsidRPr="00D015B2">
        <w:rPr>
          <w:rFonts w:cs="Times New Roman"/>
          <w:szCs w:val="24"/>
        </w:rPr>
        <w:t>/(</w:t>
      </w:r>
      <w:proofErr w:type="spellStart"/>
      <w:r w:rsidRPr="00D015B2">
        <w:rPr>
          <w:rFonts w:cs="Times New Roman"/>
          <w:i/>
          <w:szCs w:val="24"/>
        </w:rPr>
        <w:t>f</w:t>
      </w:r>
      <w:r w:rsidRPr="00D015B2">
        <w:rPr>
          <w:rFonts w:cs="Times New Roman"/>
          <w:szCs w:val="24"/>
          <w:vertAlign w:val="subscript"/>
        </w:rPr>
        <w:t>oxic</w:t>
      </w:r>
      <w:r w:rsidRPr="00D015B2">
        <w:rPr>
          <w:rFonts w:cs="Times New Roman"/>
          <w:szCs w:val="24"/>
        </w:rPr>
        <w:t>+</w:t>
      </w:r>
      <w:r w:rsidRPr="00D015B2">
        <w:rPr>
          <w:rFonts w:cs="Times New Roman"/>
          <w:i/>
          <w:szCs w:val="24"/>
        </w:rPr>
        <w:t>f</w:t>
      </w:r>
      <w:r w:rsidRPr="00D015B2">
        <w:rPr>
          <w:rFonts w:cs="Times New Roman"/>
          <w:szCs w:val="24"/>
          <w:vertAlign w:val="subscript"/>
        </w:rPr>
        <w:t>OMZ</w:t>
      </w:r>
      <w:proofErr w:type="spellEnd"/>
      <w:r w:rsidRPr="00D015B2">
        <w:rPr>
          <w:rFonts w:cs="Times New Roman"/>
          <w:szCs w:val="24"/>
        </w:rPr>
        <w:t xml:space="preserve">) vs. </w:t>
      </w:r>
      <w:proofErr w:type="spellStart"/>
      <w:r w:rsidRPr="00D015B2">
        <w:rPr>
          <w:rFonts w:cs="Times New Roman"/>
          <w:i/>
          <w:szCs w:val="24"/>
        </w:rPr>
        <w:t>f</w:t>
      </w:r>
      <w:r w:rsidRPr="00D015B2">
        <w:rPr>
          <w:rFonts w:cs="Times New Roman"/>
          <w:szCs w:val="24"/>
          <w:vertAlign w:val="subscript"/>
        </w:rPr>
        <w:t>eux</w:t>
      </w:r>
      <w:proofErr w:type="spellEnd"/>
      <w:r w:rsidRPr="00D015B2">
        <w:rPr>
          <w:rFonts w:cs="Times New Roman"/>
          <w:szCs w:val="24"/>
        </w:rPr>
        <w:t xml:space="preserve"> (Fig.S8</w:t>
      </w:r>
      <w:r w:rsidR="007806D2">
        <w:rPr>
          <w:rFonts w:cs="Times New Roman"/>
          <w:szCs w:val="24"/>
        </w:rPr>
        <w:t xml:space="preserve"> </w:t>
      </w:r>
      <w:r w:rsidRPr="00D015B2">
        <w:rPr>
          <w:rFonts w:cs="Times New Roman"/>
          <w:szCs w:val="24"/>
        </w:rPr>
        <w:t xml:space="preserve">A). The estimated </w:t>
      </w:r>
      <w:proofErr w:type="spellStart"/>
      <w:r w:rsidRPr="00D015B2">
        <w:rPr>
          <w:rFonts w:cs="Times New Roman"/>
          <w:i/>
          <w:szCs w:val="24"/>
        </w:rPr>
        <w:t>f</w:t>
      </w:r>
      <w:r w:rsidRPr="00D015B2">
        <w:rPr>
          <w:rFonts w:cs="Times New Roman"/>
          <w:szCs w:val="24"/>
          <w:vertAlign w:val="subscript"/>
        </w:rPr>
        <w:t>eux</w:t>
      </w:r>
      <w:proofErr w:type="spellEnd"/>
      <w:r w:rsidRPr="00D015B2">
        <w:rPr>
          <w:rFonts w:cs="Times New Roman"/>
          <w:szCs w:val="24"/>
        </w:rPr>
        <w:t xml:space="preserve"> for the modern ocean is approximately 6–15</w:t>
      </w:r>
      <w:r w:rsidR="00B2614B">
        <w:rPr>
          <w:rFonts w:cs="Times New Roman"/>
          <w:szCs w:val="24"/>
        </w:rPr>
        <w:t xml:space="preserve"> </w:t>
      </w:r>
      <w:r w:rsidRPr="00D015B2">
        <w:rPr>
          <w:rFonts w:cs="Times New Roman"/>
          <w:szCs w:val="24"/>
        </w:rPr>
        <w:t>%</w:t>
      </w:r>
      <w:r w:rsidR="008C19B6" w:rsidRPr="008C19B6">
        <w:rPr>
          <w:rFonts w:cs="Times New Roman"/>
          <w:szCs w:val="24"/>
          <w:vertAlign w:val="superscript"/>
        </w:rPr>
        <w:t>18,</w:t>
      </w:r>
      <w:r w:rsidR="008C19B6">
        <w:rPr>
          <w:rFonts w:cs="Times New Roman"/>
          <w:szCs w:val="24"/>
          <w:vertAlign w:val="superscript"/>
        </w:rPr>
        <w:t xml:space="preserve"> </w:t>
      </w:r>
      <w:r w:rsidR="00A16F7E">
        <w:rPr>
          <w:rFonts w:cs="Times New Roman"/>
          <w:szCs w:val="24"/>
          <w:vertAlign w:val="superscript"/>
        </w:rPr>
        <w:t>23</w:t>
      </w:r>
      <w:r w:rsidRPr="00D015B2">
        <w:rPr>
          <w:rFonts w:cs="Times New Roman"/>
          <w:szCs w:val="24"/>
        </w:rPr>
        <w:t>. Therefore, the shaded area in Fig.S8</w:t>
      </w:r>
      <w:r w:rsidR="007806D2">
        <w:rPr>
          <w:rFonts w:cs="Times New Roman"/>
          <w:szCs w:val="24"/>
        </w:rPr>
        <w:t xml:space="preserve"> </w:t>
      </w:r>
      <w:r w:rsidRPr="00D015B2">
        <w:rPr>
          <w:rFonts w:cs="Times New Roman"/>
          <w:szCs w:val="24"/>
        </w:rPr>
        <w:t xml:space="preserve">A can represent the relative redox proportions in the modern ocean, where </w:t>
      </w:r>
      <w:proofErr w:type="spellStart"/>
      <w:r w:rsidRPr="00D015B2">
        <w:rPr>
          <w:rFonts w:cs="Times New Roman"/>
          <w:i/>
          <w:szCs w:val="24"/>
        </w:rPr>
        <w:t>f</w:t>
      </w:r>
      <w:r w:rsidRPr="00D015B2">
        <w:rPr>
          <w:rFonts w:cs="Times New Roman"/>
          <w:szCs w:val="24"/>
          <w:vertAlign w:val="subscript"/>
        </w:rPr>
        <w:t>oxic</w:t>
      </w:r>
      <w:proofErr w:type="spellEnd"/>
      <w:r>
        <w:rPr>
          <w:rFonts w:cs="Times New Roman"/>
          <w:szCs w:val="24"/>
          <w:vertAlign w:val="subscript"/>
        </w:rPr>
        <w:t xml:space="preserve"> </w:t>
      </w:r>
      <w:r w:rsidRPr="00D015B2">
        <w:rPr>
          <w:rFonts w:cs="Times New Roman"/>
          <w:szCs w:val="24"/>
        </w:rPr>
        <w:t>=</w:t>
      </w:r>
      <w:r>
        <w:rPr>
          <w:rFonts w:cs="Times New Roman"/>
          <w:szCs w:val="24"/>
        </w:rPr>
        <w:t xml:space="preserve"> </w:t>
      </w:r>
      <w:r w:rsidRPr="00D015B2">
        <w:rPr>
          <w:rFonts w:cs="Times New Roman"/>
          <w:szCs w:val="24"/>
        </w:rPr>
        <w:t>0.48–0.50 %</w:t>
      </w:r>
      <w:r w:rsidR="00B2614B">
        <w:rPr>
          <w:rFonts w:cs="Times New Roman"/>
          <w:szCs w:val="24"/>
        </w:rPr>
        <w:t xml:space="preserve"> </w:t>
      </w:r>
      <w:r w:rsidRPr="00D015B2">
        <w:rPr>
          <w:rFonts w:cs="Times New Roman"/>
          <w:szCs w:val="24"/>
        </w:rPr>
        <w:t xml:space="preserve">and </w:t>
      </w:r>
      <w:proofErr w:type="spellStart"/>
      <w:r w:rsidRPr="00D015B2">
        <w:rPr>
          <w:rFonts w:cs="Times New Roman"/>
          <w:i/>
          <w:szCs w:val="24"/>
        </w:rPr>
        <w:t>f</w:t>
      </w:r>
      <w:r w:rsidRPr="00D015B2">
        <w:rPr>
          <w:rFonts w:cs="Times New Roman"/>
          <w:szCs w:val="24"/>
          <w:vertAlign w:val="subscript"/>
        </w:rPr>
        <w:t>OMZ</w:t>
      </w:r>
      <w:proofErr w:type="spellEnd"/>
      <w:r>
        <w:rPr>
          <w:rFonts w:cs="Times New Roman"/>
          <w:szCs w:val="24"/>
          <w:vertAlign w:val="subscript"/>
        </w:rPr>
        <w:t xml:space="preserve"> </w:t>
      </w:r>
      <w:r w:rsidRPr="00D015B2">
        <w:rPr>
          <w:rFonts w:cs="Times New Roman"/>
          <w:szCs w:val="24"/>
        </w:rPr>
        <w:t>=</w:t>
      </w:r>
      <w:r>
        <w:rPr>
          <w:rFonts w:cs="Times New Roman"/>
          <w:szCs w:val="24"/>
        </w:rPr>
        <w:t xml:space="preserve"> </w:t>
      </w:r>
      <w:r w:rsidRPr="00D015B2">
        <w:rPr>
          <w:rFonts w:cs="Times New Roman"/>
          <w:szCs w:val="24"/>
        </w:rPr>
        <w:t>0.35–0.46</w:t>
      </w:r>
      <w:r>
        <w:rPr>
          <w:rFonts w:cs="Times New Roman"/>
          <w:szCs w:val="24"/>
        </w:rPr>
        <w:t xml:space="preserve"> </w:t>
      </w:r>
      <w:r w:rsidRPr="00D015B2">
        <w:rPr>
          <w:rFonts w:cs="Times New Roman"/>
          <w:szCs w:val="24"/>
        </w:rPr>
        <w:t xml:space="preserve">%. </w:t>
      </w:r>
      <w:r w:rsidRPr="00D015B2">
        <w:t>This model indicated that the δ</w:t>
      </w:r>
      <w:r w:rsidRPr="00D015B2">
        <w:rPr>
          <w:vertAlign w:val="superscript"/>
        </w:rPr>
        <w:t>98/95</w:t>
      </w:r>
      <w:r w:rsidRPr="00D015B2">
        <w:t>Mo</w:t>
      </w:r>
      <w:r w:rsidRPr="00D015B2">
        <w:rPr>
          <w:vertAlign w:val="subscript"/>
        </w:rPr>
        <w:t>sw</w:t>
      </w:r>
      <w:r w:rsidRPr="00D015B2">
        <w:t xml:space="preserve"> variation </w:t>
      </w:r>
      <w:r>
        <w:t>can be</w:t>
      </w:r>
      <w:r w:rsidRPr="00D015B2">
        <w:t xml:space="preserve"> influenced by </w:t>
      </w:r>
      <w:r>
        <w:t>three</w:t>
      </w:r>
      <w:r w:rsidRPr="00D015B2">
        <w:t xml:space="preserve"> factors: (1) variations in </w:t>
      </w:r>
      <w:proofErr w:type="spellStart"/>
      <w:r w:rsidRPr="00D015B2">
        <w:rPr>
          <w:i/>
        </w:rPr>
        <w:t>f</w:t>
      </w:r>
      <w:r w:rsidRPr="00D015B2">
        <w:rPr>
          <w:vertAlign w:val="subscript"/>
        </w:rPr>
        <w:t>oxic</w:t>
      </w:r>
      <w:proofErr w:type="spellEnd"/>
      <w:r w:rsidRPr="00D015B2">
        <w:rPr>
          <w:i/>
        </w:rPr>
        <w:t xml:space="preserve">, </w:t>
      </w:r>
      <w:proofErr w:type="spellStart"/>
      <w:r w:rsidRPr="00D015B2">
        <w:rPr>
          <w:i/>
        </w:rPr>
        <w:t>f</w:t>
      </w:r>
      <w:r w:rsidRPr="00D015B2">
        <w:rPr>
          <w:vertAlign w:val="subscript"/>
        </w:rPr>
        <w:t>OMZ</w:t>
      </w:r>
      <w:proofErr w:type="spellEnd"/>
      <w:r w:rsidRPr="00D015B2">
        <w:t>, and</w:t>
      </w:r>
      <w:r w:rsidRPr="00D015B2">
        <w:rPr>
          <w:i/>
        </w:rPr>
        <w:t xml:space="preserve"> </w:t>
      </w:r>
      <w:proofErr w:type="spellStart"/>
      <w:r w:rsidRPr="00D015B2">
        <w:rPr>
          <w:i/>
        </w:rPr>
        <w:t>f</w:t>
      </w:r>
      <w:r w:rsidRPr="00D015B2">
        <w:rPr>
          <w:vertAlign w:val="subscript"/>
        </w:rPr>
        <w:t>eux</w:t>
      </w:r>
      <w:proofErr w:type="spellEnd"/>
      <w:r w:rsidRPr="00D015B2">
        <w:t xml:space="preserve"> values; </w:t>
      </w:r>
      <w:r w:rsidRPr="00D015B2">
        <w:lastRenderedPageBreak/>
        <w:t xml:space="preserve">(2) changes in </w:t>
      </w:r>
      <w:r w:rsidRPr="00D015B2">
        <w:rPr>
          <w:rFonts w:cs="Times New Roman"/>
          <w:szCs w:val="24"/>
        </w:rPr>
        <w:t>∆</w:t>
      </w:r>
      <w:r w:rsidRPr="00D015B2">
        <w:rPr>
          <w:rFonts w:cs="Times New Roman"/>
          <w:szCs w:val="24"/>
          <w:vertAlign w:val="superscript"/>
        </w:rPr>
        <w:t>98/95</w:t>
      </w:r>
      <w:r w:rsidRPr="00D015B2">
        <w:rPr>
          <w:rFonts w:cs="Times New Roman"/>
          <w:szCs w:val="24"/>
        </w:rPr>
        <w:t>Mo</w:t>
      </w:r>
      <w:r w:rsidRPr="00D015B2">
        <w:rPr>
          <w:rFonts w:cs="Times New Roman"/>
          <w:szCs w:val="24"/>
          <w:vertAlign w:val="subscript"/>
        </w:rPr>
        <w:t>sw-oxic</w:t>
      </w:r>
      <w:r w:rsidRPr="00D015B2">
        <w:rPr>
          <w:rFonts w:cs="Times New Roman"/>
          <w:szCs w:val="24"/>
        </w:rPr>
        <w:t>, ∆</w:t>
      </w:r>
      <w:r w:rsidRPr="00D015B2">
        <w:rPr>
          <w:rFonts w:cs="Times New Roman"/>
          <w:szCs w:val="24"/>
          <w:vertAlign w:val="superscript"/>
        </w:rPr>
        <w:t>98/95</w:t>
      </w:r>
      <w:r w:rsidRPr="00D015B2">
        <w:rPr>
          <w:rFonts w:cs="Times New Roman"/>
          <w:szCs w:val="24"/>
        </w:rPr>
        <w:t>Mo</w:t>
      </w:r>
      <w:r w:rsidRPr="00D015B2">
        <w:rPr>
          <w:rFonts w:cs="Times New Roman"/>
          <w:szCs w:val="24"/>
          <w:vertAlign w:val="subscript"/>
        </w:rPr>
        <w:t>sw-OMZ</w:t>
      </w:r>
      <w:r w:rsidRPr="00D015B2">
        <w:rPr>
          <w:rFonts w:cs="Times New Roman"/>
          <w:szCs w:val="24"/>
        </w:rPr>
        <w:t>, and ∆</w:t>
      </w:r>
      <w:r w:rsidRPr="00D015B2">
        <w:rPr>
          <w:rFonts w:cs="Times New Roman"/>
          <w:szCs w:val="24"/>
          <w:vertAlign w:val="superscript"/>
        </w:rPr>
        <w:t>98/95</w:t>
      </w:r>
      <w:r w:rsidRPr="00D015B2">
        <w:rPr>
          <w:rFonts w:cs="Times New Roman"/>
          <w:szCs w:val="24"/>
        </w:rPr>
        <w:t>Mo</w:t>
      </w:r>
      <w:r w:rsidRPr="00D015B2">
        <w:rPr>
          <w:rFonts w:cs="Times New Roman"/>
          <w:szCs w:val="24"/>
          <w:vertAlign w:val="subscript"/>
        </w:rPr>
        <w:t>sw-eux</w:t>
      </w:r>
      <w:r w:rsidRPr="00D015B2">
        <w:rPr>
          <w:rFonts w:cs="Times New Roman"/>
          <w:szCs w:val="24"/>
        </w:rPr>
        <w:t xml:space="preserve">; </w:t>
      </w:r>
      <w:r w:rsidRPr="00D015B2">
        <w:rPr>
          <w:rFonts w:cs="Times New Roman"/>
        </w:rPr>
        <w:t xml:space="preserve">and </w:t>
      </w:r>
      <w:r w:rsidRPr="00D015B2">
        <w:t>(3) alterations in δ</w:t>
      </w:r>
      <w:r w:rsidRPr="00D015B2">
        <w:rPr>
          <w:vertAlign w:val="superscript"/>
        </w:rPr>
        <w:t>98/95</w:t>
      </w:r>
      <w:r w:rsidRPr="00D015B2">
        <w:t>Mo</w:t>
      </w:r>
      <w:r w:rsidRPr="00D015B2">
        <w:rPr>
          <w:vertAlign w:val="subscript"/>
        </w:rPr>
        <w:t>river</w:t>
      </w:r>
      <w:r w:rsidRPr="00D015B2">
        <w:t xml:space="preserve">. </w:t>
      </w:r>
    </w:p>
    <w:p w14:paraId="74C27A0D" w14:textId="77777777" w:rsidR="00BC2B21" w:rsidRPr="00D015B2" w:rsidRDefault="00000000" w:rsidP="00D85F06">
      <w:pPr>
        <w:spacing w:line="480" w:lineRule="auto"/>
        <w:ind w:firstLine="480"/>
      </w:pPr>
      <w:r w:rsidRPr="00D015B2">
        <w:t xml:space="preserve">As discussed in the main article, the decline in </w:t>
      </w:r>
      <w:r w:rsidRPr="00D015B2">
        <w:rPr>
          <w:rFonts w:cs="Times New Roman"/>
        </w:rPr>
        <w:t>δ</w:t>
      </w:r>
      <w:r w:rsidRPr="00D015B2">
        <w:rPr>
          <w:vertAlign w:val="superscript"/>
        </w:rPr>
        <w:t>98/95</w:t>
      </w:r>
      <w:r w:rsidRPr="00D015B2">
        <w:t>Mo during the early Eocene may be attributed to two scenarios. One scenario involves shrinkage of the OMZ Mo sinks (</w:t>
      </w:r>
      <w:proofErr w:type="spellStart"/>
      <w:r w:rsidRPr="00D015B2">
        <w:rPr>
          <w:rFonts w:cs="Times New Roman"/>
          <w:i/>
          <w:szCs w:val="24"/>
        </w:rPr>
        <w:t>f</w:t>
      </w:r>
      <w:r w:rsidRPr="00D015B2">
        <w:rPr>
          <w:rFonts w:cs="Times New Roman"/>
          <w:szCs w:val="24"/>
          <w:vertAlign w:val="subscript"/>
        </w:rPr>
        <w:t>OMZ</w:t>
      </w:r>
      <w:proofErr w:type="spellEnd"/>
      <w:r w:rsidRPr="00D015B2">
        <w:rPr>
          <w:rFonts w:cs="Times New Roman"/>
          <w:szCs w:val="24"/>
        </w:rPr>
        <w:t>),</w:t>
      </w:r>
      <w:r w:rsidRPr="00D015B2">
        <w:t xml:space="preserve"> and the other involves changes in the </w:t>
      </w:r>
      <w:r w:rsidRPr="00D015B2">
        <w:rPr>
          <w:rFonts w:cs="Times New Roman"/>
          <w:szCs w:val="24"/>
        </w:rPr>
        <w:t>∆</w:t>
      </w:r>
      <w:r w:rsidRPr="00D015B2">
        <w:rPr>
          <w:rFonts w:cs="Times New Roman"/>
          <w:szCs w:val="24"/>
          <w:vertAlign w:val="superscript"/>
        </w:rPr>
        <w:t>98/95</w:t>
      </w:r>
      <w:r w:rsidRPr="00D015B2">
        <w:rPr>
          <w:rFonts w:cs="Times New Roman"/>
          <w:szCs w:val="24"/>
        </w:rPr>
        <w:t>Mo</w:t>
      </w:r>
      <w:r w:rsidRPr="00D015B2">
        <w:rPr>
          <w:rFonts w:cs="Times New Roman"/>
          <w:szCs w:val="24"/>
          <w:vertAlign w:val="subscript"/>
        </w:rPr>
        <w:t>sw-OMZ</w:t>
      </w:r>
      <w:r w:rsidRPr="00D015B2">
        <w:rPr>
          <w:rFonts w:cs="Times New Roman"/>
          <w:szCs w:val="24"/>
        </w:rPr>
        <w:t xml:space="preserve">. Here, we conduct a quantitative analysis to explore the feasibility of these two scenarios. </w:t>
      </w:r>
    </w:p>
    <w:p w14:paraId="63D13916" w14:textId="77777777" w:rsidR="00BC2B21" w:rsidRPr="00D015B2" w:rsidRDefault="00000000" w:rsidP="00D85F06">
      <w:pPr>
        <w:spacing w:line="480" w:lineRule="auto"/>
        <w:ind w:firstLineChars="0" w:firstLine="0"/>
      </w:pPr>
      <w:r w:rsidRPr="00D015B2">
        <w:t xml:space="preserve">Scenario 1: </w:t>
      </w:r>
      <w:r w:rsidRPr="00D015B2">
        <w:rPr>
          <w:i/>
        </w:rPr>
        <w:t>Caused by shrinkage of the OMZ Mo sinks.</w:t>
      </w:r>
    </w:p>
    <w:p w14:paraId="6C87DE47" w14:textId="6BF0565F" w:rsidR="00BC2B21" w:rsidRPr="00D015B2" w:rsidRDefault="00000000" w:rsidP="00D85F06">
      <w:pPr>
        <w:spacing w:line="480" w:lineRule="auto"/>
        <w:ind w:firstLineChars="0" w:firstLine="420"/>
      </w:pPr>
      <w:r w:rsidRPr="00D015B2">
        <w:rPr>
          <w:rFonts w:cs="Times New Roman"/>
          <w:szCs w:val="24"/>
        </w:rPr>
        <w:t>As mentioned previously, the ∆</w:t>
      </w:r>
      <w:r w:rsidRPr="00D015B2">
        <w:rPr>
          <w:rFonts w:cs="Times New Roman"/>
          <w:szCs w:val="24"/>
          <w:vertAlign w:val="superscript"/>
        </w:rPr>
        <w:t>98/95</w:t>
      </w:r>
      <w:r w:rsidRPr="00D015B2">
        <w:rPr>
          <w:rFonts w:cs="Times New Roman"/>
          <w:szCs w:val="24"/>
        </w:rPr>
        <w:t>Mo</w:t>
      </w:r>
      <w:r w:rsidRPr="00D015B2">
        <w:rPr>
          <w:rFonts w:cs="Times New Roman"/>
          <w:szCs w:val="24"/>
          <w:vertAlign w:val="subscript"/>
        </w:rPr>
        <w:t>sw-OMZ</w:t>
      </w:r>
      <w:r w:rsidRPr="00D015B2">
        <w:rPr>
          <w:rFonts w:cs="Times New Roman"/>
          <w:szCs w:val="24"/>
        </w:rPr>
        <w:t xml:space="preserve"> was lower than ∆</w:t>
      </w:r>
      <w:r w:rsidRPr="00D015B2">
        <w:rPr>
          <w:rFonts w:cs="Times New Roman"/>
          <w:szCs w:val="24"/>
          <w:vertAlign w:val="superscript"/>
        </w:rPr>
        <w:t>98/95</w:t>
      </w:r>
      <w:r w:rsidRPr="00D015B2">
        <w:rPr>
          <w:rFonts w:cs="Times New Roman"/>
          <w:szCs w:val="24"/>
        </w:rPr>
        <w:t>Mo</w:t>
      </w:r>
      <w:r w:rsidRPr="00D015B2">
        <w:rPr>
          <w:rFonts w:cs="Times New Roman"/>
          <w:szCs w:val="24"/>
          <w:vertAlign w:val="subscript"/>
        </w:rPr>
        <w:t>sw-oxic</w:t>
      </w:r>
      <w:r w:rsidRPr="00D015B2">
        <w:rPr>
          <w:rFonts w:cs="Times New Roman"/>
          <w:szCs w:val="24"/>
        </w:rPr>
        <w:t xml:space="preserve"> and higher than ∆</w:t>
      </w:r>
      <w:r w:rsidRPr="00D015B2">
        <w:rPr>
          <w:rFonts w:cs="Times New Roman"/>
          <w:szCs w:val="24"/>
          <w:vertAlign w:val="superscript"/>
        </w:rPr>
        <w:t>98/95</w:t>
      </w:r>
      <w:r w:rsidRPr="00D015B2">
        <w:rPr>
          <w:rFonts w:cs="Times New Roman"/>
          <w:szCs w:val="24"/>
        </w:rPr>
        <w:t>Mo</w:t>
      </w:r>
      <w:r w:rsidRPr="00D015B2">
        <w:rPr>
          <w:rFonts w:cs="Times New Roman"/>
          <w:szCs w:val="24"/>
          <w:vertAlign w:val="subscript"/>
        </w:rPr>
        <w:t>sw-eux</w:t>
      </w:r>
      <w:r w:rsidRPr="00D015B2">
        <w:rPr>
          <w:rFonts w:cs="Times New Roman"/>
          <w:szCs w:val="24"/>
        </w:rPr>
        <w:t xml:space="preserve">. Therefore, if the shrinkage of OMZ Mo sinks caused the seawater </w:t>
      </w:r>
      <w:r w:rsidRPr="003A5E39">
        <w:rPr>
          <w:rFonts w:cs="Times New Roman"/>
          <w:szCs w:val="24"/>
        </w:rPr>
        <w:t>δ</w:t>
      </w:r>
      <w:r w:rsidRPr="00D015B2">
        <w:rPr>
          <w:rFonts w:cs="Times New Roman"/>
          <w:szCs w:val="24"/>
          <w:vertAlign w:val="superscript"/>
        </w:rPr>
        <w:t>98/95</w:t>
      </w:r>
      <w:r w:rsidRPr="00D015B2">
        <w:rPr>
          <w:rFonts w:cs="Times New Roman"/>
          <w:szCs w:val="24"/>
        </w:rPr>
        <w:t>Mo decline</w:t>
      </w:r>
      <w:r w:rsidRPr="00D015B2">
        <w:t xml:space="preserve">, the only possible scenario would involve the conversion of OMZ Mo sinks to euxinic Mo sinks, </w:t>
      </w:r>
      <w:r w:rsidRPr="00D015B2">
        <w:rPr>
          <w:rFonts w:cs="Times New Roman"/>
        </w:rPr>
        <w:t xml:space="preserve">while any increase in </w:t>
      </w:r>
      <w:proofErr w:type="spellStart"/>
      <w:r w:rsidRPr="00D015B2">
        <w:t>oxic</w:t>
      </w:r>
      <w:proofErr w:type="spellEnd"/>
      <w:r w:rsidRPr="00D015B2">
        <w:t xml:space="preserve"> Mo sinks would result in higher seawater δ</w:t>
      </w:r>
      <w:r w:rsidRPr="00D015B2">
        <w:rPr>
          <w:vertAlign w:val="superscript"/>
        </w:rPr>
        <w:t>98/95</w:t>
      </w:r>
      <w:r w:rsidRPr="00D015B2">
        <w:t xml:space="preserve">Mo. </w:t>
      </w:r>
      <w:r w:rsidRPr="00D015B2">
        <w:rPr>
          <w:rFonts w:cs="Times New Roman"/>
          <w:szCs w:val="24"/>
        </w:rPr>
        <w:t xml:space="preserve">After 36.7 Ma, </w:t>
      </w:r>
      <w:r w:rsidR="00A900A9">
        <w:rPr>
          <w:rFonts w:cs="Times New Roman"/>
          <w:szCs w:val="24"/>
        </w:rPr>
        <w:t>b</w:t>
      </w:r>
      <w:r w:rsidRPr="00D015B2">
        <w:rPr>
          <w:rFonts w:cs="Times New Roman"/>
          <w:szCs w:val="24"/>
        </w:rPr>
        <w:t xml:space="preserve">ased on the average seawater </w:t>
      </w:r>
      <w:r w:rsidRPr="00D015B2">
        <w:t>δ</w:t>
      </w:r>
      <w:r w:rsidRPr="00D015B2">
        <w:rPr>
          <w:vertAlign w:val="superscript"/>
        </w:rPr>
        <w:t>98/95</w:t>
      </w:r>
      <w:r w:rsidRPr="00D015B2">
        <w:t>Mo of ~2.34 ‰, which is consistent with that of modern seawater, we assumed that the marine redox state after 36.7 Ma is comparable to that of the contemporary ocean. T</w:t>
      </w:r>
      <w:r w:rsidRPr="00D015B2">
        <w:rPr>
          <w:rFonts w:cs="Times New Roman"/>
          <w:szCs w:val="24"/>
        </w:rPr>
        <w:t xml:space="preserve">herefore, the maximum decrease in </w:t>
      </w:r>
      <w:proofErr w:type="spellStart"/>
      <w:r w:rsidRPr="00D015B2">
        <w:rPr>
          <w:rFonts w:cs="Times New Roman"/>
          <w:i/>
          <w:szCs w:val="24"/>
        </w:rPr>
        <w:t>f</w:t>
      </w:r>
      <w:r w:rsidRPr="00D015B2">
        <w:rPr>
          <w:rFonts w:cs="Times New Roman"/>
          <w:szCs w:val="24"/>
          <w:vertAlign w:val="subscript"/>
        </w:rPr>
        <w:t>OMZ</w:t>
      </w:r>
      <w:proofErr w:type="spellEnd"/>
      <w:r w:rsidRPr="00D015B2">
        <w:rPr>
          <w:rFonts w:cs="Times New Roman"/>
          <w:szCs w:val="24"/>
        </w:rPr>
        <w:t xml:space="preserve"> from 53 Ma to 36.7 Ma will be from 6–15</w:t>
      </w:r>
      <w:r w:rsidR="00B2614B">
        <w:rPr>
          <w:rFonts w:cs="Times New Roman"/>
          <w:szCs w:val="24"/>
        </w:rPr>
        <w:t xml:space="preserve"> </w:t>
      </w:r>
      <w:r w:rsidRPr="00D015B2">
        <w:rPr>
          <w:rFonts w:cs="Times New Roman"/>
          <w:szCs w:val="24"/>
        </w:rPr>
        <w:t xml:space="preserve">%. Thus, the </w:t>
      </w:r>
      <w:proofErr w:type="spellStart"/>
      <w:r w:rsidRPr="00D015B2">
        <w:rPr>
          <w:rFonts w:cs="Times New Roman"/>
          <w:i/>
          <w:szCs w:val="24"/>
        </w:rPr>
        <w:t>f</w:t>
      </w:r>
      <w:r w:rsidRPr="00D015B2">
        <w:rPr>
          <w:rFonts w:cs="Times New Roman"/>
          <w:szCs w:val="24"/>
          <w:vertAlign w:val="subscript"/>
        </w:rPr>
        <w:t>OMZ</w:t>
      </w:r>
      <w:proofErr w:type="spellEnd"/>
      <w:r w:rsidRPr="00D015B2">
        <w:rPr>
          <w:rFonts w:cs="Times New Roman"/>
          <w:szCs w:val="24"/>
        </w:rPr>
        <w:t xml:space="preserve"> before 53 Ma may range from 41</w:t>
      </w:r>
      <w:r w:rsidR="00B2614B">
        <w:rPr>
          <w:rFonts w:cs="Times New Roman"/>
          <w:szCs w:val="24"/>
        </w:rPr>
        <w:t xml:space="preserve"> </w:t>
      </w:r>
      <w:r w:rsidRPr="00D015B2">
        <w:rPr>
          <w:rFonts w:cs="Times New Roman"/>
          <w:szCs w:val="24"/>
        </w:rPr>
        <w:t>% to 50</w:t>
      </w:r>
      <w:r w:rsidR="00B2614B">
        <w:rPr>
          <w:rFonts w:cs="Times New Roman"/>
          <w:szCs w:val="24"/>
        </w:rPr>
        <w:t xml:space="preserve"> </w:t>
      </w:r>
      <w:r w:rsidRPr="00D015B2">
        <w:rPr>
          <w:rFonts w:cs="Times New Roman"/>
          <w:szCs w:val="24"/>
        </w:rPr>
        <w:t xml:space="preserve">%. By substituting </w:t>
      </w:r>
      <w:proofErr w:type="spellStart"/>
      <w:r w:rsidRPr="00D015B2">
        <w:rPr>
          <w:i/>
        </w:rPr>
        <w:t>f</w:t>
      </w:r>
      <w:r w:rsidRPr="00D015B2">
        <w:rPr>
          <w:vertAlign w:val="subscript"/>
        </w:rPr>
        <w:t>eux</w:t>
      </w:r>
      <w:proofErr w:type="spellEnd"/>
      <w:r w:rsidRPr="00D015B2">
        <w:rPr>
          <w:rFonts w:cs="Times New Roman"/>
          <w:szCs w:val="24"/>
        </w:rPr>
        <w:t>=</w:t>
      </w:r>
      <w:r w:rsidR="00A900A9">
        <w:rPr>
          <w:rFonts w:cs="Times New Roman"/>
          <w:szCs w:val="24"/>
        </w:rPr>
        <w:t xml:space="preserve"> </w:t>
      </w:r>
      <w:r w:rsidRPr="00D015B2">
        <w:rPr>
          <w:rFonts w:cs="Times New Roman"/>
          <w:szCs w:val="24"/>
        </w:rPr>
        <w:t xml:space="preserve">0 and this range of </w:t>
      </w:r>
      <w:proofErr w:type="spellStart"/>
      <w:r w:rsidRPr="00D015B2">
        <w:rPr>
          <w:rFonts w:cs="Times New Roman"/>
          <w:i/>
          <w:szCs w:val="24"/>
        </w:rPr>
        <w:t>f</w:t>
      </w:r>
      <w:r w:rsidRPr="00D015B2">
        <w:rPr>
          <w:rFonts w:cs="Times New Roman"/>
          <w:szCs w:val="24"/>
          <w:vertAlign w:val="subscript"/>
        </w:rPr>
        <w:t>OMZ</w:t>
      </w:r>
      <w:proofErr w:type="spellEnd"/>
      <w:r w:rsidRPr="00D015B2">
        <w:rPr>
          <w:rFonts w:cs="Times New Roman"/>
          <w:szCs w:val="24"/>
        </w:rPr>
        <w:t xml:space="preserve"> into equations 1 and 2, the calculated seawater δ</w:t>
      </w:r>
      <w:r w:rsidRPr="00D015B2">
        <w:rPr>
          <w:rFonts w:cs="Times New Roman"/>
          <w:szCs w:val="24"/>
          <w:vertAlign w:val="superscript"/>
        </w:rPr>
        <w:t>98/95</w:t>
      </w:r>
      <w:r w:rsidRPr="00D015B2">
        <w:rPr>
          <w:rFonts w:cs="Times New Roman"/>
          <w:szCs w:val="24"/>
        </w:rPr>
        <w:t>Mo</w:t>
      </w:r>
      <w:r w:rsidRPr="00D015B2">
        <w:rPr>
          <w:rFonts w:cs="Times New Roman"/>
          <w:szCs w:val="24"/>
          <w:vertAlign w:val="subscript"/>
        </w:rPr>
        <w:t>sw</w:t>
      </w:r>
      <w:r w:rsidRPr="00D015B2">
        <w:rPr>
          <w:rFonts w:cs="Times New Roman"/>
          <w:szCs w:val="24"/>
        </w:rPr>
        <w:t xml:space="preserve"> ranges from 2.36</w:t>
      </w:r>
      <w:r w:rsidR="00A900A9">
        <w:rPr>
          <w:rFonts w:cs="Times New Roman"/>
          <w:szCs w:val="24"/>
        </w:rPr>
        <w:t xml:space="preserve"> </w:t>
      </w:r>
      <w:r w:rsidRPr="00D015B2">
        <w:rPr>
          <w:rFonts w:cs="Times New Roman"/>
          <w:szCs w:val="24"/>
        </w:rPr>
        <w:t>–2.39 ‰ (Fig.S8</w:t>
      </w:r>
      <w:r w:rsidR="007806D2">
        <w:rPr>
          <w:rFonts w:cs="Times New Roman"/>
          <w:szCs w:val="24"/>
        </w:rPr>
        <w:t xml:space="preserve"> </w:t>
      </w:r>
      <w:r w:rsidRPr="00D015B2">
        <w:rPr>
          <w:rFonts w:cs="Times New Roman"/>
          <w:szCs w:val="24"/>
        </w:rPr>
        <w:t xml:space="preserve">B), which is considerably lower than the </w:t>
      </w:r>
      <w:r w:rsidR="00A900A9">
        <w:rPr>
          <w:rFonts w:cs="Times New Roman"/>
          <w:szCs w:val="24"/>
        </w:rPr>
        <w:t>estimated</w:t>
      </w:r>
      <w:r w:rsidRPr="00D015B2">
        <w:rPr>
          <w:rFonts w:cs="Times New Roman"/>
          <w:szCs w:val="24"/>
        </w:rPr>
        <w:t xml:space="preserve"> values from Fe-Mn crust (~2.80 ‰). The simulation results clearly indicate that the shrinkage of the OMZ Mo sinks cannot be the dominant factor controlling </w:t>
      </w:r>
      <w:r w:rsidRPr="00D015B2">
        <w:t>δ</w:t>
      </w:r>
      <w:r w:rsidRPr="00D015B2">
        <w:rPr>
          <w:vertAlign w:val="superscript"/>
        </w:rPr>
        <w:t>98/95</w:t>
      </w:r>
      <w:r w:rsidRPr="00D015B2">
        <w:t xml:space="preserve">Mo decline in the early Eocene. </w:t>
      </w:r>
    </w:p>
    <w:p w14:paraId="3367291A" w14:textId="77777777" w:rsidR="00BC2B21" w:rsidRPr="00D015B2" w:rsidRDefault="00000000" w:rsidP="00D85F06">
      <w:pPr>
        <w:spacing w:line="480" w:lineRule="auto"/>
        <w:ind w:firstLineChars="0" w:firstLine="0"/>
      </w:pPr>
      <w:r w:rsidRPr="00D015B2">
        <w:t>Scenario 2: C</w:t>
      </w:r>
      <w:r w:rsidRPr="00D015B2">
        <w:rPr>
          <w:i/>
        </w:rPr>
        <w:t xml:space="preserve">aused by the change of </w:t>
      </w:r>
      <w:r w:rsidRPr="00D015B2">
        <w:rPr>
          <w:rFonts w:cs="Times New Roman"/>
          <w:szCs w:val="24"/>
        </w:rPr>
        <w:t>∆</w:t>
      </w:r>
      <w:r w:rsidRPr="00D015B2">
        <w:rPr>
          <w:rFonts w:cs="Times New Roman"/>
          <w:szCs w:val="24"/>
          <w:vertAlign w:val="superscript"/>
        </w:rPr>
        <w:t>98/95</w:t>
      </w:r>
      <w:r w:rsidRPr="00D015B2">
        <w:rPr>
          <w:rFonts w:cs="Times New Roman"/>
          <w:szCs w:val="24"/>
        </w:rPr>
        <w:t>Mo</w:t>
      </w:r>
      <w:r w:rsidRPr="00D015B2">
        <w:rPr>
          <w:rFonts w:cs="Times New Roman"/>
          <w:szCs w:val="24"/>
          <w:vertAlign w:val="subscript"/>
        </w:rPr>
        <w:t>sw-OMZ</w:t>
      </w:r>
      <w:r w:rsidRPr="00D015B2">
        <w:rPr>
          <w:rFonts w:cs="Times New Roman"/>
          <w:szCs w:val="24"/>
        </w:rPr>
        <w:t xml:space="preserve">. </w:t>
      </w:r>
    </w:p>
    <w:p w14:paraId="27191B52" w14:textId="239597F9" w:rsidR="00055887" w:rsidRDefault="00000000" w:rsidP="00055887">
      <w:pPr>
        <w:spacing w:line="480" w:lineRule="auto"/>
        <w:ind w:firstLineChars="0" w:firstLine="0"/>
      </w:pPr>
      <w:r w:rsidRPr="00D015B2">
        <w:rPr>
          <w:rFonts w:cs="Times New Roman"/>
          <w:szCs w:val="24"/>
        </w:rPr>
        <w:lastRenderedPageBreak/>
        <w:tab/>
        <w:t xml:space="preserve">In this scenario, we first assumed that the relative proportions of </w:t>
      </w:r>
      <w:proofErr w:type="spellStart"/>
      <w:r w:rsidRPr="00D015B2">
        <w:rPr>
          <w:rFonts w:cs="Times New Roman"/>
          <w:szCs w:val="24"/>
        </w:rPr>
        <w:t>oxic</w:t>
      </w:r>
      <w:proofErr w:type="spellEnd"/>
      <w:r w:rsidRPr="00D015B2">
        <w:rPr>
          <w:rFonts w:cs="Times New Roman"/>
          <w:szCs w:val="24"/>
        </w:rPr>
        <w:t>, OMZ, and euxinic Mo sinks remained constant from 50 Ma to 36.7 Ma; thus, the</w:t>
      </w:r>
      <w:r w:rsidRPr="00D015B2">
        <w:rPr>
          <w:u w:val="dash"/>
        </w:rPr>
        <w:t xml:space="preserve"> </w:t>
      </w:r>
      <w:proofErr w:type="spellStart"/>
      <w:r w:rsidRPr="00D015B2">
        <w:rPr>
          <w:rFonts w:cs="Times New Roman"/>
          <w:i/>
          <w:szCs w:val="24"/>
        </w:rPr>
        <w:t>f</w:t>
      </w:r>
      <w:r w:rsidRPr="00D015B2">
        <w:rPr>
          <w:rFonts w:cs="Times New Roman"/>
          <w:szCs w:val="24"/>
          <w:vertAlign w:val="subscript"/>
        </w:rPr>
        <w:t>oxic</w:t>
      </w:r>
      <w:proofErr w:type="spellEnd"/>
      <w:r w:rsidRPr="00D015B2">
        <w:rPr>
          <w:rFonts w:cs="Times New Roman"/>
          <w:i/>
          <w:szCs w:val="24"/>
        </w:rPr>
        <w:t xml:space="preserve">, </w:t>
      </w:r>
      <w:proofErr w:type="spellStart"/>
      <w:r w:rsidRPr="00D015B2">
        <w:rPr>
          <w:rFonts w:cs="Times New Roman"/>
          <w:i/>
          <w:szCs w:val="24"/>
        </w:rPr>
        <w:t>f</w:t>
      </w:r>
      <w:r w:rsidRPr="00D015B2">
        <w:rPr>
          <w:rFonts w:cs="Times New Roman"/>
          <w:szCs w:val="24"/>
          <w:vertAlign w:val="subscript"/>
        </w:rPr>
        <w:t>OMZ</w:t>
      </w:r>
      <w:proofErr w:type="spellEnd"/>
      <w:r w:rsidRPr="00D015B2">
        <w:rPr>
          <w:rFonts w:cs="Times New Roman"/>
          <w:szCs w:val="24"/>
        </w:rPr>
        <w:t xml:space="preserve">, and </w:t>
      </w:r>
      <w:proofErr w:type="spellStart"/>
      <w:r w:rsidRPr="00D015B2">
        <w:rPr>
          <w:rFonts w:cs="Times New Roman"/>
          <w:i/>
          <w:szCs w:val="24"/>
        </w:rPr>
        <w:t>f</w:t>
      </w:r>
      <w:r w:rsidRPr="00D015B2">
        <w:rPr>
          <w:rFonts w:cs="Times New Roman"/>
          <w:szCs w:val="24"/>
          <w:vertAlign w:val="subscript"/>
        </w:rPr>
        <w:t>eux</w:t>
      </w:r>
      <w:proofErr w:type="spellEnd"/>
      <w:r w:rsidRPr="00D015B2">
        <w:rPr>
          <w:rFonts w:cs="Times New Roman"/>
          <w:szCs w:val="24"/>
        </w:rPr>
        <w:t xml:space="preserve"> before 50 Ma were consistent with modern values. By substituting the seawater </w:t>
      </w:r>
      <w:r w:rsidRPr="00D015B2">
        <w:t>δ</w:t>
      </w:r>
      <w:r w:rsidRPr="00D015B2">
        <w:rPr>
          <w:vertAlign w:val="superscript"/>
        </w:rPr>
        <w:t>98/95</w:t>
      </w:r>
      <w:r w:rsidRPr="00D015B2">
        <w:t>Mo value of</w:t>
      </w:r>
      <w:r w:rsidRPr="00D015B2">
        <w:rPr>
          <w:rFonts w:cs="Times New Roman"/>
          <w:szCs w:val="24"/>
        </w:rPr>
        <w:t xml:space="preserve"> 2.80</w:t>
      </w:r>
      <w:r w:rsidR="003A5E39">
        <w:rPr>
          <w:rFonts w:cs="Times New Roman"/>
          <w:szCs w:val="24"/>
        </w:rPr>
        <w:t xml:space="preserve"> </w:t>
      </w:r>
      <w:r w:rsidRPr="00D015B2">
        <w:rPr>
          <w:rFonts w:cs="Times New Roman"/>
          <w:szCs w:val="24"/>
        </w:rPr>
        <w:t xml:space="preserve">‰ and the corresponding values of </w:t>
      </w:r>
      <w:proofErr w:type="spellStart"/>
      <w:r w:rsidRPr="00D015B2">
        <w:rPr>
          <w:rFonts w:cs="Times New Roman"/>
          <w:i/>
          <w:szCs w:val="24"/>
        </w:rPr>
        <w:t>f</w:t>
      </w:r>
      <w:r w:rsidRPr="00D015B2">
        <w:rPr>
          <w:rFonts w:cs="Times New Roman"/>
          <w:szCs w:val="24"/>
          <w:vertAlign w:val="subscript"/>
        </w:rPr>
        <w:t>oxic</w:t>
      </w:r>
      <w:proofErr w:type="spellEnd"/>
      <w:r w:rsidRPr="00D015B2">
        <w:rPr>
          <w:rFonts w:cs="Times New Roman"/>
          <w:i/>
          <w:szCs w:val="24"/>
        </w:rPr>
        <w:t xml:space="preserve">, </w:t>
      </w:r>
      <w:proofErr w:type="spellStart"/>
      <w:r w:rsidRPr="00D015B2">
        <w:rPr>
          <w:rFonts w:cs="Times New Roman"/>
          <w:i/>
          <w:szCs w:val="24"/>
        </w:rPr>
        <w:t>f</w:t>
      </w:r>
      <w:r w:rsidRPr="00D015B2">
        <w:rPr>
          <w:rFonts w:cs="Times New Roman"/>
          <w:szCs w:val="24"/>
          <w:vertAlign w:val="subscript"/>
        </w:rPr>
        <w:t>OMZ</w:t>
      </w:r>
      <w:proofErr w:type="spellEnd"/>
      <w:r w:rsidRPr="00D015B2">
        <w:rPr>
          <w:rFonts w:cs="Times New Roman"/>
          <w:szCs w:val="24"/>
        </w:rPr>
        <w:t xml:space="preserve">, and </w:t>
      </w:r>
      <w:proofErr w:type="spellStart"/>
      <w:r w:rsidRPr="00D015B2">
        <w:rPr>
          <w:rFonts w:cs="Times New Roman"/>
          <w:i/>
          <w:szCs w:val="24"/>
        </w:rPr>
        <w:t>f</w:t>
      </w:r>
      <w:r w:rsidRPr="00D015B2">
        <w:rPr>
          <w:rFonts w:cs="Times New Roman"/>
          <w:szCs w:val="24"/>
          <w:vertAlign w:val="subscript"/>
        </w:rPr>
        <w:t>eux</w:t>
      </w:r>
      <w:proofErr w:type="spellEnd"/>
      <w:r w:rsidRPr="00D015B2">
        <w:rPr>
          <w:rFonts w:cs="Times New Roman"/>
          <w:szCs w:val="24"/>
        </w:rPr>
        <w:t xml:space="preserve"> into equations, the calculated</w:t>
      </w:r>
      <w:r w:rsidRPr="00D015B2">
        <w:rPr>
          <w:i/>
        </w:rPr>
        <w:t xml:space="preserve"> </w:t>
      </w:r>
      <w:r w:rsidRPr="00D015B2">
        <w:rPr>
          <w:rFonts w:cs="Times New Roman"/>
          <w:szCs w:val="24"/>
        </w:rPr>
        <w:t>∆</w:t>
      </w:r>
      <w:r w:rsidRPr="00D015B2">
        <w:rPr>
          <w:rFonts w:cs="Times New Roman"/>
          <w:szCs w:val="24"/>
          <w:vertAlign w:val="superscript"/>
        </w:rPr>
        <w:t>98/95</w:t>
      </w:r>
      <w:r w:rsidRPr="00D015B2">
        <w:rPr>
          <w:rFonts w:cs="Times New Roman"/>
          <w:szCs w:val="24"/>
        </w:rPr>
        <w:t>Mo</w:t>
      </w:r>
      <w:r w:rsidRPr="00D015B2">
        <w:rPr>
          <w:rFonts w:cs="Times New Roman"/>
          <w:szCs w:val="24"/>
          <w:vertAlign w:val="subscript"/>
        </w:rPr>
        <w:t>sw-OMZ</w:t>
      </w:r>
      <w:r w:rsidRPr="00D015B2">
        <w:rPr>
          <w:rFonts w:cs="Times New Roman"/>
          <w:szCs w:val="24"/>
        </w:rPr>
        <w:t xml:space="preserve"> ranges from 1.72–2.02 </w:t>
      </w:r>
      <w:r w:rsidR="003A5E39">
        <w:rPr>
          <w:rFonts w:cs="Times New Roman"/>
          <w:szCs w:val="24"/>
        </w:rPr>
        <w:t>‰</w:t>
      </w:r>
      <w:r w:rsidRPr="00D015B2">
        <w:rPr>
          <w:rFonts w:cs="Times New Roman"/>
          <w:szCs w:val="24"/>
        </w:rPr>
        <w:t>（</w:t>
      </w:r>
      <w:r w:rsidRPr="00D015B2">
        <w:rPr>
          <w:rFonts w:cs="Times New Roman"/>
          <w:szCs w:val="24"/>
        </w:rPr>
        <w:t>Fig.S8</w:t>
      </w:r>
      <w:r w:rsidR="007806D2">
        <w:rPr>
          <w:rFonts w:cs="Times New Roman"/>
          <w:szCs w:val="24"/>
        </w:rPr>
        <w:t xml:space="preserve"> </w:t>
      </w:r>
      <w:r w:rsidRPr="00D015B2">
        <w:rPr>
          <w:rFonts w:cs="Times New Roman"/>
          <w:szCs w:val="24"/>
        </w:rPr>
        <w:t>C</w:t>
      </w:r>
      <w:r w:rsidRPr="00D015B2">
        <w:rPr>
          <w:rFonts w:cs="Times New Roman"/>
          <w:szCs w:val="24"/>
        </w:rPr>
        <w:t>）</w:t>
      </w:r>
      <w:r w:rsidRPr="00D015B2">
        <w:rPr>
          <w:rFonts w:cs="Times New Roman"/>
          <w:szCs w:val="24"/>
        </w:rPr>
        <w:t>. This value is significantly higher than that of the ∆</w:t>
      </w:r>
      <w:r w:rsidRPr="00D015B2">
        <w:rPr>
          <w:rFonts w:cs="Times New Roman"/>
          <w:szCs w:val="24"/>
          <w:vertAlign w:val="superscript"/>
        </w:rPr>
        <w:t>98/95</w:t>
      </w:r>
      <w:r w:rsidRPr="00D015B2">
        <w:rPr>
          <w:rFonts w:cs="Times New Roman"/>
          <w:szCs w:val="24"/>
        </w:rPr>
        <w:t>Mo</w:t>
      </w:r>
      <w:r w:rsidRPr="00D015B2">
        <w:rPr>
          <w:rFonts w:cs="Times New Roman"/>
          <w:szCs w:val="24"/>
          <w:vertAlign w:val="subscript"/>
        </w:rPr>
        <w:t>sw-OMZ</w:t>
      </w:r>
      <w:r w:rsidRPr="00D015B2">
        <w:rPr>
          <w:rFonts w:cs="Times New Roman"/>
          <w:szCs w:val="24"/>
        </w:rPr>
        <w:t xml:space="preserve"> in modern shallow continental shelf sediments (∆</w:t>
      </w:r>
      <w:r w:rsidRPr="00D015B2">
        <w:rPr>
          <w:rFonts w:cs="Times New Roman"/>
          <w:szCs w:val="24"/>
          <w:vertAlign w:val="superscript"/>
        </w:rPr>
        <w:t>98/</w:t>
      </w:r>
      <w:r w:rsidRPr="00A900A9">
        <w:rPr>
          <w:rFonts w:cs="Times New Roman"/>
          <w:szCs w:val="24"/>
          <w:vertAlign w:val="superscript"/>
        </w:rPr>
        <w:t>95</w:t>
      </w:r>
      <w:r w:rsidRPr="00A900A9">
        <w:rPr>
          <w:rFonts w:cs="Times New Roman"/>
          <w:szCs w:val="24"/>
        </w:rPr>
        <w:t>Mo</w:t>
      </w:r>
      <w:r w:rsidRPr="00A900A9">
        <w:rPr>
          <w:rFonts w:cs="Times New Roman"/>
          <w:szCs w:val="24"/>
          <w:vertAlign w:val="subscript"/>
        </w:rPr>
        <w:t>sw-OMZ</w:t>
      </w:r>
      <w:r w:rsidRPr="00A900A9">
        <w:rPr>
          <w:rFonts w:cs="Times New Roman"/>
          <w:kern w:val="0"/>
          <w:szCs w:val="24"/>
        </w:rPr>
        <w:t xml:space="preserve">=~1.02 </w:t>
      </w:r>
      <w:r w:rsidR="00A900A9" w:rsidRPr="00A900A9">
        <w:rPr>
          <w:rFonts w:eastAsia="微软雅黑" w:cs="Times New Roman"/>
          <w:kern w:val="0"/>
          <w:szCs w:val="24"/>
        </w:rPr>
        <w:t>‰</w:t>
      </w:r>
      <w:r w:rsidRPr="00D015B2">
        <w:rPr>
          <w:rFonts w:ascii="宋体" w:hAnsi="宋体" w:cs="Times New Roman"/>
          <w:kern w:val="0"/>
          <w:szCs w:val="24"/>
        </w:rPr>
        <w:t>),</w:t>
      </w:r>
      <w:r w:rsidRPr="00D015B2">
        <w:rPr>
          <w:rFonts w:cs="Times New Roman"/>
          <w:szCs w:val="24"/>
        </w:rPr>
        <w:t xml:space="preserve"> but it closely matches the estimated</w:t>
      </w:r>
      <w:r w:rsidRPr="00D015B2">
        <w:rPr>
          <w:i/>
        </w:rPr>
        <w:t xml:space="preserve"> </w:t>
      </w:r>
      <w:r w:rsidRPr="00D015B2">
        <w:rPr>
          <w:rFonts w:cs="Times New Roman"/>
          <w:szCs w:val="24"/>
        </w:rPr>
        <w:t>∆</w:t>
      </w:r>
      <w:r w:rsidRPr="00D015B2">
        <w:rPr>
          <w:rFonts w:cs="Times New Roman"/>
          <w:szCs w:val="24"/>
          <w:vertAlign w:val="superscript"/>
        </w:rPr>
        <w:t>98/95</w:t>
      </w:r>
      <w:r w:rsidRPr="00D015B2">
        <w:rPr>
          <w:rFonts w:cs="Times New Roman"/>
          <w:szCs w:val="24"/>
        </w:rPr>
        <w:t>Mo</w:t>
      </w:r>
      <w:r w:rsidRPr="00D015B2">
        <w:rPr>
          <w:rFonts w:cs="Times New Roman"/>
          <w:szCs w:val="24"/>
          <w:vertAlign w:val="subscript"/>
        </w:rPr>
        <w:t>sw-OMZ</w:t>
      </w:r>
      <w:r w:rsidRPr="00D015B2">
        <w:rPr>
          <w:rFonts w:cs="Times New Roman"/>
          <w:kern w:val="0"/>
          <w:szCs w:val="24"/>
        </w:rPr>
        <w:t xml:space="preserve"> value for the anoxic continental margin marine sediments around the Tethys Ocean at ~56 Ma (</w:t>
      </w:r>
      <w:r w:rsidR="00A900A9" w:rsidRPr="00D015B2">
        <w:rPr>
          <w:rFonts w:cs="Times New Roman"/>
          <w:szCs w:val="24"/>
        </w:rPr>
        <w:t>∆</w:t>
      </w:r>
      <w:r w:rsidR="00A900A9" w:rsidRPr="00D015B2">
        <w:rPr>
          <w:rFonts w:cs="Times New Roman"/>
          <w:szCs w:val="24"/>
          <w:vertAlign w:val="superscript"/>
        </w:rPr>
        <w:t>98/</w:t>
      </w:r>
      <w:r w:rsidR="00A900A9" w:rsidRPr="00A900A9">
        <w:rPr>
          <w:rFonts w:cs="Times New Roman"/>
          <w:szCs w:val="24"/>
          <w:vertAlign w:val="superscript"/>
        </w:rPr>
        <w:t>95</w:t>
      </w:r>
      <w:r w:rsidR="00A900A9" w:rsidRPr="00A900A9">
        <w:rPr>
          <w:rFonts w:cs="Times New Roman"/>
          <w:szCs w:val="24"/>
        </w:rPr>
        <w:t>Mo</w:t>
      </w:r>
      <w:r w:rsidR="00A900A9" w:rsidRPr="00A900A9">
        <w:rPr>
          <w:rFonts w:cs="Times New Roman"/>
          <w:szCs w:val="24"/>
          <w:vertAlign w:val="subscript"/>
        </w:rPr>
        <w:t>sw-OMZ</w:t>
      </w:r>
      <w:r w:rsidR="00A900A9">
        <w:rPr>
          <w:rFonts w:cs="Times New Roman"/>
          <w:szCs w:val="24"/>
          <w:vertAlign w:val="subscript"/>
        </w:rPr>
        <w:t xml:space="preserve"> </w:t>
      </w:r>
      <w:r w:rsidR="00A900A9" w:rsidRPr="00A900A9">
        <w:rPr>
          <w:rFonts w:cs="Times New Roman"/>
          <w:kern w:val="0"/>
          <w:szCs w:val="24"/>
        </w:rPr>
        <w:t>=</w:t>
      </w:r>
      <w:r w:rsidR="00A900A9">
        <w:rPr>
          <w:rFonts w:cs="Times New Roman"/>
          <w:kern w:val="0"/>
          <w:szCs w:val="24"/>
        </w:rPr>
        <w:t xml:space="preserve"> </w:t>
      </w:r>
      <w:r w:rsidRPr="00D015B2">
        <w:rPr>
          <w:rFonts w:cs="Times New Roman"/>
          <w:kern w:val="0"/>
          <w:szCs w:val="24"/>
        </w:rPr>
        <w:t xml:space="preserve">~1.58 </w:t>
      </w:r>
      <w:r w:rsidR="00A900A9" w:rsidRPr="00D015B2">
        <w:rPr>
          <w:rFonts w:cs="Times New Roman"/>
          <w:szCs w:val="24"/>
        </w:rPr>
        <w:t>%</w:t>
      </w:r>
      <w:r w:rsidRPr="00D015B2">
        <w:rPr>
          <w:rFonts w:cs="Times New Roman"/>
          <w:kern w:val="0"/>
          <w:szCs w:val="24"/>
        </w:rPr>
        <w:t>)</w:t>
      </w:r>
      <w:r w:rsidR="00A16F7E">
        <w:rPr>
          <w:rFonts w:cs="Times New Roman"/>
          <w:kern w:val="0"/>
          <w:szCs w:val="24"/>
          <w:vertAlign w:val="superscript"/>
        </w:rPr>
        <w:t>31</w:t>
      </w:r>
      <w:r w:rsidRPr="00D015B2">
        <w:rPr>
          <w:rFonts w:cs="Times New Roman"/>
          <w:kern w:val="0"/>
          <w:szCs w:val="24"/>
        </w:rPr>
        <w:t xml:space="preserve">. Further, </w:t>
      </w:r>
      <w:proofErr w:type="gramStart"/>
      <w:r w:rsidRPr="00D015B2">
        <w:rPr>
          <w:rFonts w:cs="Times New Roman"/>
          <w:kern w:val="0"/>
          <w:szCs w:val="24"/>
        </w:rPr>
        <w:t>assuming that</w:t>
      </w:r>
      <w:proofErr w:type="gramEnd"/>
      <w:r w:rsidRPr="00D015B2">
        <w:rPr>
          <w:rFonts w:cs="Times New Roman"/>
          <w:kern w:val="0"/>
          <w:szCs w:val="24"/>
        </w:rPr>
        <w:t xml:space="preserve"> 1.58</w:t>
      </w:r>
      <w:r w:rsidR="003A5E39">
        <w:rPr>
          <w:rFonts w:cs="Times New Roman"/>
          <w:kern w:val="0"/>
          <w:szCs w:val="24"/>
        </w:rPr>
        <w:t xml:space="preserve"> </w:t>
      </w:r>
      <w:r w:rsidRPr="00D015B2">
        <w:rPr>
          <w:rFonts w:cs="Times New Roman"/>
          <w:kern w:val="0"/>
          <w:szCs w:val="24"/>
        </w:rPr>
        <w:t xml:space="preserve">‰ represents the average </w:t>
      </w:r>
      <w:r w:rsidRPr="00D015B2">
        <w:rPr>
          <w:rFonts w:cs="Times New Roman"/>
          <w:szCs w:val="24"/>
        </w:rPr>
        <w:t>∆</w:t>
      </w:r>
      <w:r w:rsidRPr="00D015B2">
        <w:rPr>
          <w:rFonts w:cs="Times New Roman"/>
          <w:szCs w:val="24"/>
          <w:vertAlign w:val="superscript"/>
        </w:rPr>
        <w:t>98/95</w:t>
      </w:r>
      <w:r w:rsidRPr="00D015B2">
        <w:rPr>
          <w:rFonts w:cs="Times New Roman"/>
          <w:szCs w:val="24"/>
        </w:rPr>
        <w:t>Mo</w:t>
      </w:r>
      <w:r w:rsidRPr="00D015B2">
        <w:rPr>
          <w:rFonts w:cs="Times New Roman"/>
          <w:szCs w:val="24"/>
          <w:vertAlign w:val="subscript"/>
        </w:rPr>
        <w:t>sw-OMZ</w:t>
      </w:r>
      <w:r w:rsidRPr="00D015B2">
        <w:rPr>
          <w:rFonts w:cs="Times New Roman"/>
          <w:kern w:val="0"/>
          <w:szCs w:val="24"/>
        </w:rPr>
        <w:t xml:space="preserve">, we calculated the value of </w:t>
      </w:r>
      <w:proofErr w:type="spellStart"/>
      <w:r w:rsidRPr="00D015B2">
        <w:rPr>
          <w:i/>
        </w:rPr>
        <w:t>f</w:t>
      </w:r>
      <w:r w:rsidRPr="00D015B2">
        <w:rPr>
          <w:vertAlign w:val="subscript"/>
        </w:rPr>
        <w:t>oxic</w:t>
      </w:r>
      <w:proofErr w:type="spellEnd"/>
      <w:r w:rsidRPr="00D015B2">
        <w:rPr>
          <w:i/>
        </w:rPr>
        <w:t xml:space="preserve">, </w:t>
      </w:r>
      <w:proofErr w:type="spellStart"/>
      <w:r w:rsidRPr="00D015B2">
        <w:rPr>
          <w:i/>
        </w:rPr>
        <w:t>f</w:t>
      </w:r>
      <w:r w:rsidR="00983A0C">
        <w:rPr>
          <w:vertAlign w:val="subscript"/>
        </w:rPr>
        <w:t>OMZ</w:t>
      </w:r>
      <w:proofErr w:type="spellEnd"/>
      <w:r w:rsidRPr="00D015B2">
        <w:t>, and</w:t>
      </w:r>
      <w:r w:rsidRPr="00D015B2">
        <w:rPr>
          <w:i/>
        </w:rPr>
        <w:t xml:space="preserve"> </w:t>
      </w:r>
      <w:proofErr w:type="spellStart"/>
      <w:r w:rsidRPr="00D015B2">
        <w:rPr>
          <w:i/>
        </w:rPr>
        <w:t>f</w:t>
      </w:r>
      <w:r w:rsidRPr="00D015B2">
        <w:rPr>
          <w:vertAlign w:val="subscript"/>
        </w:rPr>
        <w:t>eux</w:t>
      </w:r>
      <w:proofErr w:type="spellEnd"/>
      <w:r w:rsidRPr="00D015B2">
        <w:rPr>
          <w:rFonts w:cs="Times New Roman"/>
          <w:kern w:val="0"/>
          <w:szCs w:val="24"/>
        </w:rPr>
        <w:t xml:space="preserve"> in the early Eocene, which ranges from 1.4–4</w:t>
      </w:r>
      <w:r w:rsidR="00983A0C">
        <w:rPr>
          <w:rFonts w:cs="Times New Roman"/>
          <w:kern w:val="0"/>
          <w:szCs w:val="24"/>
        </w:rPr>
        <w:t xml:space="preserve"> </w:t>
      </w:r>
      <w:r w:rsidRPr="00D015B2">
        <w:rPr>
          <w:rFonts w:cs="Times New Roman"/>
          <w:kern w:val="0"/>
          <w:szCs w:val="24"/>
        </w:rPr>
        <w:t>%, 48–50</w:t>
      </w:r>
      <w:r w:rsidR="00983A0C">
        <w:rPr>
          <w:rFonts w:cs="Times New Roman"/>
          <w:kern w:val="0"/>
          <w:szCs w:val="24"/>
        </w:rPr>
        <w:t xml:space="preserve"> </w:t>
      </w:r>
      <w:r w:rsidRPr="00D015B2">
        <w:rPr>
          <w:rFonts w:cs="Times New Roman"/>
          <w:kern w:val="0"/>
          <w:szCs w:val="24"/>
        </w:rPr>
        <w:t>%, and 46–51</w:t>
      </w:r>
      <w:r w:rsidR="00983A0C">
        <w:rPr>
          <w:rFonts w:cs="Times New Roman"/>
          <w:kern w:val="0"/>
          <w:szCs w:val="24"/>
        </w:rPr>
        <w:t xml:space="preserve"> </w:t>
      </w:r>
      <w:r w:rsidRPr="00D015B2">
        <w:rPr>
          <w:rFonts w:cs="Times New Roman"/>
          <w:kern w:val="0"/>
          <w:szCs w:val="24"/>
        </w:rPr>
        <w:t>%, respectively (Fig.S8</w:t>
      </w:r>
      <w:r w:rsidR="007806D2">
        <w:rPr>
          <w:rFonts w:cs="Times New Roman"/>
          <w:kern w:val="0"/>
          <w:szCs w:val="24"/>
        </w:rPr>
        <w:t xml:space="preserve"> </w:t>
      </w:r>
      <w:r w:rsidRPr="00D015B2">
        <w:rPr>
          <w:rFonts w:cs="Times New Roman"/>
          <w:kern w:val="0"/>
          <w:szCs w:val="24"/>
        </w:rPr>
        <w:t xml:space="preserve">D). Here, we considered </w:t>
      </w:r>
      <w:proofErr w:type="spellStart"/>
      <w:r w:rsidRPr="00D015B2">
        <w:rPr>
          <w:i/>
        </w:rPr>
        <w:t>f</w:t>
      </w:r>
      <w:r w:rsidRPr="00D015B2">
        <w:rPr>
          <w:vertAlign w:val="subscript"/>
        </w:rPr>
        <w:t>oxic</w:t>
      </w:r>
      <w:proofErr w:type="spellEnd"/>
      <w:r w:rsidRPr="00D015B2">
        <w:t xml:space="preserve"> to be relatively constant based on a previous study that argue</w:t>
      </w:r>
      <w:r w:rsidRPr="00D015B2">
        <w:rPr>
          <w:rFonts w:cs="Times New Roman"/>
        </w:rPr>
        <w:t>d</w:t>
      </w:r>
      <w:r w:rsidRPr="00D015B2">
        <w:t xml:space="preserve"> against a </w:t>
      </w:r>
      <w:proofErr w:type="spellStart"/>
      <w:r w:rsidRPr="00D015B2">
        <w:rPr>
          <w:i/>
        </w:rPr>
        <w:t>f</w:t>
      </w:r>
      <w:r w:rsidRPr="00D015B2">
        <w:rPr>
          <w:vertAlign w:val="subscript"/>
        </w:rPr>
        <w:t>oxic</w:t>
      </w:r>
      <w:proofErr w:type="spellEnd"/>
      <w:r w:rsidRPr="00D015B2">
        <w:t xml:space="preserve"> decrease over the past 66 </w:t>
      </w:r>
      <w:r w:rsidR="00A16F7E" w:rsidRPr="00D015B2">
        <w:t>Ma</w:t>
      </w:r>
      <w:r w:rsidR="00A16F7E">
        <w:rPr>
          <w:vertAlign w:val="superscript"/>
        </w:rPr>
        <w:t>32, 33</w:t>
      </w:r>
      <w:r w:rsidR="002E719C">
        <w:t>.</w:t>
      </w:r>
      <w:r w:rsidRPr="00D015B2">
        <w:t xml:space="preserve"> </w:t>
      </w:r>
    </w:p>
    <w:p w14:paraId="3CF3E36E" w14:textId="77777777" w:rsidR="00055887" w:rsidRDefault="00055887">
      <w:pPr>
        <w:widowControl/>
        <w:ind w:firstLineChars="0" w:firstLine="0"/>
        <w:jc w:val="left"/>
      </w:pPr>
      <w:r>
        <w:br w:type="page"/>
      </w:r>
    </w:p>
    <w:p w14:paraId="0939F002" w14:textId="4F2C18D7" w:rsidR="002E719C" w:rsidRPr="00522D60" w:rsidRDefault="00000000" w:rsidP="00D85F06">
      <w:pPr>
        <w:pStyle w:val="1"/>
        <w:spacing w:before="0" w:line="480" w:lineRule="auto"/>
        <w:ind w:firstLineChars="0" w:firstLine="0"/>
        <w:jc w:val="left"/>
        <w:rPr>
          <w:sz w:val="24"/>
          <w:szCs w:val="24"/>
        </w:rPr>
      </w:pPr>
      <w:bookmarkStart w:id="11" w:name="_Hlk139877571"/>
      <w:r w:rsidRPr="00D015B2">
        <w:rPr>
          <w:noProof/>
          <w:lang w:eastAsia="en-US"/>
        </w:rPr>
        <w:lastRenderedPageBreak/>
        <w:drawing>
          <wp:anchor distT="0" distB="0" distL="114300" distR="114300" simplePos="0" relativeHeight="251660288" behindDoc="0" locked="0" layoutInCell="1" allowOverlap="1" wp14:anchorId="4DA4149D" wp14:editId="2AB79CC9">
            <wp:simplePos x="0" y="0"/>
            <wp:positionH relativeFrom="column">
              <wp:posOffset>912638</wp:posOffset>
            </wp:positionH>
            <wp:positionV relativeFrom="paragraph">
              <wp:posOffset>935285</wp:posOffset>
            </wp:positionV>
            <wp:extent cx="3884930" cy="2393950"/>
            <wp:effectExtent l="0" t="0" r="1270" b="6350"/>
            <wp:wrapTopAndBottom/>
            <wp:docPr id="6" name="图片 6" descr="E:\130508-研究样品\解释结果\样品位置\位置图-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130508-研究样品\解释结果\样品位置\位置图-new.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84930" cy="2393950"/>
                    </a:xfrm>
                    <a:prstGeom prst="rect">
                      <a:avLst/>
                    </a:prstGeom>
                    <a:noFill/>
                    <a:ln>
                      <a:noFill/>
                    </a:ln>
                  </pic:spPr>
                </pic:pic>
              </a:graphicData>
            </a:graphic>
          </wp:anchor>
        </w:drawing>
      </w:r>
      <w:r w:rsidRPr="00522D60">
        <w:rPr>
          <w:sz w:val="24"/>
          <w:szCs w:val="24"/>
        </w:rPr>
        <w:t xml:space="preserve">Fig.S1 Location of the ferromanganese crust sample analysed in this </w:t>
      </w:r>
      <w:proofErr w:type="gramStart"/>
      <w:r w:rsidRPr="00522D60">
        <w:rPr>
          <w:sz w:val="24"/>
          <w:szCs w:val="24"/>
        </w:rPr>
        <w:t>study</w:t>
      </w:r>
      <w:proofErr w:type="gramEnd"/>
    </w:p>
    <w:p w14:paraId="0EB940B1" w14:textId="77777777" w:rsidR="002E719C" w:rsidRPr="00D015B2" w:rsidRDefault="002E719C" w:rsidP="00D85F06">
      <w:pPr>
        <w:spacing w:line="480" w:lineRule="auto"/>
        <w:ind w:firstLine="480"/>
      </w:pPr>
    </w:p>
    <w:p w14:paraId="73F3701C" w14:textId="2C257892" w:rsidR="002E719C" w:rsidRPr="00522D60" w:rsidRDefault="00000000" w:rsidP="00D85F06">
      <w:pPr>
        <w:pStyle w:val="1"/>
        <w:spacing w:line="480" w:lineRule="auto"/>
        <w:ind w:firstLineChars="0" w:firstLine="0"/>
        <w:rPr>
          <w:sz w:val="24"/>
          <w:szCs w:val="24"/>
        </w:rPr>
      </w:pPr>
      <w:r w:rsidRPr="00522D60">
        <w:rPr>
          <w:sz w:val="24"/>
          <w:szCs w:val="24"/>
        </w:rPr>
        <w:t xml:space="preserve">Fig.S2 Ferromanganese crust sample structure from the </w:t>
      </w:r>
      <w:proofErr w:type="spellStart"/>
      <w:r w:rsidRPr="00522D60">
        <w:rPr>
          <w:sz w:val="24"/>
          <w:szCs w:val="24"/>
        </w:rPr>
        <w:t>Il’ichev</w:t>
      </w:r>
      <w:proofErr w:type="spellEnd"/>
      <w:r w:rsidRPr="00522D60">
        <w:rPr>
          <w:sz w:val="24"/>
          <w:szCs w:val="24"/>
        </w:rPr>
        <w:t xml:space="preserve"> Guyot, Magellan Seamounts</w:t>
      </w:r>
    </w:p>
    <w:p w14:paraId="5D20C9A5" w14:textId="77777777" w:rsidR="002E719C" w:rsidRPr="00D015B2" w:rsidRDefault="002E719C" w:rsidP="00D85F06">
      <w:pPr>
        <w:spacing w:line="480" w:lineRule="auto"/>
        <w:ind w:firstLine="480"/>
        <w:rPr>
          <w:szCs w:val="21"/>
        </w:rPr>
      </w:pPr>
    </w:p>
    <w:p w14:paraId="4DE4B94C" w14:textId="77777777" w:rsidR="002E719C" w:rsidRPr="00D015B2" w:rsidRDefault="00000000" w:rsidP="00D85F06">
      <w:pPr>
        <w:spacing w:line="480" w:lineRule="auto"/>
        <w:ind w:firstLineChars="0" w:firstLine="0"/>
        <w:jc w:val="center"/>
        <w:rPr>
          <w:szCs w:val="21"/>
        </w:rPr>
      </w:pPr>
      <w:r w:rsidRPr="00D015B2">
        <w:rPr>
          <w:noProof/>
          <w:szCs w:val="21"/>
          <w:lang w:eastAsia="en-US"/>
        </w:rPr>
        <w:drawing>
          <wp:inline distT="0" distB="0" distL="0" distR="0" wp14:anchorId="61068503" wp14:editId="5229B48E">
            <wp:extent cx="4229735" cy="2057400"/>
            <wp:effectExtent l="0" t="0" r="0" b="0"/>
            <wp:docPr id="4" name="图片 4" descr="J:\130508-研究样品\解释结果\有关样品\9号样品-大块样品-7分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J:\130508-研究样品\解释结果\有关样品\9号样品-大块样品-7分层.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67453" cy="2075667"/>
                    </a:xfrm>
                    <a:prstGeom prst="rect">
                      <a:avLst/>
                    </a:prstGeom>
                    <a:noFill/>
                    <a:ln>
                      <a:noFill/>
                    </a:ln>
                  </pic:spPr>
                </pic:pic>
              </a:graphicData>
            </a:graphic>
          </wp:inline>
        </w:drawing>
      </w:r>
    </w:p>
    <w:p w14:paraId="5AA58A33" w14:textId="77777777" w:rsidR="002E719C" w:rsidRPr="00D015B2" w:rsidRDefault="00000000" w:rsidP="00D85F06">
      <w:pPr>
        <w:pStyle w:val="3"/>
        <w:spacing w:line="480" w:lineRule="auto"/>
        <w:ind w:firstLine="643"/>
        <w:rPr>
          <w:b w:val="0"/>
        </w:rPr>
      </w:pPr>
      <w:bookmarkStart w:id="12" w:name="OLE_LINK29"/>
      <w:bookmarkStart w:id="13" w:name="OLE_LINK30"/>
      <w:bookmarkStart w:id="14" w:name="OLE_LINK1"/>
      <w:r w:rsidRPr="00D015B2">
        <w:br w:type="page"/>
      </w:r>
    </w:p>
    <w:p w14:paraId="1BB3AE75" w14:textId="0E311978" w:rsidR="002E719C" w:rsidRPr="003A5E39" w:rsidRDefault="00000000" w:rsidP="00D85F06">
      <w:pPr>
        <w:pStyle w:val="1"/>
        <w:spacing w:line="480" w:lineRule="auto"/>
        <w:ind w:firstLineChars="0" w:firstLine="0"/>
        <w:rPr>
          <w:b w:val="0"/>
          <w:bCs w:val="0"/>
          <w:sz w:val="24"/>
          <w:szCs w:val="24"/>
        </w:rPr>
      </w:pPr>
      <w:r w:rsidRPr="00522D60">
        <w:rPr>
          <w:sz w:val="24"/>
          <w:szCs w:val="24"/>
        </w:rPr>
        <w:lastRenderedPageBreak/>
        <w:t>Fig.S</w:t>
      </w:r>
      <w:bookmarkEnd w:id="12"/>
      <w:bookmarkEnd w:id="13"/>
      <w:bookmarkEnd w:id="14"/>
      <w:r w:rsidRPr="00522D60">
        <w:rPr>
          <w:sz w:val="24"/>
          <w:szCs w:val="24"/>
        </w:rPr>
        <w:t xml:space="preserve">3 Photomicrographs of representative structures in analysed </w:t>
      </w:r>
      <w:r w:rsidR="00B2614B" w:rsidRPr="00522D60">
        <w:rPr>
          <w:sz w:val="24"/>
          <w:szCs w:val="24"/>
        </w:rPr>
        <w:t xml:space="preserve">ferromanganese </w:t>
      </w:r>
      <w:r w:rsidRPr="00522D60">
        <w:rPr>
          <w:sz w:val="24"/>
          <w:szCs w:val="24"/>
        </w:rPr>
        <w:t xml:space="preserve">crust samples. </w:t>
      </w:r>
      <w:r w:rsidRPr="003A5E39">
        <w:rPr>
          <w:b w:val="0"/>
          <w:bCs w:val="0"/>
          <w:sz w:val="24"/>
          <w:szCs w:val="24"/>
        </w:rPr>
        <w:t>A</w:t>
      </w:r>
      <w:r w:rsidR="00B2614B" w:rsidRPr="003A5E39">
        <w:rPr>
          <w:b w:val="0"/>
          <w:bCs w:val="0"/>
          <w:sz w:val="24"/>
          <w:szCs w:val="24"/>
        </w:rPr>
        <w:t>.</w:t>
      </w:r>
      <w:r w:rsidRPr="003A5E39">
        <w:rPr>
          <w:b w:val="0"/>
          <w:bCs w:val="0"/>
          <w:sz w:val="24"/>
          <w:szCs w:val="24"/>
        </w:rPr>
        <w:t xml:space="preserve"> Layer I - botryoidal structure</w:t>
      </w:r>
      <w:r w:rsidR="00B2614B" w:rsidRPr="003A5E39">
        <w:rPr>
          <w:b w:val="0"/>
          <w:bCs w:val="0"/>
          <w:sz w:val="24"/>
          <w:szCs w:val="24"/>
        </w:rPr>
        <w:t>.</w:t>
      </w:r>
      <w:r w:rsidRPr="003A5E39">
        <w:rPr>
          <w:b w:val="0"/>
          <w:bCs w:val="0"/>
          <w:sz w:val="24"/>
          <w:szCs w:val="24"/>
        </w:rPr>
        <w:t xml:space="preserve"> B</w:t>
      </w:r>
      <w:r w:rsidR="00B2614B" w:rsidRPr="003A5E39">
        <w:rPr>
          <w:b w:val="0"/>
          <w:bCs w:val="0"/>
          <w:sz w:val="24"/>
          <w:szCs w:val="24"/>
        </w:rPr>
        <w:t>.</w:t>
      </w:r>
      <w:r w:rsidRPr="003A5E39">
        <w:rPr>
          <w:b w:val="0"/>
          <w:bCs w:val="0"/>
          <w:sz w:val="24"/>
          <w:szCs w:val="24"/>
        </w:rPr>
        <w:t xml:space="preserve"> </w:t>
      </w:r>
      <w:bookmarkStart w:id="15" w:name="_Hlk39591314"/>
      <w:bookmarkStart w:id="16" w:name="_Hlk39591955"/>
      <w:r w:rsidRPr="003A5E39">
        <w:rPr>
          <w:b w:val="0"/>
          <w:bCs w:val="0"/>
          <w:sz w:val="24"/>
          <w:szCs w:val="24"/>
        </w:rPr>
        <w:t>Layer I</w:t>
      </w:r>
      <w:bookmarkEnd w:id="15"/>
      <w:r w:rsidRPr="003A5E39">
        <w:rPr>
          <w:b w:val="0"/>
          <w:bCs w:val="0"/>
          <w:sz w:val="24"/>
          <w:szCs w:val="24"/>
        </w:rPr>
        <w:t xml:space="preserve"> &amp; II - wavy lamination texture</w:t>
      </w:r>
      <w:bookmarkEnd w:id="16"/>
      <w:r w:rsidR="00B2614B" w:rsidRPr="003A5E39">
        <w:rPr>
          <w:b w:val="0"/>
          <w:bCs w:val="0"/>
          <w:sz w:val="24"/>
          <w:szCs w:val="24"/>
        </w:rPr>
        <w:t xml:space="preserve">. </w:t>
      </w:r>
      <w:r w:rsidRPr="003A5E39">
        <w:rPr>
          <w:b w:val="0"/>
          <w:bCs w:val="0"/>
          <w:sz w:val="24"/>
          <w:szCs w:val="24"/>
        </w:rPr>
        <w:t>C</w:t>
      </w:r>
      <w:r w:rsidR="00B2614B" w:rsidRPr="003A5E39">
        <w:rPr>
          <w:b w:val="0"/>
          <w:bCs w:val="0"/>
          <w:sz w:val="24"/>
          <w:szCs w:val="24"/>
        </w:rPr>
        <w:t>.</w:t>
      </w:r>
      <w:r w:rsidRPr="003A5E39">
        <w:rPr>
          <w:b w:val="0"/>
          <w:bCs w:val="0"/>
          <w:sz w:val="24"/>
          <w:szCs w:val="24"/>
        </w:rPr>
        <w:t xml:space="preserve"> Layer II columnar structure</w:t>
      </w:r>
      <w:r w:rsidR="00B2614B" w:rsidRPr="003A5E39">
        <w:rPr>
          <w:b w:val="0"/>
          <w:bCs w:val="0"/>
          <w:sz w:val="24"/>
          <w:szCs w:val="24"/>
        </w:rPr>
        <w:t xml:space="preserve">. </w:t>
      </w:r>
      <w:r w:rsidRPr="003A5E39">
        <w:rPr>
          <w:b w:val="0"/>
          <w:bCs w:val="0"/>
          <w:sz w:val="24"/>
          <w:szCs w:val="24"/>
        </w:rPr>
        <w:t>D</w:t>
      </w:r>
      <w:r w:rsidR="00B2614B" w:rsidRPr="003A5E39">
        <w:rPr>
          <w:b w:val="0"/>
          <w:bCs w:val="0"/>
          <w:sz w:val="24"/>
          <w:szCs w:val="24"/>
        </w:rPr>
        <w:t>.</w:t>
      </w:r>
      <w:r w:rsidRPr="003A5E39">
        <w:rPr>
          <w:b w:val="0"/>
          <w:bCs w:val="0"/>
          <w:sz w:val="24"/>
          <w:szCs w:val="24"/>
        </w:rPr>
        <w:t xml:space="preserve"> Layer III - dendritic structure</w:t>
      </w:r>
      <w:r w:rsidR="00B2614B">
        <w:rPr>
          <w:b w:val="0"/>
          <w:bCs w:val="0"/>
          <w:sz w:val="24"/>
          <w:szCs w:val="24"/>
        </w:rPr>
        <w:t xml:space="preserve">. </w:t>
      </w:r>
      <w:r w:rsidRPr="003A5E39">
        <w:rPr>
          <w:b w:val="0"/>
          <w:bCs w:val="0"/>
          <w:sz w:val="24"/>
          <w:szCs w:val="24"/>
        </w:rPr>
        <w:t>E</w:t>
      </w:r>
      <w:r w:rsidR="00B2614B">
        <w:rPr>
          <w:b w:val="0"/>
          <w:bCs w:val="0"/>
          <w:sz w:val="24"/>
          <w:szCs w:val="24"/>
        </w:rPr>
        <w:t>.</w:t>
      </w:r>
      <w:r w:rsidRPr="003A5E39">
        <w:rPr>
          <w:b w:val="0"/>
          <w:bCs w:val="0"/>
          <w:sz w:val="24"/>
          <w:szCs w:val="24"/>
        </w:rPr>
        <w:t xml:space="preserve"> Layer IV variegated structure</w:t>
      </w:r>
      <w:r w:rsidR="003A5E39">
        <w:rPr>
          <w:b w:val="0"/>
          <w:bCs w:val="0"/>
          <w:sz w:val="24"/>
          <w:szCs w:val="24"/>
        </w:rPr>
        <w:t>.</w:t>
      </w:r>
      <w:r w:rsidR="00B2614B">
        <w:rPr>
          <w:b w:val="0"/>
          <w:bCs w:val="0"/>
          <w:sz w:val="24"/>
          <w:szCs w:val="24"/>
        </w:rPr>
        <w:t xml:space="preserve"> </w:t>
      </w:r>
      <w:r w:rsidRPr="003A5E39">
        <w:rPr>
          <w:b w:val="0"/>
          <w:bCs w:val="0"/>
          <w:sz w:val="24"/>
          <w:szCs w:val="24"/>
        </w:rPr>
        <w:t>F</w:t>
      </w:r>
      <w:r w:rsidR="00B2614B">
        <w:rPr>
          <w:b w:val="0"/>
          <w:bCs w:val="0"/>
          <w:sz w:val="24"/>
          <w:szCs w:val="24"/>
        </w:rPr>
        <w:t>.</w:t>
      </w:r>
      <w:r w:rsidRPr="003A5E39">
        <w:rPr>
          <w:b w:val="0"/>
          <w:bCs w:val="0"/>
          <w:sz w:val="24"/>
          <w:szCs w:val="24"/>
        </w:rPr>
        <w:t xml:space="preserve"> Layer V - massive structure</w:t>
      </w:r>
      <w:r w:rsidR="00B2614B">
        <w:rPr>
          <w:b w:val="0"/>
          <w:bCs w:val="0"/>
          <w:sz w:val="24"/>
          <w:szCs w:val="24"/>
        </w:rPr>
        <w:t xml:space="preserve">. </w:t>
      </w:r>
      <w:r w:rsidRPr="003A5E39">
        <w:rPr>
          <w:b w:val="0"/>
          <w:bCs w:val="0"/>
          <w:sz w:val="24"/>
          <w:szCs w:val="24"/>
        </w:rPr>
        <w:t>G</w:t>
      </w:r>
      <w:r w:rsidR="00B2614B">
        <w:rPr>
          <w:b w:val="0"/>
          <w:bCs w:val="0"/>
          <w:sz w:val="24"/>
          <w:szCs w:val="24"/>
        </w:rPr>
        <w:t>.</w:t>
      </w:r>
      <w:r w:rsidRPr="003A5E39">
        <w:rPr>
          <w:b w:val="0"/>
          <w:bCs w:val="0"/>
          <w:sz w:val="24"/>
          <w:szCs w:val="24"/>
        </w:rPr>
        <w:t xml:space="preserve"> Layer IV- &amp; V- lamination texture, colour changed from dark </w:t>
      </w:r>
      <w:proofErr w:type="spellStart"/>
      <w:r w:rsidRPr="003A5E39">
        <w:rPr>
          <w:b w:val="0"/>
          <w:bCs w:val="0"/>
          <w:sz w:val="24"/>
          <w:szCs w:val="24"/>
        </w:rPr>
        <w:t>gray</w:t>
      </w:r>
      <w:proofErr w:type="spellEnd"/>
      <w:r w:rsidRPr="003A5E39">
        <w:rPr>
          <w:b w:val="0"/>
          <w:bCs w:val="0"/>
          <w:sz w:val="24"/>
          <w:szCs w:val="24"/>
        </w:rPr>
        <w:t xml:space="preserve"> to pale</w:t>
      </w:r>
      <w:r w:rsidR="00B2614B">
        <w:rPr>
          <w:b w:val="0"/>
          <w:bCs w:val="0"/>
          <w:sz w:val="24"/>
          <w:szCs w:val="24"/>
        </w:rPr>
        <w:t xml:space="preserve">. </w:t>
      </w:r>
      <w:r w:rsidRPr="003A5E39">
        <w:rPr>
          <w:b w:val="0"/>
          <w:bCs w:val="0"/>
          <w:sz w:val="24"/>
          <w:szCs w:val="24"/>
        </w:rPr>
        <w:t>H</w:t>
      </w:r>
      <w:r w:rsidR="00B2614B">
        <w:rPr>
          <w:b w:val="0"/>
          <w:bCs w:val="0"/>
          <w:sz w:val="24"/>
          <w:szCs w:val="24"/>
        </w:rPr>
        <w:t>.</w:t>
      </w:r>
      <w:r w:rsidRPr="003A5E39">
        <w:rPr>
          <w:b w:val="0"/>
          <w:bCs w:val="0"/>
          <w:sz w:val="24"/>
          <w:szCs w:val="24"/>
        </w:rPr>
        <w:t xml:space="preserve"> Layer VI - thin laminated structure with phosphate interlayer and crosscutting veinlets</w:t>
      </w:r>
      <w:r w:rsidR="00B2614B">
        <w:rPr>
          <w:b w:val="0"/>
          <w:bCs w:val="0"/>
          <w:sz w:val="24"/>
          <w:szCs w:val="24"/>
        </w:rPr>
        <w:t>. I.</w:t>
      </w:r>
      <w:r w:rsidRPr="003A5E39">
        <w:rPr>
          <w:b w:val="0"/>
          <w:bCs w:val="0"/>
          <w:sz w:val="24"/>
          <w:szCs w:val="24"/>
        </w:rPr>
        <w:t xml:space="preserve"> Layer VII - laminar structure with its gaps are much larger than Layer VI (0.8</w:t>
      </w:r>
      <w:r w:rsidRPr="003A5E39">
        <w:rPr>
          <w:rFonts w:cs="Times New Roman"/>
          <w:b w:val="0"/>
          <w:bCs w:val="0"/>
          <w:sz w:val="24"/>
          <w:szCs w:val="24"/>
        </w:rPr>
        <w:t>–</w:t>
      </w:r>
      <w:r w:rsidRPr="003A5E39">
        <w:rPr>
          <w:b w:val="0"/>
          <w:bCs w:val="0"/>
          <w:sz w:val="24"/>
          <w:szCs w:val="24"/>
        </w:rPr>
        <w:t>2.5 mm, mostly approximately 2 mm)</w:t>
      </w:r>
    </w:p>
    <w:p w14:paraId="57386F82" w14:textId="77777777" w:rsidR="002E719C" w:rsidRDefault="00000000" w:rsidP="00D85F06">
      <w:pPr>
        <w:spacing w:line="480" w:lineRule="auto"/>
        <w:ind w:firstLineChars="0" w:firstLine="0"/>
        <w:rPr>
          <w:szCs w:val="21"/>
        </w:rPr>
      </w:pPr>
      <w:r w:rsidRPr="00D015B2">
        <w:rPr>
          <w:noProof/>
          <w:szCs w:val="21"/>
          <w:lang w:eastAsia="en-US"/>
        </w:rPr>
        <w:drawing>
          <wp:inline distT="0" distB="0" distL="0" distR="0" wp14:anchorId="25009E14" wp14:editId="23BD2DB9">
            <wp:extent cx="5273675" cy="3882390"/>
            <wp:effectExtent l="0" t="0" r="3175" b="3810"/>
            <wp:docPr id="5" name="图片 5" descr="J:\130508-研究样品\解释结果\有关样品\9号样品-各个层位的代表图片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J:\130508-研究样品\解释结果\有关样品\9号样品-各个层位的代表图片1.jpg"/>
                    <pic:cNvPicPr>
                      <a:picLocks noChangeAspect="1" noChangeArrowheads="1"/>
                    </pic:cNvPicPr>
                  </pic:nvPicPr>
                  <pic:blipFill>
                    <a:blip r:embed="rId10" cstate="print">
                      <a:extLst>
                        <a:ext uri="{28A0092B-C50C-407E-A947-70E740481C1C}">
                          <a14:useLocalDpi xmlns:a14="http://schemas.microsoft.com/office/drawing/2010/main" val="0"/>
                        </a:ext>
                      </a:extLst>
                    </a:blip>
                    <a:srcRect b="3778"/>
                    <a:stretch>
                      <a:fillRect/>
                    </a:stretch>
                  </pic:blipFill>
                  <pic:spPr>
                    <a:xfrm>
                      <a:off x="0" y="0"/>
                      <a:ext cx="5274310" cy="3882997"/>
                    </a:xfrm>
                    <a:prstGeom prst="rect">
                      <a:avLst/>
                    </a:prstGeom>
                    <a:noFill/>
                    <a:ln>
                      <a:noFill/>
                    </a:ln>
                  </pic:spPr>
                </pic:pic>
              </a:graphicData>
            </a:graphic>
          </wp:inline>
        </w:drawing>
      </w:r>
    </w:p>
    <w:p w14:paraId="24F8F6AF" w14:textId="25B9D68D" w:rsidR="00D124C1" w:rsidRPr="0083410F" w:rsidRDefault="00D124C1" w:rsidP="00D124C1">
      <w:pPr>
        <w:pStyle w:val="1"/>
        <w:spacing w:line="480" w:lineRule="auto"/>
        <w:ind w:firstLineChars="0" w:firstLine="0"/>
        <w:rPr>
          <w:b w:val="0"/>
          <w:bCs w:val="0"/>
          <w:sz w:val="24"/>
          <w:szCs w:val="24"/>
        </w:rPr>
      </w:pPr>
      <w:r w:rsidRPr="00522D60">
        <w:rPr>
          <w:sz w:val="24"/>
          <w:szCs w:val="24"/>
        </w:rPr>
        <w:lastRenderedPageBreak/>
        <w:t>Fig. S</w:t>
      </w:r>
      <w:r>
        <w:rPr>
          <w:sz w:val="24"/>
          <w:szCs w:val="24"/>
        </w:rPr>
        <w:t>4</w:t>
      </w:r>
      <w:r w:rsidRPr="00522D60">
        <w:rPr>
          <w:sz w:val="24"/>
          <w:szCs w:val="24"/>
        </w:rPr>
        <w:t xml:space="preserve"> Osmium isotope composition of the ferromanganese </w:t>
      </w:r>
      <w:r>
        <w:rPr>
          <w:sz w:val="24"/>
          <w:szCs w:val="24"/>
        </w:rPr>
        <w:t>(</w:t>
      </w:r>
      <w:r w:rsidRPr="00522D60">
        <w:rPr>
          <w:sz w:val="24"/>
          <w:szCs w:val="24"/>
        </w:rPr>
        <w:t>Fe-Mn</w:t>
      </w:r>
      <w:r>
        <w:rPr>
          <w:sz w:val="24"/>
          <w:szCs w:val="24"/>
        </w:rPr>
        <w:t>)</w:t>
      </w:r>
      <w:r w:rsidRPr="00522D60">
        <w:rPr>
          <w:sz w:val="24"/>
          <w:szCs w:val="24"/>
        </w:rPr>
        <w:t xml:space="preserve"> crust in this study</w:t>
      </w:r>
      <w:r w:rsidRPr="0083410F">
        <w:rPr>
          <w:b w:val="0"/>
          <w:bCs w:val="0"/>
          <w:sz w:val="24"/>
          <w:szCs w:val="24"/>
        </w:rPr>
        <w:t xml:space="preserve">. </w:t>
      </w:r>
      <w:r>
        <w:rPr>
          <w:b w:val="0"/>
          <w:bCs w:val="0"/>
          <w:sz w:val="24"/>
          <w:szCs w:val="24"/>
        </w:rPr>
        <w:t>A.</w:t>
      </w:r>
      <w:r w:rsidRPr="0083410F">
        <w:rPr>
          <w:b w:val="0"/>
          <w:bCs w:val="0"/>
          <w:sz w:val="24"/>
          <w:szCs w:val="24"/>
        </w:rPr>
        <w:t xml:space="preserve"> Co-date</w:t>
      </w:r>
      <w:r>
        <w:rPr>
          <w:b w:val="0"/>
          <w:bCs w:val="0"/>
          <w:sz w:val="24"/>
          <w:szCs w:val="24"/>
        </w:rPr>
        <w:t xml:space="preserve"> B.</w:t>
      </w:r>
      <w:r w:rsidRPr="0083410F">
        <w:rPr>
          <w:b w:val="0"/>
          <w:bCs w:val="0"/>
          <w:sz w:val="24"/>
          <w:szCs w:val="24"/>
        </w:rPr>
        <w:t xml:space="preserve"> model age with hiatus</w:t>
      </w:r>
      <w:r>
        <w:rPr>
          <w:b w:val="0"/>
          <w:bCs w:val="0"/>
          <w:sz w:val="24"/>
          <w:szCs w:val="24"/>
        </w:rPr>
        <w:t>. C.</w:t>
      </w:r>
      <w:r w:rsidRPr="0083410F">
        <w:rPr>
          <w:b w:val="0"/>
          <w:bCs w:val="0"/>
          <w:sz w:val="24"/>
          <w:szCs w:val="24"/>
        </w:rPr>
        <w:t xml:space="preserve"> fraction of total depth from the top of sample </w:t>
      </w:r>
      <w:r>
        <w:rPr>
          <w:b w:val="0"/>
          <w:bCs w:val="0"/>
          <w:sz w:val="24"/>
          <w:szCs w:val="24"/>
        </w:rPr>
        <w:t>and D.</w:t>
      </w:r>
      <w:r w:rsidRPr="0083410F">
        <w:rPr>
          <w:b w:val="0"/>
          <w:bCs w:val="0"/>
          <w:sz w:val="24"/>
          <w:szCs w:val="24"/>
        </w:rPr>
        <w:t xml:space="preserve"> revised age model. The fraction of total depth from the sample top and model of CD29 and D11 determined by Nielsen et al. (2009)</w:t>
      </w:r>
      <w:r w:rsidR="00EC12A1">
        <w:rPr>
          <w:b w:val="0"/>
          <w:bCs w:val="0"/>
          <w:sz w:val="24"/>
          <w:szCs w:val="24"/>
          <w:vertAlign w:val="superscript"/>
        </w:rPr>
        <w:t>14</w:t>
      </w:r>
      <w:r w:rsidR="004878E2" w:rsidRPr="0083410F">
        <w:rPr>
          <w:b w:val="0"/>
          <w:bCs w:val="0"/>
          <w:sz w:val="24"/>
          <w:szCs w:val="24"/>
        </w:rPr>
        <w:t xml:space="preserve"> </w:t>
      </w:r>
      <w:proofErr w:type="gramStart"/>
      <w:r w:rsidRPr="0083410F">
        <w:rPr>
          <w:b w:val="0"/>
          <w:bCs w:val="0"/>
          <w:sz w:val="24"/>
          <w:szCs w:val="24"/>
        </w:rPr>
        <w:t>are</w:t>
      </w:r>
      <w:proofErr w:type="gramEnd"/>
      <w:r w:rsidRPr="0083410F">
        <w:rPr>
          <w:b w:val="0"/>
          <w:bCs w:val="0"/>
          <w:sz w:val="24"/>
          <w:szCs w:val="24"/>
        </w:rPr>
        <w:t xml:space="preserve"> also plotted versus Osmium isotope composition in C and D.</w:t>
      </w:r>
    </w:p>
    <w:p w14:paraId="7E1C4CC5" w14:textId="77777777" w:rsidR="00D124C1" w:rsidRPr="00D015B2" w:rsidRDefault="00D124C1" w:rsidP="00D124C1">
      <w:pPr>
        <w:spacing w:line="480" w:lineRule="auto"/>
        <w:ind w:firstLineChars="0" w:firstLine="0"/>
        <w:jc w:val="center"/>
      </w:pPr>
      <w:r w:rsidRPr="00D015B2">
        <w:rPr>
          <w:noProof/>
          <w:lang w:eastAsia="en-US"/>
        </w:rPr>
        <w:drawing>
          <wp:inline distT="0" distB="0" distL="0" distR="0" wp14:anchorId="657A96A4" wp14:editId="2AF1EF64">
            <wp:extent cx="5274310" cy="4415155"/>
            <wp:effectExtent l="0" t="0" r="2540" b="4445"/>
            <wp:docPr id="511483916" name="图片 511483916"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038020" name="图片 2" descr="图表, 散点图&#10;&#10;描述已自动生成"/>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4415155"/>
                    </a:xfrm>
                    <a:prstGeom prst="rect">
                      <a:avLst/>
                    </a:prstGeom>
                  </pic:spPr>
                </pic:pic>
              </a:graphicData>
            </a:graphic>
          </wp:inline>
        </w:drawing>
      </w:r>
    </w:p>
    <w:p w14:paraId="1EBA206C" w14:textId="77777777" w:rsidR="00D124C1" w:rsidRPr="00D015B2" w:rsidRDefault="00D124C1" w:rsidP="00D124C1">
      <w:pPr>
        <w:spacing w:line="480" w:lineRule="auto"/>
        <w:ind w:firstLineChars="0" w:firstLine="0"/>
        <w:jc w:val="left"/>
        <w:rPr>
          <w:b/>
        </w:rPr>
      </w:pPr>
      <w:r w:rsidRPr="00D015B2">
        <w:rPr>
          <w:b/>
        </w:rPr>
        <w:br w:type="page"/>
      </w:r>
    </w:p>
    <w:p w14:paraId="377DB38F" w14:textId="0014857E" w:rsidR="002E719C" w:rsidRPr="0083410F" w:rsidRDefault="00000000" w:rsidP="007806D2">
      <w:pPr>
        <w:pStyle w:val="3"/>
        <w:spacing w:line="480" w:lineRule="auto"/>
        <w:ind w:firstLineChars="0" w:firstLine="0"/>
        <w:rPr>
          <w:b w:val="0"/>
          <w:bCs w:val="0"/>
          <w:sz w:val="24"/>
          <w:szCs w:val="24"/>
        </w:rPr>
      </w:pPr>
      <w:r w:rsidRPr="00522D60">
        <w:rPr>
          <w:sz w:val="24"/>
          <w:szCs w:val="24"/>
        </w:rPr>
        <w:lastRenderedPageBreak/>
        <w:t>Fig.S</w:t>
      </w:r>
      <w:r w:rsidR="00D124C1">
        <w:rPr>
          <w:sz w:val="24"/>
          <w:szCs w:val="24"/>
        </w:rPr>
        <w:t>5</w:t>
      </w:r>
      <w:r w:rsidRPr="00522D60">
        <w:rPr>
          <w:sz w:val="24"/>
          <w:szCs w:val="24"/>
        </w:rPr>
        <w:t xml:space="preserve"> Ternary diagrams</w:t>
      </w:r>
      <w:r w:rsidR="0007737D">
        <w:rPr>
          <w:sz w:val="24"/>
          <w:szCs w:val="24"/>
        </w:rPr>
        <w:t xml:space="preserve">. </w:t>
      </w:r>
      <w:r w:rsidRPr="0083410F">
        <w:rPr>
          <w:b w:val="0"/>
          <w:bCs w:val="0"/>
          <w:sz w:val="24"/>
          <w:szCs w:val="24"/>
        </w:rPr>
        <w:t>A</w:t>
      </w:r>
      <w:r w:rsidR="00B2614B" w:rsidRPr="0083410F">
        <w:rPr>
          <w:b w:val="0"/>
          <w:bCs w:val="0"/>
          <w:sz w:val="24"/>
          <w:szCs w:val="24"/>
        </w:rPr>
        <w:t>.</w:t>
      </w:r>
      <w:r w:rsidRPr="0083410F">
        <w:rPr>
          <w:b w:val="0"/>
          <w:bCs w:val="0"/>
          <w:sz w:val="24"/>
          <w:szCs w:val="24"/>
        </w:rPr>
        <w:t xml:space="preserve"> Mn: Fe: (Ni + Cu +Co) (with fields modified Menendez et al., 2019)</w:t>
      </w:r>
      <w:r w:rsidR="00EC12A1">
        <w:rPr>
          <w:b w:val="0"/>
          <w:bCs w:val="0"/>
          <w:sz w:val="24"/>
          <w:szCs w:val="24"/>
          <w:vertAlign w:val="superscript"/>
        </w:rPr>
        <w:t>16</w:t>
      </w:r>
      <w:r w:rsidRPr="0083410F">
        <w:rPr>
          <w:b w:val="0"/>
          <w:bCs w:val="0"/>
          <w:sz w:val="24"/>
          <w:szCs w:val="24"/>
        </w:rPr>
        <w:t xml:space="preserve"> and B</w:t>
      </w:r>
      <w:r w:rsidR="00B2614B" w:rsidRPr="0083410F">
        <w:rPr>
          <w:b w:val="0"/>
          <w:bCs w:val="0"/>
          <w:sz w:val="24"/>
          <w:szCs w:val="24"/>
        </w:rPr>
        <w:t>.</w:t>
      </w:r>
      <w:r w:rsidRPr="0083410F">
        <w:rPr>
          <w:b w:val="0"/>
          <w:bCs w:val="0"/>
          <w:sz w:val="24"/>
          <w:szCs w:val="24"/>
        </w:rPr>
        <w:t xml:space="preserve"> (Fe + Mn): (Cu + Ni): (Zr + Y + Ce) (with fields modified </w:t>
      </w:r>
      <w:proofErr w:type="spellStart"/>
      <w:r w:rsidRPr="00055887">
        <w:rPr>
          <w:b w:val="0"/>
          <w:bCs w:val="0"/>
          <w:sz w:val="24"/>
          <w:szCs w:val="24"/>
        </w:rPr>
        <w:t>Josso</w:t>
      </w:r>
      <w:proofErr w:type="spellEnd"/>
      <w:r w:rsidRPr="00055887">
        <w:rPr>
          <w:b w:val="0"/>
          <w:bCs w:val="0"/>
          <w:sz w:val="24"/>
          <w:szCs w:val="24"/>
        </w:rPr>
        <w:t xml:space="preserve"> et al., </w:t>
      </w:r>
      <w:r w:rsidR="00A16F7E" w:rsidRPr="00055887">
        <w:rPr>
          <w:b w:val="0"/>
          <w:bCs w:val="0"/>
          <w:sz w:val="24"/>
          <w:szCs w:val="24"/>
        </w:rPr>
        <w:t>2020</w:t>
      </w:r>
      <w:r w:rsidRPr="00055887">
        <w:rPr>
          <w:b w:val="0"/>
          <w:bCs w:val="0"/>
          <w:sz w:val="24"/>
          <w:szCs w:val="24"/>
        </w:rPr>
        <w:t>)</w:t>
      </w:r>
      <w:r w:rsidR="004878E2" w:rsidRPr="00055887">
        <w:rPr>
          <w:b w:val="0"/>
          <w:bCs w:val="0"/>
          <w:sz w:val="24"/>
          <w:szCs w:val="24"/>
          <w:vertAlign w:val="superscript"/>
        </w:rPr>
        <w:t>6</w:t>
      </w:r>
      <w:r w:rsidRPr="0083410F">
        <w:rPr>
          <w:b w:val="0"/>
          <w:bCs w:val="0"/>
          <w:sz w:val="24"/>
          <w:szCs w:val="24"/>
        </w:rPr>
        <w:t xml:space="preserve"> for all subsamples of the Fe-Mn crust analysed in this study. All the crust samples in this study are in the </w:t>
      </w:r>
      <w:proofErr w:type="spellStart"/>
      <w:r w:rsidRPr="0083410F">
        <w:rPr>
          <w:b w:val="0"/>
          <w:bCs w:val="0"/>
          <w:sz w:val="24"/>
          <w:szCs w:val="24"/>
        </w:rPr>
        <w:t>hydrogenetic</w:t>
      </w:r>
      <w:proofErr w:type="spellEnd"/>
      <w:r w:rsidRPr="0083410F">
        <w:rPr>
          <w:b w:val="0"/>
          <w:bCs w:val="0"/>
          <w:sz w:val="24"/>
          <w:szCs w:val="24"/>
        </w:rPr>
        <w:t xml:space="preserve"> area of the ternary diagram, indicating the </w:t>
      </w:r>
      <w:proofErr w:type="spellStart"/>
      <w:r w:rsidRPr="0083410F">
        <w:rPr>
          <w:b w:val="0"/>
          <w:bCs w:val="0"/>
          <w:sz w:val="24"/>
          <w:szCs w:val="24"/>
        </w:rPr>
        <w:t>hydrogenetic</w:t>
      </w:r>
      <w:proofErr w:type="spellEnd"/>
      <w:r w:rsidRPr="0083410F">
        <w:rPr>
          <w:b w:val="0"/>
          <w:bCs w:val="0"/>
          <w:sz w:val="24"/>
          <w:szCs w:val="24"/>
        </w:rPr>
        <w:t xml:space="preserve"> nature of the subsamples from the ferromanganese crust.</w:t>
      </w:r>
    </w:p>
    <w:p w14:paraId="75699670" w14:textId="03EFC784" w:rsidR="007806D2" w:rsidRDefault="00000000" w:rsidP="007806D2">
      <w:pPr>
        <w:spacing w:line="480" w:lineRule="auto"/>
        <w:ind w:firstLineChars="0" w:firstLine="0"/>
        <w:rPr>
          <w:rFonts w:eastAsiaTheme="minorEastAsia"/>
          <w:b/>
        </w:rPr>
      </w:pPr>
      <w:r w:rsidRPr="00D015B2">
        <w:rPr>
          <w:rFonts w:eastAsia="AdvEPSTIM"/>
          <w:noProof/>
          <w:kern w:val="0"/>
          <w:sz w:val="21"/>
          <w:szCs w:val="21"/>
          <w:lang w:eastAsia="en-US"/>
        </w:rPr>
        <w:drawing>
          <wp:inline distT="0" distB="0" distL="0" distR="0" wp14:anchorId="2B8FDE7C" wp14:editId="49571170">
            <wp:extent cx="5274310" cy="2195830"/>
            <wp:effectExtent l="0" t="0" r="2540" b="0"/>
            <wp:docPr id="3" name="图片 3"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示&#10;&#10;描述已自动生成"/>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2195830"/>
                    </a:xfrm>
                    <a:prstGeom prst="rect">
                      <a:avLst/>
                    </a:prstGeom>
                  </pic:spPr>
                </pic:pic>
              </a:graphicData>
            </a:graphic>
          </wp:inline>
        </w:drawing>
      </w:r>
      <w:r w:rsidR="007806D2">
        <w:rPr>
          <w:rFonts w:eastAsiaTheme="minorEastAsia"/>
          <w:b/>
        </w:rPr>
        <w:br w:type="page"/>
      </w:r>
    </w:p>
    <w:p w14:paraId="3EE1861E" w14:textId="00226C37" w:rsidR="002E719C" w:rsidRPr="0083410F" w:rsidRDefault="007806D2" w:rsidP="00D85F06">
      <w:pPr>
        <w:pStyle w:val="1"/>
        <w:spacing w:line="480" w:lineRule="auto"/>
        <w:ind w:firstLineChars="0" w:firstLine="0"/>
        <w:rPr>
          <w:b w:val="0"/>
          <w:bCs w:val="0"/>
          <w:sz w:val="24"/>
          <w:szCs w:val="24"/>
        </w:rPr>
      </w:pPr>
      <w:r w:rsidRPr="00D015B2">
        <w:rPr>
          <w:b w:val="0"/>
          <w:bCs w:val="0"/>
          <w:noProof/>
          <w:szCs w:val="32"/>
          <w:lang w:eastAsia="en-US"/>
        </w:rPr>
        <w:lastRenderedPageBreak/>
        <w:drawing>
          <wp:anchor distT="0" distB="0" distL="114300" distR="114300" simplePos="0" relativeHeight="251662336" behindDoc="0" locked="0" layoutInCell="1" allowOverlap="1" wp14:anchorId="55833C3A" wp14:editId="0700408B">
            <wp:simplePos x="0" y="0"/>
            <wp:positionH relativeFrom="margin">
              <wp:posOffset>293298</wp:posOffset>
            </wp:positionH>
            <wp:positionV relativeFrom="paragraph">
              <wp:posOffset>1485696</wp:posOffset>
            </wp:positionV>
            <wp:extent cx="4148455" cy="5083810"/>
            <wp:effectExtent l="0" t="0" r="5080" b="2540"/>
            <wp:wrapTopAndBottom/>
            <wp:docPr id="954616270" name="图片 954616270"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010581" name="图片 1" descr="图表&#10;&#10;描述已自动生成"/>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48455" cy="5083810"/>
                    </a:xfrm>
                    <a:prstGeom prst="rect">
                      <a:avLst/>
                    </a:prstGeom>
                  </pic:spPr>
                </pic:pic>
              </a:graphicData>
            </a:graphic>
          </wp:anchor>
        </w:drawing>
      </w:r>
      <w:r w:rsidRPr="00522D60">
        <w:rPr>
          <w:sz w:val="24"/>
          <w:szCs w:val="24"/>
        </w:rPr>
        <w:t>Fig.</w:t>
      </w:r>
      <w:r w:rsidR="00D124C1" w:rsidRPr="00522D60">
        <w:rPr>
          <w:sz w:val="24"/>
          <w:szCs w:val="24"/>
        </w:rPr>
        <w:t>S</w:t>
      </w:r>
      <w:r w:rsidR="00AD060F">
        <w:rPr>
          <w:sz w:val="24"/>
          <w:szCs w:val="24"/>
        </w:rPr>
        <w:t>6</w:t>
      </w:r>
      <w:r w:rsidRPr="00522D60">
        <w:rPr>
          <w:sz w:val="24"/>
          <w:szCs w:val="24"/>
        </w:rPr>
        <w:t xml:space="preserve"> </w:t>
      </w:r>
      <w:r w:rsidRPr="0083410F">
        <w:rPr>
          <w:b w:val="0"/>
          <w:bCs w:val="0"/>
          <w:sz w:val="24"/>
          <w:szCs w:val="24"/>
        </w:rPr>
        <w:t xml:space="preserve">A. Variation of </w:t>
      </w:r>
      <w:r w:rsidRPr="0083410F">
        <w:rPr>
          <w:rFonts w:cs="Times New Roman"/>
          <w:b w:val="0"/>
          <w:bCs w:val="0"/>
          <w:sz w:val="24"/>
          <w:szCs w:val="24"/>
        </w:rPr>
        <w:t>δ</w:t>
      </w:r>
      <w:r w:rsidRPr="0083410F">
        <w:rPr>
          <w:b w:val="0"/>
          <w:bCs w:val="0"/>
          <w:sz w:val="24"/>
          <w:szCs w:val="24"/>
          <w:vertAlign w:val="superscript"/>
        </w:rPr>
        <w:t>98/95</w:t>
      </w:r>
      <w:r w:rsidRPr="0083410F">
        <w:rPr>
          <w:b w:val="0"/>
          <w:bCs w:val="0"/>
          <w:sz w:val="24"/>
          <w:szCs w:val="24"/>
        </w:rPr>
        <w:t>Mo versus Fe/Mn ratios and P</w:t>
      </w:r>
      <w:r w:rsidRPr="0083410F">
        <w:rPr>
          <w:b w:val="0"/>
          <w:bCs w:val="0"/>
          <w:sz w:val="24"/>
          <w:szCs w:val="24"/>
          <w:vertAlign w:val="subscript"/>
        </w:rPr>
        <w:t>2</w:t>
      </w:r>
      <w:r w:rsidRPr="0083410F">
        <w:rPr>
          <w:b w:val="0"/>
          <w:bCs w:val="0"/>
          <w:sz w:val="24"/>
          <w:szCs w:val="24"/>
        </w:rPr>
        <w:t>O</w:t>
      </w:r>
      <w:r w:rsidRPr="0083410F">
        <w:rPr>
          <w:b w:val="0"/>
          <w:bCs w:val="0"/>
          <w:sz w:val="24"/>
          <w:szCs w:val="24"/>
          <w:vertAlign w:val="subscript"/>
        </w:rPr>
        <w:t>5</w:t>
      </w:r>
      <w:r w:rsidRPr="0083410F">
        <w:rPr>
          <w:b w:val="0"/>
          <w:bCs w:val="0"/>
          <w:sz w:val="24"/>
          <w:szCs w:val="24"/>
        </w:rPr>
        <w:t xml:space="preserve"> contents with depth in </w:t>
      </w:r>
      <w:r w:rsidR="0007737D" w:rsidRPr="0083410F">
        <w:rPr>
          <w:b w:val="0"/>
          <w:bCs w:val="0"/>
          <w:sz w:val="24"/>
          <w:szCs w:val="24"/>
        </w:rPr>
        <w:t>ferromanganese</w:t>
      </w:r>
      <w:r w:rsidR="0007737D" w:rsidRPr="0007737D">
        <w:rPr>
          <w:b w:val="0"/>
          <w:bCs w:val="0"/>
          <w:sz w:val="24"/>
          <w:szCs w:val="24"/>
        </w:rPr>
        <w:t xml:space="preserve"> </w:t>
      </w:r>
      <w:r w:rsidR="0007737D">
        <w:rPr>
          <w:b w:val="0"/>
          <w:bCs w:val="0"/>
          <w:sz w:val="24"/>
          <w:szCs w:val="24"/>
        </w:rPr>
        <w:t>(</w:t>
      </w:r>
      <w:r w:rsidRPr="0083410F">
        <w:rPr>
          <w:b w:val="0"/>
          <w:bCs w:val="0"/>
          <w:sz w:val="24"/>
          <w:szCs w:val="24"/>
        </w:rPr>
        <w:t>Fe-Mn</w:t>
      </w:r>
      <w:r w:rsidR="0007737D">
        <w:rPr>
          <w:b w:val="0"/>
          <w:bCs w:val="0"/>
          <w:sz w:val="24"/>
          <w:szCs w:val="24"/>
        </w:rPr>
        <w:t>)</w:t>
      </w:r>
      <w:r w:rsidRPr="0083410F">
        <w:rPr>
          <w:b w:val="0"/>
          <w:bCs w:val="0"/>
          <w:sz w:val="24"/>
          <w:szCs w:val="24"/>
        </w:rPr>
        <w:t xml:space="preserve"> crust. B and C. Plots of </w:t>
      </w:r>
      <w:r w:rsidRPr="0083410F">
        <w:rPr>
          <w:rFonts w:cs="Times New Roman"/>
          <w:b w:val="0"/>
          <w:bCs w:val="0"/>
          <w:sz w:val="24"/>
          <w:szCs w:val="24"/>
        </w:rPr>
        <w:t>δ</w:t>
      </w:r>
      <w:r w:rsidRPr="0083410F">
        <w:rPr>
          <w:b w:val="0"/>
          <w:bCs w:val="0"/>
          <w:sz w:val="24"/>
          <w:szCs w:val="24"/>
          <w:vertAlign w:val="superscript"/>
        </w:rPr>
        <w:t>98/95</w:t>
      </w:r>
      <w:r w:rsidRPr="0083410F">
        <w:rPr>
          <w:b w:val="0"/>
          <w:bCs w:val="0"/>
          <w:sz w:val="24"/>
          <w:szCs w:val="24"/>
        </w:rPr>
        <w:t>Mo vs. Fe/Mn and P</w:t>
      </w:r>
      <w:r w:rsidRPr="0083410F">
        <w:rPr>
          <w:b w:val="0"/>
          <w:bCs w:val="0"/>
          <w:sz w:val="24"/>
          <w:szCs w:val="24"/>
          <w:vertAlign w:val="subscript"/>
        </w:rPr>
        <w:t>2</w:t>
      </w:r>
      <w:r w:rsidRPr="0083410F">
        <w:rPr>
          <w:b w:val="0"/>
          <w:bCs w:val="0"/>
          <w:sz w:val="24"/>
          <w:szCs w:val="24"/>
        </w:rPr>
        <w:t>O</w:t>
      </w:r>
      <w:r w:rsidRPr="0083410F">
        <w:rPr>
          <w:b w:val="0"/>
          <w:bCs w:val="0"/>
          <w:sz w:val="24"/>
          <w:szCs w:val="24"/>
          <w:vertAlign w:val="subscript"/>
        </w:rPr>
        <w:t>5</w:t>
      </w:r>
      <w:r w:rsidRPr="0083410F">
        <w:rPr>
          <w:b w:val="0"/>
          <w:bCs w:val="0"/>
          <w:sz w:val="24"/>
          <w:szCs w:val="24"/>
        </w:rPr>
        <w:t xml:space="preserve"> for Fe-Mn crust sub-profile samples.</w:t>
      </w:r>
      <w:r w:rsidRPr="00522D60">
        <w:rPr>
          <w:sz w:val="24"/>
          <w:szCs w:val="24"/>
        </w:rPr>
        <w:t xml:space="preserve"> </w:t>
      </w:r>
    </w:p>
    <w:p w14:paraId="55CF7366" w14:textId="28F9A003" w:rsidR="007806D2" w:rsidRDefault="007806D2">
      <w:pPr>
        <w:widowControl/>
        <w:ind w:firstLineChars="0" w:firstLine="0"/>
        <w:jc w:val="left"/>
        <w:rPr>
          <w:b/>
          <w:bCs/>
          <w:szCs w:val="32"/>
        </w:rPr>
      </w:pPr>
      <w:r>
        <w:rPr>
          <w:b/>
          <w:bCs/>
          <w:szCs w:val="32"/>
        </w:rPr>
        <w:br w:type="page"/>
      </w:r>
    </w:p>
    <w:p w14:paraId="3857CB5B" w14:textId="23E60061" w:rsidR="007806D2" w:rsidRPr="00522D60" w:rsidRDefault="007806D2" w:rsidP="007806D2">
      <w:pPr>
        <w:pStyle w:val="1"/>
        <w:spacing w:line="480" w:lineRule="auto"/>
        <w:ind w:firstLineChars="0" w:firstLine="0"/>
        <w:rPr>
          <w:sz w:val="24"/>
          <w:szCs w:val="24"/>
        </w:rPr>
      </w:pPr>
      <w:r w:rsidRPr="00522D60">
        <w:rPr>
          <w:sz w:val="24"/>
          <w:szCs w:val="24"/>
        </w:rPr>
        <w:lastRenderedPageBreak/>
        <w:t>Fig.S</w:t>
      </w:r>
      <w:r>
        <w:rPr>
          <w:sz w:val="24"/>
          <w:szCs w:val="24"/>
        </w:rPr>
        <w:t>7</w:t>
      </w:r>
      <w:r w:rsidRPr="00522D60">
        <w:rPr>
          <w:sz w:val="24"/>
          <w:szCs w:val="24"/>
        </w:rPr>
        <w:t xml:space="preserve"> NASC-normalised (Haskin et al., 1968) REE and Y composition</w:t>
      </w:r>
      <w:r>
        <w:rPr>
          <w:sz w:val="24"/>
          <w:szCs w:val="24"/>
        </w:rPr>
        <w:t>.</w:t>
      </w:r>
      <w:r w:rsidRPr="0083410F">
        <w:rPr>
          <w:b w:val="0"/>
          <w:bCs w:val="0"/>
          <w:sz w:val="24"/>
          <w:szCs w:val="24"/>
        </w:rPr>
        <w:t xml:space="preserve"> A. unaltered and B. phosphatised subsamples. </w:t>
      </w:r>
    </w:p>
    <w:p w14:paraId="1B214424" w14:textId="77777777" w:rsidR="007806D2" w:rsidRPr="00D015B2" w:rsidRDefault="007806D2" w:rsidP="007806D2">
      <w:pPr>
        <w:spacing w:line="480" w:lineRule="auto"/>
        <w:ind w:firstLineChars="0" w:firstLine="0"/>
        <w:rPr>
          <w:rFonts w:eastAsiaTheme="minorEastAsia"/>
        </w:rPr>
      </w:pPr>
      <w:r w:rsidRPr="00D015B2">
        <w:rPr>
          <w:rFonts w:eastAsiaTheme="minorEastAsia"/>
          <w:noProof/>
          <w:lang w:eastAsia="en-US"/>
        </w:rPr>
        <w:drawing>
          <wp:inline distT="0" distB="0" distL="0" distR="0" wp14:anchorId="3D00E26F" wp14:editId="65FB8D65">
            <wp:extent cx="5274310" cy="1495425"/>
            <wp:effectExtent l="0" t="0" r="2540" b="9525"/>
            <wp:docPr id="2070357018" name="图片 2070357018" descr="图表, 图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表, 图示&#10;&#10;中度可信度描述已自动生成"/>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1495425"/>
                    </a:xfrm>
                    <a:prstGeom prst="rect">
                      <a:avLst/>
                    </a:prstGeom>
                  </pic:spPr>
                </pic:pic>
              </a:graphicData>
            </a:graphic>
          </wp:inline>
        </w:drawing>
      </w:r>
    </w:p>
    <w:p w14:paraId="663FEA00" w14:textId="77777777" w:rsidR="007806D2" w:rsidRPr="00D015B2" w:rsidRDefault="007806D2" w:rsidP="007806D2">
      <w:pPr>
        <w:widowControl/>
        <w:spacing w:line="480" w:lineRule="auto"/>
        <w:ind w:firstLineChars="0" w:firstLine="0"/>
        <w:jc w:val="left"/>
      </w:pPr>
      <w:r w:rsidRPr="00D015B2">
        <w:br w:type="page"/>
      </w:r>
    </w:p>
    <w:p w14:paraId="41B5FCDE" w14:textId="75D29D74" w:rsidR="007806D2" w:rsidRPr="0083410F" w:rsidRDefault="007806D2" w:rsidP="007806D2">
      <w:pPr>
        <w:pStyle w:val="1"/>
        <w:spacing w:line="480" w:lineRule="auto"/>
        <w:ind w:firstLineChars="0" w:firstLine="0"/>
        <w:rPr>
          <w:b w:val="0"/>
          <w:bCs w:val="0"/>
          <w:sz w:val="24"/>
          <w:szCs w:val="24"/>
        </w:rPr>
      </w:pPr>
      <w:r w:rsidRPr="00D85F06">
        <w:rPr>
          <w:sz w:val="24"/>
          <w:szCs w:val="24"/>
        </w:rPr>
        <w:lastRenderedPageBreak/>
        <w:t>Fig.S</w:t>
      </w:r>
      <w:r>
        <w:rPr>
          <w:sz w:val="24"/>
          <w:szCs w:val="24"/>
        </w:rPr>
        <w:t>8</w:t>
      </w:r>
      <w:r w:rsidRPr="00D85F06">
        <w:rPr>
          <w:sz w:val="24"/>
          <w:szCs w:val="24"/>
        </w:rPr>
        <w:t xml:space="preserve"> </w:t>
      </w:r>
      <w:r w:rsidRPr="0083410F">
        <w:rPr>
          <w:b w:val="0"/>
          <w:bCs w:val="0"/>
          <w:sz w:val="24"/>
          <w:szCs w:val="24"/>
        </w:rPr>
        <w:t>A. Model of open ocean seawater δ</w:t>
      </w:r>
      <w:r w:rsidRPr="0083410F">
        <w:rPr>
          <w:b w:val="0"/>
          <w:bCs w:val="0"/>
          <w:sz w:val="24"/>
          <w:szCs w:val="24"/>
          <w:vertAlign w:val="superscript"/>
        </w:rPr>
        <w:t>98/95</w:t>
      </w:r>
      <w:r w:rsidRPr="0083410F">
        <w:rPr>
          <w:b w:val="0"/>
          <w:bCs w:val="0"/>
          <w:sz w:val="24"/>
          <w:szCs w:val="24"/>
        </w:rPr>
        <w:t>Mo in response to various proportions of Mo sinks. Contours of seawater δ</w:t>
      </w:r>
      <w:r w:rsidRPr="0083410F">
        <w:rPr>
          <w:b w:val="0"/>
          <w:bCs w:val="0"/>
          <w:sz w:val="24"/>
          <w:szCs w:val="24"/>
          <w:vertAlign w:val="superscript"/>
        </w:rPr>
        <w:t>98/95</w:t>
      </w:r>
      <w:r w:rsidRPr="0083410F">
        <w:rPr>
          <w:b w:val="0"/>
          <w:bCs w:val="0"/>
          <w:sz w:val="24"/>
          <w:szCs w:val="24"/>
        </w:rPr>
        <w:t xml:space="preserve">Mo as a function of the relative fluxes of the euxinic, OMZ, and </w:t>
      </w:r>
      <w:proofErr w:type="spellStart"/>
      <w:r w:rsidRPr="0083410F">
        <w:rPr>
          <w:b w:val="0"/>
          <w:bCs w:val="0"/>
          <w:sz w:val="24"/>
          <w:szCs w:val="24"/>
        </w:rPr>
        <w:t>oxic</w:t>
      </w:r>
      <w:proofErr w:type="spellEnd"/>
      <w:r w:rsidRPr="0083410F">
        <w:rPr>
          <w:b w:val="0"/>
          <w:bCs w:val="0"/>
          <w:sz w:val="24"/>
          <w:szCs w:val="24"/>
        </w:rPr>
        <w:t xml:space="preserve"> sinks, assuming a steady-state Mo cycle. The black segment on the blue line represents the modern Mo budget. B. Scenario where δ</w:t>
      </w:r>
      <w:r w:rsidRPr="0083410F">
        <w:rPr>
          <w:b w:val="0"/>
          <w:bCs w:val="0"/>
          <w:sz w:val="24"/>
          <w:szCs w:val="24"/>
          <w:vertAlign w:val="superscript"/>
        </w:rPr>
        <w:t>98/95</w:t>
      </w:r>
      <w:r w:rsidRPr="0083410F">
        <w:rPr>
          <w:b w:val="0"/>
          <w:bCs w:val="0"/>
          <w:sz w:val="24"/>
          <w:szCs w:val="24"/>
        </w:rPr>
        <w:t>Mo decline is caused by OMZ Mo sink shrinkage and euxinic Mo sink expansion. The black line on the vertical axis represents the proportion of OMZ flux, assuming that all the euxinic Mo sinks in modern seawater are converted from OMZ Mo sinks. The yellow line represents the maximum value of δ</w:t>
      </w:r>
      <w:r w:rsidRPr="0083410F">
        <w:rPr>
          <w:b w:val="0"/>
          <w:bCs w:val="0"/>
          <w:sz w:val="24"/>
          <w:szCs w:val="24"/>
          <w:vertAlign w:val="superscript"/>
        </w:rPr>
        <w:t>98/95</w:t>
      </w:r>
      <w:r w:rsidRPr="0083410F">
        <w:rPr>
          <w:b w:val="0"/>
          <w:bCs w:val="0"/>
          <w:sz w:val="24"/>
          <w:szCs w:val="24"/>
        </w:rPr>
        <w:t>Mo</w:t>
      </w:r>
      <w:r w:rsidRPr="0083410F">
        <w:rPr>
          <w:b w:val="0"/>
          <w:bCs w:val="0"/>
          <w:sz w:val="24"/>
          <w:szCs w:val="24"/>
          <w:vertAlign w:val="subscript"/>
        </w:rPr>
        <w:t>SW</w:t>
      </w:r>
      <w:r w:rsidRPr="0083410F">
        <w:rPr>
          <w:b w:val="0"/>
          <w:bCs w:val="0"/>
          <w:sz w:val="24"/>
          <w:szCs w:val="24"/>
        </w:rPr>
        <w:t xml:space="preserve"> in the early Eocene when modern </w:t>
      </w:r>
      <w:proofErr w:type="spellStart"/>
      <w:r w:rsidRPr="0083410F">
        <w:rPr>
          <w:b w:val="0"/>
          <w:bCs w:val="0"/>
          <w:i/>
          <w:iCs/>
          <w:sz w:val="24"/>
          <w:szCs w:val="24"/>
        </w:rPr>
        <w:t>feux</w:t>
      </w:r>
      <w:proofErr w:type="spellEnd"/>
      <w:r>
        <w:rPr>
          <w:b w:val="0"/>
          <w:bCs w:val="0"/>
          <w:i/>
          <w:iCs/>
          <w:sz w:val="24"/>
          <w:szCs w:val="24"/>
        </w:rPr>
        <w:t xml:space="preserve"> </w:t>
      </w:r>
      <w:r w:rsidRPr="0083410F">
        <w:rPr>
          <w:b w:val="0"/>
          <w:bCs w:val="0"/>
          <w:sz w:val="24"/>
          <w:szCs w:val="24"/>
        </w:rPr>
        <w:t>=</w:t>
      </w:r>
      <w:r>
        <w:rPr>
          <w:b w:val="0"/>
          <w:bCs w:val="0"/>
          <w:sz w:val="24"/>
          <w:szCs w:val="24"/>
        </w:rPr>
        <w:t xml:space="preserve"> </w:t>
      </w:r>
      <w:r w:rsidRPr="0083410F">
        <w:rPr>
          <w:b w:val="0"/>
          <w:bCs w:val="0"/>
          <w:sz w:val="24"/>
          <w:szCs w:val="24"/>
        </w:rPr>
        <w:t>6</w:t>
      </w:r>
      <w:r>
        <w:rPr>
          <w:b w:val="0"/>
          <w:bCs w:val="0"/>
          <w:sz w:val="24"/>
          <w:szCs w:val="24"/>
        </w:rPr>
        <w:t xml:space="preserve"> </w:t>
      </w:r>
      <w:r w:rsidRPr="0083410F">
        <w:rPr>
          <w:b w:val="0"/>
          <w:bCs w:val="0"/>
          <w:sz w:val="24"/>
          <w:szCs w:val="24"/>
        </w:rPr>
        <w:t>%, while the grey line represents the maximum value of δ</w:t>
      </w:r>
      <w:r w:rsidRPr="0083410F">
        <w:rPr>
          <w:b w:val="0"/>
          <w:bCs w:val="0"/>
          <w:sz w:val="24"/>
          <w:szCs w:val="24"/>
          <w:vertAlign w:val="superscript"/>
        </w:rPr>
        <w:t>98/95</w:t>
      </w:r>
      <w:r w:rsidRPr="0083410F">
        <w:rPr>
          <w:b w:val="0"/>
          <w:bCs w:val="0"/>
          <w:sz w:val="24"/>
          <w:szCs w:val="24"/>
        </w:rPr>
        <w:t>Mo</w:t>
      </w:r>
      <w:r w:rsidRPr="0083410F">
        <w:rPr>
          <w:b w:val="0"/>
          <w:bCs w:val="0"/>
          <w:sz w:val="24"/>
          <w:szCs w:val="24"/>
          <w:vertAlign w:val="subscript"/>
        </w:rPr>
        <w:t>SW</w:t>
      </w:r>
      <w:r w:rsidRPr="0083410F">
        <w:rPr>
          <w:b w:val="0"/>
          <w:bCs w:val="0"/>
          <w:sz w:val="24"/>
          <w:szCs w:val="24"/>
        </w:rPr>
        <w:t xml:space="preserve"> in the early Eocene when modern </w:t>
      </w:r>
      <w:proofErr w:type="spellStart"/>
      <w:r w:rsidRPr="0083410F">
        <w:rPr>
          <w:b w:val="0"/>
          <w:bCs w:val="0"/>
          <w:i/>
          <w:iCs/>
          <w:sz w:val="24"/>
          <w:szCs w:val="24"/>
        </w:rPr>
        <w:t>feux</w:t>
      </w:r>
      <w:proofErr w:type="spellEnd"/>
      <w:r>
        <w:rPr>
          <w:b w:val="0"/>
          <w:bCs w:val="0"/>
          <w:i/>
          <w:iCs/>
          <w:sz w:val="24"/>
          <w:szCs w:val="24"/>
        </w:rPr>
        <w:t xml:space="preserve"> </w:t>
      </w:r>
      <w:r w:rsidRPr="0083410F">
        <w:rPr>
          <w:b w:val="0"/>
          <w:bCs w:val="0"/>
          <w:sz w:val="24"/>
          <w:szCs w:val="24"/>
        </w:rPr>
        <w:t>=</w:t>
      </w:r>
      <w:r>
        <w:rPr>
          <w:b w:val="0"/>
          <w:bCs w:val="0"/>
          <w:sz w:val="24"/>
          <w:szCs w:val="24"/>
        </w:rPr>
        <w:t xml:space="preserve"> </w:t>
      </w:r>
      <w:r w:rsidRPr="0083410F">
        <w:rPr>
          <w:b w:val="0"/>
          <w:bCs w:val="0"/>
          <w:sz w:val="24"/>
          <w:szCs w:val="24"/>
        </w:rPr>
        <w:t>15</w:t>
      </w:r>
      <w:r>
        <w:rPr>
          <w:b w:val="0"/>
          <w:bCs w:val="0"/>
          <w:sz w:val="24"/>
          <w:szCs w:val="24"/>
        </w:rPr>
        <w:t xml:space="preserve"> </w:t>
      </w:r>
      <w:r w:rsidRPr="0083410F">
        <w:rPr>
          <w:b w:val="0"/>
          <w:bCs w:val="0"/>
          <w:sz w:val="24"/>
          <w:szCs w:val="24"/>
        </w:rPr>
        <w:t xml:space="preserve">%. C. Scenario where </w:t>
      </w:r>
      <w:proofErr w:type="spellStart"/>
      <w:r w:rsidRPr="0083410F">
        <w:rPr>
          <w:b w:val="0"/>
          <w:bCs w:val="0"/>
          <w:i/>
          <w:iCs/>
          <w:sz w:val="24"/>
          <w:szCs w:val="24"/>
        </w:rPr>
        <w:t>f</w:t>
      </w:r>
      <w:r w:rsidRPr="0083410F">
        <w:rPr>
          <w:b w:val="0"/>
          <w:bCs w:val="0"/>
          <w:i/>
          <w:iCs/>
          <w:sz w:val="24"/>
          <w:szCs w:val="24"/>
          <w:vertAlign w:val="subscript"/>
        </w:rPr>
        <w:t>oxic</w:t>
      </w:r>
      <w:proofErr w:type="spellEnd"/>
      <w:r w:rsidRPr="0083410F">
        <w:rPr>
          <w:b w:val="0"/>
          <w:bCs w:val="0"/>
          <w:sz w:val="24"/>
          <w:szCs w:val="24"/>
        </w:rPr>
        <w:t xml:space="preserve">, </w:t>
      </w:r>
      <w:proofErr w:type="spellStart"/>
      <w:r w:rsidRPr="0083410F">
        <w:rPr>
          <w:b w:val="0"/>
          <w:bCs w:val="0"/>
          <w:i/>
          <w:iCs/>
          <w:sz w:val="24"/>
          <w:szCs w:val="24"/>
        </w:rPr>
        <w:t>f</w:t>
      </w:r>
      <w:r w:rsidRPr="0083410F">
        <w:rPr>
          <w:b w:val="0"/>
          <w:bCs w:val="0"/>
          <w:i/>
          <w:iCs/>
          <w:sz w:val="24"/>
          <w:szCs w:val="24"/>
          <w:vertAlign w:val="subscript"/>
        </w:rPr>
        <w:t>OMZ</w:t>
      </w:r>
      <w:proofErr w:type="spellEnd"/>
      <w:r w:rsidRPr="0083410F">
        <w:rPr>
          <w:b w:val="0"/>
          <w:bCs w:val="0"/>
          <w:sz w:val="24"/>
          <w:szCs w:val="24"/>
        </w:rPr>
        <w:t xml:space="preserve">, and </w:t>
      </w:r>
      <w:proofErr w:type="spellStart"/>
      <w:r w:rsidRPr="0083410F">
        <w:rPr>
          <w:b w:val="0"/>
          <w:bCs w:val="0"/>
          <w:i/>
          <w:iCs/>
          <w:sz w:val="24"/>
          <w:szCs w:val="24"/>
        </w:rPr>
        <w:t>f</w:t>
      </w:r>
      <w:r w:rsidRPr="0083410F">
        <w:rPr>
          <w:b w:val="0"/>
          <w:bCs w:val="0"/>
          <w:i/>
          <w:iCs/>
          <w:sz w:val="24"/>
          <w:szCs w:val="24"/>
          <w:vertAlign w:val="subscript"/>
        </w:rPr>
        <w:t>eux</w:t>
      </w:r>
      <w:proofErr w:type="spellEnd"/>
      <w:r w:rsidRPr="0083410F">
        <w:rPr>
          <w:b w:val="0"/>
          <w:bCs w:val="0"/>
          <w:sz w:val="24"/>
          <w:szCs w:val="24"/>
          <w:vertAlign w:val="subscript"/>
        </w:rPr>
        <w:t xml:space="preserve"> </w:t>
      </w:r>
      <w:r w:rsidRPr="0083410F">
        <w:rPr>
          <w:b w:val="0"/>
          <w:bCs w:val="0"/>
          <w:sz w:val="24"/>
          <w:szCs w:val="24"/>
        </w:rPr>
        <w:t>remain constant, and δ</w:t>
      </w:r>
      <w:r w:rsidRPr="0083410F">
        <w:rPr>
          <w:b w:val="0"/>
          <w:bCs w:val="0"/>
          <w:sz w:val="24"/>
          <w:szCs w:val="24"/>
          <w:vertAlign w:val="superscript"/>
        </w:rPr>
        <w:t>98/95</w:t>
      </w:r>
      <w:r w:rsidRPr="0083410F">
        <w:rPr>
          <w:b w:val="0"/>
          <w:bCs w:val="0"/>
          <w:sz w:val="24"/>
          <w:szCs w:val="24"/>
        </w:rPr>
        <w:t>Mo decline is caused by the change in</w:t>
      </w:r>
      <w:r w:rsidRPr="0083410F">
        <w:rPr>
          <w:rFonts w:cs="Times New Roman"/>
          <w:b w:val="0"/>
          <w:bCs w:val="0"/>
          <w:sz w:val="24"/>
          <w:szCs w:val="24"/>
        </w:rPr>
        <w:t xml:space="preserve"> Δ</w:t>
      </w:r>
      <w:r w:rsidRPr="0083410F">
        <w:rPr>
          <w:b w:val="0"/>
          <w:bCs w:val="0"/>
          <w:sz w:val="24"/>
          <w:szCs w:val="24"/>
          <w:vertAlign w:val="superscript"/>
        </w:rPr>
        <w:t>98/95</w:t>
      </w:r>
      <w:r w:rsidRPr="0083410F">
        <w:rPr>
          <w:b w:val="0"/>
          <w:bCs w:val="0"/>
          <w:sz w:val="24"/>
          <w:szCs w:val="24"/>
        </w:rPr>
        <w:t>Mo</w:t>
      </w:r>
      <w:r w:rsidRPr="0083410F">
        <w:rPr>
          <w:b w:val="0"/>
          <w:bCs w:val="0"/>
          <w:sz w:val="24"/>
          <w:szCs w:val="24"/>
          <w:vertAlign w:val="subscript"/>
        </w:rPr>
        <w:t>SW-OMZ</w:t>
      </w:r>
      <w:r w:rsidRPr="0083410F">
        <w:rPr>
          <w:b w:val="0"/>
          <w:bCs w:val="0"/>
          <w:sz w:val="24"/>
          <w:szCs w:val="24"/>
        </w:rPr>
        <w:t xml:space="preserve">. The yellow line through the black section represents the possible </w:t>
      </w:r>
      <w:r w:rsidRPr="0083410F">
        <w:rPr>
          <w:rFonts w:cs="Times New Roman"/>
          <w:b w:val="0"/>
          <w:bCs w:val="0"/>
          <w:sz w:val="24"/>
          <w:szCs w:val="24"/>
        </w:rPr>
        <w:t>Δ</w:t>
      </w:r>
      <w:r w:rsidRPr="0083410F">
        <w:rPr>
          <w:rFonts w:cs="Times New Roman"/>
          <w:b w:val="0"/>
          <w:bCs w:val="0"/>
          <w:sz w:val="24"/>
          <w:szCs w:val="24"/>
          <w:vertAlign w:val="superscript"/>
        </w:rPr>
        <w:t>9</w:t>
      </w:r>
      <w:r w:rsidRPr="0083410F">
        <w:rPr>
          <w:b w:val="0"/>
          <w:bCs w:val="0"/>
          <w:sz w:val="24"/>
          <w:szCs w:val="24"/>
          <w:vertAlign w:val="superscript"/>
        </w:rPr>
        <w:t>8/95</w:t>
      </w:r>
      <w:r w:rsidRPr="0083410F">
        <w:rPr>
          <w:b w:val="0"/>
          <w:bCs w:val="0"/>
          <w:sz w:val="24"/>
          <w:szCs w:val="24"/>
        </w:rPr>
        <w:t>Mo</w:t>
      </w:r>
      <w:r w:rsidRPr="0083410F">
        <w:rPr>
          <w:b w:val="0"/>
          <w:bCs w:val="0"/>
          <w:sz w:val="24"/>
          <w:szCs w:val="24"/>
          <w:vertAlign w:val="subscript"/>
        </w:rPr>
        <w:t>SW-OMZ</w:t>
      </w:r>
      <w:r w:rsidRPr="0083410F">
        <w:rPr>
          <w:b w:val="0"/>
          <w:bCs w:val="0"/>
          <w:sz w:val="24"/>
          <w:szCs w:val="24"/>
        </w:rPr>
        <w:t xml:space="preserve"> in the early Eocene, ranging from 1.72</w:t>
      </w:r>
      <w:r>
        <w:rPr>
          <w:b w:val="0"/>
          <w:bCs w:val="0"/>
          <w:sz w:val="24"/>
          <w:szCs w:val="24"/>
        </w:rPr>
        <w:t xml:space="preserve"> </w:t>
      </w:r>
      <w:r w:rsidRPr="0083410F">
        <w:rPr>
          <w:b w:val="0"/>
          <w:bCs w:val="0"/>
          <w:sz w:val="24"/>
          <w:szCs w:val="24"/>
        </w:rPr>
        <w:t>‰ to 2.02</w:t>
      </w:r>
      <w:r>
        <w:rPr>
          <w:b w:val="0"/>
          <w:bCs w:val="0"/>
          <w:sz w:val="24"/>
          <w:szCs w:val="24"/>
        </w:rPr>
        <w:t xml:space="preserve"> </w:t>
      </w:r>
      <w:r w:rsidRPr="0083410F">
        <w:rPr>
          <w:b w:val="0"/>
          <w:bCs w:val="0"/>
          <w:sz w:val="24"/>
          <w:szCs w:val="24"/>
        </w:rPr>
        <w:t>‰. D. Scenario where δ</w:t>
      </w:r>
      <w:r w:rsidRPr="0083410F">
        <w:rPr>
          <w:b w:val="0"/>
          <w:bCs w:val="0"/>
          <w:sz w:val="24"/>
          <w:szCs w:val="24"/>
          <w:vertAlign w:val="superscript"/>
        </w:rPr>
        <w:t>98/95</w:t>
      </w:r>
      <w:r w:rsidRPr="0083410F">
        <w:rPr>
          <w:b w:val="0"/>
          <w:bCs w:val="0"/>
          <w:sz w:val="24"/>
          <w:szCs w:val="24"/>
        </w:rPr>
        <w:t xml:space="preserve">Mo decline results from a synergistic change in </w:t>
      </w:r>
      <w:proofErr w:type="spellStart"/>
      <w:r w:rsidRPr="0083410F">
        <w:rPr>
          <w:b w:val="0"/>
          <w:bCs w:val="0"/>
          <w:i/>
          <w:iCs/>
          <w:sz w:val="24"/>
          <w:szCs w:val="24"/>
        </w:rPr>
        <w:t>f</w:t>
      </w:r>
      <w:r w:rsidRPr="0083410F">
        <w:rPr>
          <w:b w:val="0"/>
          <w:bCs w:val="0"/>
          <w:i/>
          <w:iCs/>
          <w:sz w:val="24"/>
          <w:szCs w:val="24"/>
          <w:vertAlign w:val="subscript"/>
        </w:rPr>
        <w:t>OMZ</w:t>
      </w:r>
      <w:proofErr w:type="spellEnd"/>
      <w:r w:rsidRPr="0083410F">
        <w:rPr>
          <w:b w:val="0"/>
          <w:bCs w:val="0"/>
          <w:i/>
          <w:iCs/>
          <w:sz w:val="24"/>
          <w:szCs w:val="24"/>
        </w:rPr>
        <w:t xml:space="preserve">, </w:t>
      </w:r>
      <w:proofErr w:type="spellStart"/>
      <w:r w:rsidRPr="0083410F">
        <w:rPr>
          <w:b w:val="0"/>
          <w:bCs w:val="0"/>
          <w:i/>
          <w:iCs/>
          <w:sz w:val="24"/>
          <w:szCs w:val="24"/>
        </w:rPr>
        <w:t>feux</w:t>
      </w:r>
      <w:proofErr w:type="spellEnd"/>
      <w:r w:rsidRPr="0083410F">
        <w:rPr>
          <w:b w:val="0"/>
          <w:bCs w:val="0"/>
          <w:sz w:val="24"/>
          <w:szCs w:val="24"/>
        </w:rPr>
        <w:t xml:space="preserve">, and </w:t>
      </w:r>
      <w:r w:rsidRPr="0083410F">
        <w:rPr>
          <w:rFonts w:cs="Times New Roman"/>
          <w:b w:val="0"/>
          <w:bCs w:val="0"/>
          <w:sz w:val="24"/>
          <w:szCs w:val="24"/>
        </w:rPr>
        <w:t>Δ</w:t>
      </w:r>
      <w:r w:rsidRPr="0083410F">
        <w:rPr>
          <w:b w:val="0"/>
          <w:bCs w:val="0"/>
          <w:sz w:val="24"/>
          <w:szCs w:val="24"/>
          <w:vertAlign w:val="superscript"/>
        </w:rPr>
        <w:t>98/95</w:t>
      </w:r>
      <w:r w:rsidRPr="0083410F">
        <w:rPr>
          <w:b w:val="0"/>
          <w:bCs w:val="0"/>
          <w:sz w:val="24"/>
          <w:szCs w:val="24"/>
        </w:rPr>
        <w:t>Mo</w:t>
      </w:r>
      <w:r w:rsidRPr="0083410F">
        <w:rPr>
          <w:b w:val="0"/>
          <w:bCs w:val="0"/>
          <w:sz w:val="24"/>
          <w:szCs w:val="24"/>
          <w:vertAlign w:val="subscript"/>
        </w:rPr>
        <w:t>SW-OMZ</w:t>
      </w:r>
      <w:r w:rsidRPr="0083410F">
        <w:rPr>
          <w:b w:val="0"/>
          <w:bCs w:val="0"/>
          <w:sz w:val="24"/>
          <w:szCs w:val="24"/>
        </w:rPr>
        <w:t xml:space="preserve">. The black section on the yellow line represents the possible relative fluxes of the euxinic, OMZ, and </w:t>
      </w:r>
      <w:proofErr w:type="spellStart"/>
      <w:r w:rsidRPr="0083410F">
        <w:rPr>
          <w:b w:val="0"/>
          <w:bCs w:val="0"/>
          <w:sz w:val="24"/>
          <w:szCs w:val="24"/>
        </w:rPr>
        <w:t>oxic</w:t>
      </w:r>
      <w:proofErr w:type="spellEnd"/>
      <w:r w:rsidRPr="0083410F">
        <w:rPr>
          <w:b w:val="0"/>
          <w:bCs w:val="0"/>
          <w:sz w:val="24"/>
          <w:szCs w:val="24"/>
        </w:rPr>
        <w:t xml:space="preserve"> sinks in the early Eocene, assuming </w:t>
      </w:r>
      <w:r w:rsidRPr="0083410F">
        <w:rPr>
          <w:rFonts w:cs="Times New Roman"/>
          <w:b w:val="0"/>
          <w:bCs w:val="0"/>
          <w:sz w:val="24"/>
          <w:szCs w:val="24"/>
        </w:rPr>
        <w:t>Δ</w:t>
      </w:r>
      <w:r w:rsidRPr="0083410F">
        <w:rPr>
          <w:rFonts w:cs="Times New Roman"/>
          <w:b w:val="0"/>
          <w:bCs w:val="0"/>
          <w:sz w:val="24"/>
          <w:szCs w:val="24"/>
          <w:vertAlign w:val="superscript"/>
        </w:rPr>
        <w:t>9</w:t>
      </w:r>
      <w:r w:rsidRPr="0083410F">
        <w:rPr>
          <w:b w:val="0"/>
          <w:bCs w:val="0"/>
          <w:sz w:val="24"/>
          <w:szCs w:val="24"/>
          <w:vertAlign w:val="superscript"/>
        </w:rPr>
        <w:t>8/95</w:t>
      </w:r>
      <w:r w:rsidRPr="0083410F">
        <w:rPr>
          <w:b w:val="0"/>
          <w:bCs w:val="0"/>
          <w:sz w:val="24"/>
          <w:szCs w:val="24"/>
        </w:rPr>
        <w:t>Mo</w:t>
      </w:r>
      <w:r w:rsidRPr="0083410F">
        <w:rPr>
          <w:b w:val="0"/>
          <w:bCs w:val="0"/>
          <w:sz w:val="24"/>
          <w:szCs w:val="24"/>
          <w:vertAlign w:val="subscript"/>
        </w:rPr>
        <w:t>SW-OMZ</w:t>
      </w:r>
      <w:r>
        <w:rPr>
          <w:b w:val="0"/>
          <w:bCs w:val="0"/>
          <w:sz w:val="24"/>
          <w:szCs w:val="24"/>
          <w:vertAlign w:val="subscript"/>
        </w:rPr>
        <w:t xml:space="preserve"> </w:t>
      </w:r>
      <w:r w:rsidRPr="0083410F">
        <w:rPr>
          <w:b w:val="0"/>
          <w:bCs w:val="0"/>
          <w:sz w:val="24"/>
          <w:szCs w:val="24"/>
        </w:rPr>
        <w:t>=</w:t>
      </w:r>
      <w:r>
        <w:rPr>
          <w:b w:val="0"/>
          <w:bCs w:val="0"/>
          <w:sz w:val="24"/>
          <w:szCs w:val="24"/>
        </w:rPr>
        <w:t xml:space="preserve"> </w:t>
      </w:r>
      <w:r w:rsidRPr="0083410F">
        <w:rPr>
          <w:b w:val="0"/>
          <w:bCs w:val="0"/>
          <w:sz w:val="24"/>
          <w:szCs w:val="24"/>
        </w:rPr>
        <w:t>1.58</w:t>
      </w:r>
      <w:r>
        <w:rPr>
          <w:b w:val="0"/>
          <w:bCs w:val="0"/>
          <w:sz w:val="24"/>
          <w:szCs w:val="24"/>
        </w:rPr>
        <w:t xml:space="preserve"> </w:t>
      </w:r>
      <w:r w:rsidRPr="00055887">
        <w:rPr>
          <w:b w:val="0"/>
          <w:bCs w:val="0"/>
          <w:sz w:val="24"/>
          <w:szCs w:val="24"/>
        </w:rPr>
        <w:t>‰</w:t>
      </w:r>
      <w:r w:rsidRPr="0083410F">
        <w:rPr>
          <w:b w:val="0"/>
          <w:bCs w:val="0"/>
          <w:sz w:val="24"/>
          <w:szCs w:val="24"/>
        </w:rPr>
        <w:t>.</w:t>
      </w:r>
    </w:p>
    <w:p w14:paraId="3B0FD006" w14:textId="77777777" w:rsidR="00126889" w:rsidRDefault="00126889">
      <w:pPr>
        <w:widowControl/>
        <w:ind w:firstLineChars="0" w:firstLine="0"/>
        <w:jc w:val="left"/>
      </w:pPr>
      <w:r>
        <w:br w:type="page"/>
      </w:r>
    </w:p>
    <w:p w14:paraId="709B5A8C" w14:textId="73464DEF" w:rsidR="00126889" w:rsidRDefault="00126889" w:rsidP="007806D2">
      <w:pPr>
        <w:spacing w:line="480" w:lineRule="auto"/>
        <w:ind w:firstLineChars="0" w:firstLine="0"/>
        <w:rPr>
          <w:rFonts w:cs="Times New Roman"/>
          <w:noProof/>
          <w:szCs w:val="24"/>
          <w:lang w:eastAsia="en-US"/>
        </w:rPr>
      </w:pPr>
      <w:r w:rsidRPr="00D015B2">
        <w:rPr>
          <w:rFonts w:cs="Times New Roman"/>
          <w:noProof/>
          <w:szCs w:val="24"/>
          <w:lang w:eastAsia="en-US"/>
        </w:rPr>
        <w:lastRenderedPageBreak/>
        <w:drawing>
          <wp:anchor distT="0" distB="0" distL="114300" distR="114300" simplePos="0" relativeHeight="251664384" behindDoc="0" locked="0" layoutInCell="1" allowOverlap="1" wp14:anchorId="4A8E0BB8" wp14:editId="6564B756">
            <wp:simplePos x="0" y="0"/>
            <wp:positionH relativeFrom="column">
              <wp:posOffset>37465</wp:posOffset>
            </wp:positionH>
            <wp:positionV relativeFrom="paragraph">
              <wp:posOffset>231140</wp:posOffset>
            </wp:positionV>
            <wp:extent cx="5544185" cy="4733925"/>
            <wp:effectExtent l="0" t="0" r="0" b="9525"/>
            <wp:wrapTopAndBottom/>
            <wp:docPr id="1620052412" name="图片 1620052412"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190056" name="图片 2" descr="图示&#10;&#10;描述已自动生成"/>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44185" cy="4733925"/>
                    </a:xfrm>
                    <a:prstGeom prst="rect">
                      <a:avLst/>
                    </a:prstGeom>
                  </pic:spPr>
                </pic:pic>
              </a:graphicData>
            </a:graphic>
            <wp14:sizeRelH relativeFrom="margin">
              <wp14:pctWidth>0</wp14:pctWidth>
            </wp14:sizeRelH>
            <wp14:sizeRelV relativeFrom="margin">
              <wp14:pctHeight>0</wp14:pctHeight>
            </wp14:sizeRelV>
          </wp:anchor>
        </w:drawing>
      </w:r>
    </w:p>
    <w:p w14:paraId="6CFB360D" w14:textId="05ADB004" w:rsidR="00126889" w:rsidRDefault="00126889">
      <w:pPr>
        <w:widowControl/>
        <w:ind w:firstLineChars="0" w:firstLine="0"/>
        <w:jc w:val="left"/>
        <w:rPr>
          <w:rFonts w:cs="Times New Roman"/>
          <w:noProof/>
          <w:szCs w:val="24"/>
          <w:lang w:eastAsia="en-US"/>
        </w:rPr>
      </w:pPr>
      <w:r>
        <w:rPr>
          <w:rFonts w:cs="Times New Roman"/>
          <w:noProof/>
          <w:szCs w:val="24"/>
          <w:lang w:eastAsia="en-US"/>
        </w:rPr>
        <w:br w:type="page"/>
      </w:r>
    </w:p>
    <w:bookmarkEnd w:id="11"/>
    <w:p w14:paraId="421909B1" w14:textId="77777777" w:rsidR="00126889" w:rsidRPr="00D015B2" w:rsidRDefault="00126889" w:rsidP="00126889">
      <w:pPr>
        <w:spacing w:line="480" w:lineRule="auto"/>
        <w:ind w:firstLineChars="0" w:firstLine="0"/>
        <w:rPr>
          <w:rFonts w:cs="Times New Roman"/>
          <w:b/>
          <w:bCs/>
          <w:szCs w:val="24"/>
        </w:rPr>
      </w:pPr>
      <w:r w:rsidRPr="00D015B2">
        <w:rPr>
          <w:rFonts w:cs="Times New Roman"/>
          <w:b/>
          <w:bCs/>
          <w:szCs w:val="24"/>
        </w:rPr>
        <w:lastRenderedPageBreak/>
        <w:t>Reference</w:t>
      </w:r>
    </w:p>
    <w:p w14:paraId="5595B1A7" w14:textId="77777777" w:rsidR="00126889" w:rsidRPr="003D797D" w:rsidRDefault="00126889" w:rsidP="00126889">
      <w:pPr>
        <w:pStyle w:val="EndNoteBibliography"/>
        <w:spacing w:line="480" w:lineRule="auto"/>
        <w:ind w:left="480" w:hangingChars="200" w:hanging="480"/>
      </w:pPr>
      <w:bookmarkStart w:id="17" w:name="_ENREF_1"/>
      <w:r w:rsidRPr="003D797D">
        <w:t>1</w:t>
      </w:r>
      <w:r w:rsidRPr="003D797D">
        <w:tab/>
      </w:r>
      <w:proofErr w:type="spellStart"/>
      <w:r w:rsidRPr="003D797D">
        <w:t>Clouard</w:t>
      </w:r>
      <w:proofErr w:type="spellEnd"/>
      <w:r w:rsidRPr="003D797D">
        <w:t xml:space="preserve">, V. </w:t>
      </w:r>
      <w:r w:rsidRPr="003D797D">
        <w:rPr>
          <w:i/>
        </w:rPr>
        <w:t xml:space="preserve">Plates, </w:t>
      </w:r>
      <w:proofErr w:type="gramStart"/>
      <w:r w:rsidRPr="003D797D">
        <w:rPr>
          <w:i/>
        </w:rPr>
        <w:t>plumes</w:t>
      </w:r>
      <w:proofErr w:type="gramEnd"/>
      <w:r w:rsidRPr="003D797D">
        <w:rPr>
          <w:i/>
        </w:rPr>
        <w:t xml:space="preserve"> and paradigms</w:t>
      </w:r>
      <w:r w:rsidRPr="003D797D">
        <w:t xml:space="preserve"> Vol. 388 (Geological Society of America, 2005).</w:t>
      </w:r>
      <w:bookmarkEnd w:id="17"/>
    </w:p>
    <w:p w14:paraId="6ACD3226" w14:textId="77777777" w:rsidR="00126889" w:rsidRPr="003D797D" w:rsidRDefault="00126889" w:rsidP="00126889">
      <w:pPr>
        <w:pStyle w:val="EndNoteBibliography"/>
        <w:spacing w:line="480" w:lineRule="auto"/>
        <w:ind w:left="480" w:hangingChars="200" w:hanging="480"/>
      </w:pPr>
      <w:bookmarkStart w:id="18" w:name="_ENREF_2"/>
      <w:r w:rsidRPr="003D797D">
        <w:t>2</w:t>
      </w:r>
      <w:r w:rsidRPr="003D797D">
        <w:tab/>
        <w:t xml:space="preserve">Nakanishi, M. &amp; Gee, J. S. Paleomagnetic </w:t>
      </w:r>
      <w:r>
        <w:t>i</w:t>
      </w:r>
      <w:r w:rsidRPr="003D797D">
        <w:t xml:space="preserve">nvestigations of </w:t>
      </w:r>
      <w:r>
        <w:t>v</w:t>
      </w:r>
      <w:r w:rsidRPr="003D797D">
        <w:t xml:space="preserve">olcanic </w:t>
      </w:r>
      <w:r>
        <w:t>r</w:t>
      </w:r>
      <w:r w:rsidRPr="003D797D">
        <w:t xml:space="preserve">ocks: Paleolatitudes of the Northwestern Pacific </w:t>
      </w:r>
      <w:r>
        <w:t>g</w:t>
      </w:r>
      <w:r w:rsidRPr="003D797D">
        <w:t xml:space="preserve">uyots. </w:t>
      </w:r>
      <w:r w:rsidRPr="003D797D">
        <w:rPr>
          <w:i/>
        </w:rPr>
        <w:t>Proc. ODP Sci. Results</w:t>
      </w:r>
      <w:r w:rsidRPr="003D797D">
        <w:t xml:space="preserve"> 144, 585–604. </w:t>
      </w:r>
      <w:proofErr w:type="gramStart"/>
      <w:r w:rsidRPr="00CF76CC">
        <w:rPr>
          <w:color w:val="0000FF"/>
          <w:u w:val="single"/>
          <w:bdr w:val="none" w:sz="0" w:space="0" w:color="auto" w:frame="1"/>
          <w:shd w:val="clear" w:color="auto" w:fill="FFFFFF"/>
        </w:rPr>
        <w:t>doi:10.2973/odp.proc</w:t>
      </w:r>
      <w:proofErr w:type="gramEnd"/>
      <w:r w:rsidRPr="00CF76CC">
        <w:rPr>
          <w:color w:val="0000FF"/>
          <w:u w:val="single"/>
          <w:bdr w:val="none" w:sz="0" w:space="0" w:color="auto" w:frame="1"/>
          <w:shd w:val="clear" w:color="auto" w:fill="FFFFFF"/>
        </w:rPr>
        <w:t>.sr.144.022.1995 (1995).</w:t>
      </w:r>
      <w:bookmarkEnd w:id="18"/>
    </w:p>
    <w:p w14:paraId="5D09DDE1" w14:textId="77777777" w:rsidR="00126889" w:rsidRPr="003D797D" w:rsidRDefault="00126889" w:rsidP="00126889">
      <w:pPr>
        <w:pStyle w:val="EndNoteBibliography"/>
        <w:spacing w:line="480" w:lineRule="auto"/>
        <w:ind w:left="480" w:hangingChars="200" w:hanging="480"/>
      </w:pPr>
      <w:bookmarkStart w:id="19" w:name="_ENREF_3"/>
      <w:r w:rsidRPr="003D797D">
        <w:t>3</w:t>
      </w:r>
      <w:r w:rsidRPr="003D797D">
        <w:tab/>
        <w:t xml:space="preserve">Glasby, G. P., Ren, X., Shi, X. &amp; </w:t>
      </w:r>
      <w:proofErr w:type="spellStart"/>
      <w:r w:rsidRPr="003D797D">
        <w:t>Pulyaeva</w:t>
      </w:r>
      <w:proofErr w:type="spellEnd"/>
      <w:r w:rsidRPr="003D797D">
        <w:t xml:space="preserve">, I. A. </w:t>
      </w:r>
      <w:r w:rsidRPr="003D797D">
        <w:rPr>
          <w:i/>
        </w:rPr>
        <w:t>Co-rich Mn crusts from the Magellan Seamount cluster: The long journey through time</w:t>
      </w:r>
      <w:r w:rsidRPr="003D797D">
        <w:t>. Vol. 27 (2007).</w:t>
      </w:r>
      <w:bookmarkEnd w:id="19"/>
    </w:p>
    <w:p w14:paraId="5E91E72A" w14:textId="77777777" w:rsidR="00126889" w:rsidRPr="003D797D" w:rsidRDefault="00126889" w:rsidP="00126889">
      <w:pPr>
        <w:pStyle w:val="EndNoteBibliography"/>
        <w:spacing w:line="480" w:lineRule="auto"/>
        <w:ind w:left="480" w:hangingChars="200" w:hanging="480"/>
      </w:pPr>
      <w:bookmarkStart w:id="20" w:name="_ENREF_4"/>
      <w:r w:rsidRPr="003D797D">
        <w:t>4</w:t>
      </w:r>
      <w:r w:rsidRPr="003D797D">
        <w:tab/>
        <w:t>Hein, J. R.</w:t>
      </w:r>
      <w:r w:rsidRPr="00CF76CC">
        <w:rPr>
          <w:iCs/>
        </w:rPr>
        <w:t xml:space="preserve"> </w:t>
      </w:r>
      <w:r w:rsidRPr="003D797D">
        <w:rPr>
          <w:iCs/>
        </w:rPr>
        <w:t>et al</w:t>
      </w:r>
      <w:r w:rsidRPr="003D797D">
        <w:t xml:space="preserve">. Variations in the fine-scale composition of a central pacific ferromanganese crust: </w:t>
      </w:r>
      <w:proofErr w:type="spellStart"/>
      <w:r w:rsidRPr="003D797D">
        <w:t>Paleoceanographic</w:t>
      </w:r>
      <w:proofErr w:type="spellEnd"/>
      <w:r w:rsidRPr="003D797D">
        <w:t xml:space="preserve"> implications. </w:t>
      </w:r>
      <w:proofErr w:type="spellStart"/>
      <w:r w:rsidRPr="003D797D">
        <w:rPr>
          <w:i/>
        </w:rPr>
        <w:t>Paleoceanography</w:t>
      </w:r>
      <w:proofErr w:type="spellEnd"/>
      <w:r w:rsidRPr="003D797D">
        <w:t xml:space="preserve"> 7, 63–77 (1992). </w:t>
      </w:r>
      <w:r w:rsidRPr="00CF76CC">
        <w:rPr>
          <w:color w:val="0000FF"/>
          <w:u w:val="single"/>
          <w:bdr w:val="none" w:sz="0" w:space="0" w:color="auto" w:frame="1"/>
          <w:shd w:val="clear" w:color="auto" w:fill="FFFFFF"/>
        </w:rPr>
        <w:t>doi:10.1029/91PA02936.</w:t>
      </w:r>
      <w:bookmarkEnd w:id="20"/>
    </w:p>
    <w:p w14:paraId="1E5E1BB7" w14:textId="77777777" w:rsidR="00126889" w:rsidRPr="003D797D" w:rsidRDefault="00126889" w:rsidP="00126889">
      <w:pPr>
        <w:pStyle w:val="EndNoteBibliography"/>
        <w:spacing w:line="480" w:lineRule="auto"/>
        <w:ind w:left="480" w:hangingChars="200" w:hanging="480"/>
      </w:pPr>
      <w:bookmarkStart w:id="21" w:name="_ENREF_5"/>
      <w:r w:rsidRPr="003D797D">
        <w:t>5</w:t>
      </w:r>
      <w:r w:rsidRPr="003D797D">
        <w:tab/>
        <w:t xml:space="preserve">Hein, J. R. </w:t>
      </w:r>
      <w:r w:rsidRPr="003D797D">
        <w:rPr>
          <w:iCs/>
        </w:rPr>
        <w:t>et al</w:t>
      </w:r>
      <w:r w:rsidRPr="003D797D">
        <w:rPr>
          <w:i/>
        </w:rPr>
        <w:t>.</w:t>
      </w:r>
      <w:r w:rsidRPr="003D797D">
        <w:t xml:space="preserve"> </w:t>
      </w:r>
      <w:r w:rsidRPr="003D797D">
        <w:rPr>
          <w:i/>
        </w:rPr>
        <w:t>Cobalt-Rich Ferromanganese Crusts in the Pacific</w:t>
      </w:r>
      <w:r w:rsidRPr="003D797D">
        <w:t xml:space="preserve"> (CRC Press, 2000).</w:t>
      </w:r>
      <w:bookmarkEnd w:id="21"/>
    </w:p>
    <w:p w14:paraId="1B59ECB6" w14:textId="77777777" w:rsidR="00126889" w:rsidRDefault="00126889" w:rsidP="00126889">
      <w:pPr>
        <w:pStyle w:val="EndNoteBibliography"/>
        <w:spacing w:line="480" w:lineRule="auto"/>
        <w:ind w:left="480" w:hangingChars="200" w:hanging="480"/>
        <w:rPr>
          <w:color w:val="0000FF"/>
          <w:u w:val="single"/>
          <w:bdr w:val="none" w:sz="0" w:space="0" w:color="auto" w:frame="1"/>
          <w:shd w:val="clear" w:color="auto" w:fill="FFFFFF"/>
        </w:rPr>
      </w:pPr>
      <w:bookmarkStart w:id="22" w:name="_ENREF_6"/>
      <w:r w:rsidRPr="003D797D">
        <w:t>6</w:t>
      </w:r>
      <w:r w:rsidRPr="003D797D">
        <w:tab/>
      </w:r>
      <w:proofErr w:type="spellStart"/>
      <w:r w:rsidRPr="003D797D">
        <w:t>Josso</w:t>
      </w:r>
      <w:proofErr w:type="spellEnd"/>
      <w:r w:rsidRPr="003D797D">
        <w:t>, P.</w:t>
      </w:r>
      <w:r w:rsidRPr="003D797D">
        <w:rPr>
          <w:iCs/>
        </w:rPr>
        <w:t xml:space="preserve"> et al</w:t>
      </w:r>
      <w:r w:rsidRPr="003D797D">
        <w:rPr>
          <w:i/>
        </w:rPr>
        <w:t>.</w:t>
      </w:r>
      <w:r w:rsidRPr="003D797D">
        <w:t xml:space="preserve"> Late Cretaceous and Cenozoic </w:t>
      </w:r>
      <w:proofErr w:type="spellStart"/>
      <w:r w:rsidRPr="003D797D">
        <w:t>paleoceanography</w:t>
      </w:r>
      <w:proofErr w:type="spellEnd"/>
      <w:r w:rsidRPr="003D797D">
        <w:t xml:space="preserve"> from north-east Atlantic ferromanganese crust microstratigraphy. </w:t>
      </w:r>
      <w:r w:rsidRPr="003D797D">
        <w:rPr>
          <w:i/>
        </w:rPr>
        <w:t>Marine Geology</w:t>
      </w:r>
      <w:r w:rsidRPr="003D797D">
        <w:t xml:space="preserve"> 422(2020). </w:t>
      </w:r>
      <w:proofErr w:type="gramStart"/>
      <w:r w:rsidRPr="00CF76CC">
        <w:rPr>
          <w:color w:val="0000FF"/>
          <w:u w:val="single"/>
          <w:bdr w:val="none" w:sz="0" w:space="0" w:color="auto" w:frame="1"/>
          <w:shd w:val="clear" w:color="auto" w:fill="FFFFFF"/>
        </w:rPr>
        <w:t>doi:10.1016/j.margeo</w:t>
      </w:r>
      <w:proofErr w:type="gramEnd"/>
      <w:r w:rsidRPr="00CF76CC">
        <w:rPr>
          <w:color w:val="0000FF"/>
          <w:u w:val="single"/>
          <w:bdr w:val="none" w:sz="0" w:space="0" w:color="auto" w:frame="1"/>
          <w:shd w:val="clear" w:color="auto" w:fill="FFFFFF"/>
        </w:rPr>
        <w:t>.2020.106122.</w:t>
      </w:r>
      <w:bookmarkEnd w:id="22"/>
    </w:p>
    <w:p w14:paraId="63DAC28E" w14:textId="77777777" w:rsidR="00126889" w:rsidRPr="003D797D" w:rsidRDefault="00126889" w:rsidP="00126889">
      <w:pPr>
        <w:pStyle w:val="EndNoteBibliography"/>
        <w:spacing w:line="480" w:lineRule="auto"/>
        <w:ind w:left="480" w:hangingChars="200" w:hanging="480"/>
      </w:pPr>
      <w:r>
        <w:t>7</w:t>
      </w:r>
      <w:r w:rsidRPr="003D797D">
        <w:tab/>
        <w:t>Levasseur, S.</w:t>
      </w:r>
      <w:r w:rsidRPr="00CF76CC">
        <w:rPr>
          <w:iCs/>
        </w:rPr>
        <w:t xml:space="preserve"> </w:t>
      </w:r>
      <w:r w:rsidRPr="003D797D">
        <w:rPr>
          <w:iCs/>
        </w:rPr>
        <w:t>et al</w:t>
      </w:r>
      <w:r w:rsidRPr="003D797D">
        <w:t xml:space="preserve">. Direct measurement of femtomoles of osmium and the 187Os/186Os ratio. </w:t>
      </w:r>
      <w:r w:rsidRPr="003D797D">
        <w:rPr>
          <w:i/>
        </w:rPr>
        <w:t>Science</w:t>
      </w:r>
      <w:r w:rsidRPr="003D797D">
        <w:t xml:space="preserve"> 282, 272–274 (1998). </w:t>
      </w:r>
      <w:r w:rsidRPr="00CF76CC">
        <w:rPr>
          <w:color w:val="0000FF"/>
          <w:u w:val="single"/>
          <w:bdr w:val="none" w:sz="0" w:space="0" w:color="auto" w:frame="1"/>
          <w:shd w:val="clear" w:color="auto" w:fill="FFFFFF"/>
        </w:rPr>
        <w:t>doi:10.1126/science.282.5387.272.</w:t>
      </w:r>
    </w:p>
    <w:p w14:paraId="5A66A384" w14:textId="77777777" w:rsidR="00126889" w:rsidRPr="00CF76CC" w:rsidRDefault="00126889" w:rsidP="00126889">
      <w:pPr>
        <w:pStyle w:val="EndNoteBibliography"/>
        <w:spacing w:line="480" w:lineRule="auto"/>
        <w:ind w:left="480" w:hangingChars="200" w:hanging="480"/>
        <w:rPr>
          <w:color w:val="0000FF"/>
          <w:u w:val="single"/>
          <w:bdr w:val="none" w:sz="0" w:space="0" w:color="auto" w:frame="1"/>
          <w:shd w:val="clear" w:color="auto" w:fill="FFFFFF"/>
        </w:rPr>
      </w:pPr>
      <w:r>
        <w:t>8</w:t>
      </w:r>
      <w:r w:rsidRPr="003D797D">
        <w:tab/>
        <w:t>Burton, K. W.</w:t>
      </w:r>
      <w:r w:rsidRPr="00CF76CC">
        <w:rPr>
          <w:iCs/>
        </w:rPr>
        <w:t xml:space="preserve"> </w:t>
      </w:r>
      <w:r w:rsidRPr="003D797D">
        <w:rPr>
          <w:iCs/>
        </w:rPr>
        <w:t>et al</w:t>
      </w:r>
      <w:r w:rsidRPr="003D797D">
        <w:t xml:space="preserve">. Osmium isotope variations in the oceans recorded by </w:t>
      </w:r>
      <w:proofErr w:type="spellStart"/>
      <w:r w:rsidRPr="003D797D">
        <w:t>FeMn</w:t>
      </w:r>
      <w:proofErr w:type="spellEnd"/>
      <w:r w:rsidRPr="003D797D">
        <w:t xml:space="preserve"> crusts. </w:t>
      </w:r>
      <w:r w:rsidRPr="003D797D">
        <w:rPr>
          <w:i/>
        </w:rPr>
        <w:t>Earth and Planetary Science Letters</w:t>
      </w:r>
      <w:r w:rsidRPr="003D797D">
        <w:t xml:space="preserve"> 171, 185–197 (1999). </w:t>
      </w:r>
      <w:proofErr w:type="spellStart"/>
      <w:proofErr w:type="gramStart"/>
      <w:r w:rsidRPr="00CF76CC">
        <w:rPr>
          <w:color w:val="0000FF"/>
          <w:u w:val="single"/>
          <w:bdr w:val="none" w:sz="0" w:space="0" w:color="auto" w:frame="1"/>
          <w:shd w:val="clear" w:color="auto" w:fill="FFFFFF"/>
        </w:rPr>
        <w:lastRenderedPageBreak/>
        <w:t>doi:https</w:t>
      </w:r>
      <w:proofErr w:type="spellEnd"/>
      <w:r w:rsidRPr="00CF76CC">
        <w:rPr>
          <w:color w:val="0000FF"/>
          <w:u w:val="single"/>
          <w:bdr w:val="none" w:sz="0" w:space="0" w:color="auto" w:frame="1"/>
          <w:shd w:val="clear" w:color="auto" w:fill="FFFFFF"/>
        </w:rPr>
        <w:t>://doi.org/10.1016/S0012-821X(99)00139-9</w:t>
      </w:r>
      <w:proofErr w:type="gramEnd"/>
      <w:r w:rsidRPr="00CF76CC">
        <w:rPr>
          <w:color w:val="0000FF"/>
          <w:u w:val="single"/>
          <w:bdr w:val="none" w:sz="0" w:space="0" w:color="auto" w:frame="1"/>
          <w:shd w:val="clear" w:color="auto" w:fill="FFFFFF"/>
        </w:rPr>
        <w:t>.</w:t>
      </w:r>
    </w:p>
    <w:p w14:paraId="2E9BE84E" w14:textId="77777777" w:rsidR="00126889" w:rsidRPr="00CF76CC" w:rsidRDefault="00126889" w:rsidP="00126889">
      <w:pPr>
        <w:pStyle w:val="EndNoteBibliography"/>
        <w:spacing w:line="480" w:lineRule="auto"/>
        <w:ind w:left="480" w:hangingChars="200" w:hanging="480"/>
        <w:rPr>
          <w:color w:val="0000FF"/>
          <w:u w:val="single"/>
          <w:bdr w:val="none" w:sz="0" w:space="0" w:color="auto" w:frame="1"/>
          <w:shd w:val="clear" w:color="auto" w:fill="FFFFFF"/>
        </w:rPr>
      </w:pPr>
      <w:r>
        <w:t>9</w:t>
      </w:r>
      <w:r w:rsidRPr="003D797D">
        <w:tab/>
        <w:t>Burton, K. W.</w:t>
      </w:r>
      <w:r w:rsidRPr="00CF76CC">
        <w:rPr>
          <w:iCs/>
        </w:rPr>
        <w:t xml:space="preserve"> </w:t>
      </w:r>
      <w:r w:rsidRPr="003D797D">
        <w:rPr>
          <w:iCs/>
        </w:rPr>
        <w:t>et al</w:t>
      </w:r>
      <w:r w:rsidRPr="003D797D">
        <w:t xml:space="preserve">. Osmium isotope variations in the oceans recorded by </w:t>
      </w:r>
      <w:proofErr w:type="spellStart"/>
      <w:r w:rsidRPr="003D797D">
        <w:t>FeMn</w:t>
      </w:r>
      <w:proofErr w:type="spellEnd"/>
      <w:r w:rsidRPr="003D797D">
        <w:t xml:space="preserve"> crusts. </w:t>
      </w:r>
      <w:r w:rsidRPr="003D797D">
        <w:rPr>
          <w:i/>
        </w:rPr>
        <w:t>Earth and Planetary Science Letters</w:t>
      </w:r>
      <w:r w:rsidRPr="003D797D">
        <w:t xml:space="preserve"> 171, 185–197 (1999). </w:t>
      </w:r>
      <w:proofErr w:type="spellStart"/>
      <w:proofErr w:type="gramStart"/>
      <w:r w:rsidRPr="00CF76CC">
        <w:rPr>
          <w:color w:val="0000FF"/>
          <w:u w:val="single"/>
          <w:bdr w:val="none" w:sz="0" w:space="0" w:color="auto" w:frame="1"/>
          <w:shd w:val="clear" w:color="auto" w:fill="FFFFFF"/>
        </w:rPr>
        <w:t>doi:https</w:t>
      </w:r>
      <w:proofErr w:type="spellEnd"/>
      <w:r w:rsidRPr="00CF76CC">
        <w:rPr>
          <w:color w:val="0000FF"/>
          <w:u w:val="single"/>
          <w:bdr w:val="none" w:sz="0" w:space="0" w:color="auto" w:frame="1"/>
          <w:shd w:val="clear" w:color="auto" w:fill="FFFFFF"/>
        </w:rPr>
        <w:t>://doi.org/10.1016/S0012-821X(99)00139-9</w:t>
      </w:r>
      <w:proofErr w:type="gramEnd"/>
      <w:r w:rsidRPr="00CF76CC">
        <w:rPr>
          <w:color w:val="0000FF"/>
          <w:u w:val="single"/>
          <w:bdr w:val="none" w:sz="0" w:space="0" w:color="auto" w:frame="1"/>
          <w:shd w:val="clear" w:color="auto" w:fill="FFFFFF"/>
        </w:rPr>
        <w:t>.</w:t>
      </w:r>
    </w:p>
    <w:p w14:paraId="2E2BBAA6" w14:textId="77777777" w:rsidR="00126889" w:rsidRPr="003D797D" w:rsidRDefault="00126889" w:rsidP="00126889">
      <w:pPr>
        <w:pStyle w:val="EndNoteBibliography"/>
        <w:spacing w:line="480" w:lineRule="auto"/>
        <w:ind w:left="480" w:hangingChars="200" w:hanging="480"/>
      </w:pPr>
      <w:r>
        <w:t>10</w:t>
      </w:r>
      <w:r w:rsidRPr="003D797D">
        <w:tab/>
        <w:t xml:space="preserve">Burton, K. W. Global weathering variations inferred from marine radiogenic isotope records. </w:t>
      </w:r>
      <w:r w:rsidRPr="003D797D">
        <w:rPr>
          <w:i/>
        </w:rPr>
        <w:t>Journal of Geochemical Exploration</w:t>
      </w:r>
      <w:r w:rsidRPr="003D797D">
        <w:t xml:space="preserve"> 88, 262–265 (2006). </w:t>
      </w:r>
      <w:hyperlink r:id="rId16" w:tgtFrame="_blank" w:tooltip="Persistent link using digital object identifier" w:history="1">
        <w:r w:rsidRPr="00CF76CC">
          <w:rPr>
            <w:color w:val="0000FF"/>
            <w:u w:val="single"/>
            <w:bdr w:val="none" w:sz="0" w:space="0" w:color="auto" w:frame="1"/>
            <w:shd w:val="clear" w:color="auto" w:fill="FFFFFF"/>
          </w:rPr>
          <w:t>doi.org/10.1016/j.gexplo.2005.08.052</w:t>
        </w:r>
      </w:hyperlink>
      <w:r w:rsidRPr="00CF76CC">
        <w:rPr>
          <w:color w:val="0000FF"/>
          <w:u w:val="single"/>
          <w:bdr w:val="none" w:sz="0" w:space="0" w:color="auto" w:frame="1"/>
          <w:shd w:val="clear" w:color="auto" w:fill="FFFFFF"/>
        </w:rPr>
        <w:t>.</w:t>
      </w:r>
    </w:p>
    <w:p w14:paraId="5EA442A0" w14:textId="77777777" w:rsidR="00126889" w:rsidRDefault="00126889" w:rsidP="00126889">
      <w:pPr>
        <w:pStyle w:val="EndNoteBibliography"/>
        <w:spacing w:line="480" w:lineRule="auto"/>
        <w:ind w:left="480" w:hangingChars="200" w:hanging="480"/>
        <w:rPr>
          <w:szCs w:val="24"/>
        </w:rPr>
      </w:pPr>
      <w:r>
        <w:t>11</w:t>
      </w:r>
      <w:r w:rsidRPr="003D797D">
        <w:tab/>
        <w:t>Klemm, V.</w:t>
      </w:r>
      <w:r w:rsidRPr="00CF76CC">
        <w:rPr>
          <w:iCs/>
        </w:rPr>
        <w:t xml:space="preserve"> </w:t>
      </w:r>
      <w:r w:rsidRPr="003D797D">
        <w:rPr>
          <w:iCs/>
        </w:rPr>
        <w:t>et al</w:t>
      </w:r>
      <w:r w:rsidRPr="003D797D">
        <w:t xml:space="preserve">. Seawater osmium isotope evidence for a middle Miocene flood basalt event in ferromanganese crust records. </w:t>
      </w:r>
      <w:r w:rsidRPr="003D797D">
        <w:rPr>
          <w:i/>
        </w:rPr>
        <w:t>Earth &amp; Planetary Science Letters</w:t>
      </w:r>
      <w:r w:rsidRPr="003D797D">
        <w:t xml:space="preserve"> 273, 175–183 (2008). </w:t>
      </w:r>
      <w:hyperlink r:id="rId17" w:tgtFrame="_blank" w:tooltip="Persistent link using digital object identifier" w:history="1">
        <w:r w:rsidRPr="00CF76CC">
          <w:rPr>
            <w:color w:val="0000FF"/>
            <w:u w:val="single"/>
            <w:bdr w:val="none" w:sz="0" w:space="0" w:color="auto" w:frame="1"/>
            <w:shd w:val="clear" w:color="auto" w:fill="FFFFFF"/>
          </w:rPr>
          <w:t>doi.org/10.1016/j.epsl.2008.06.028</w:t>
        </w:r>
      </w:hyperlink>
      <w:r w:rsidRPr="00CF76CC">
        <w:rPr>
          <w:color w:val="0000FF"/>
          <w:u w:val="single"/>
          <w:bdr w:val="none" w:sz="0" w:space="0" w:color="auto" w:frame="1"/>
          <w:shd w:val="clear" w:color="auto" w:fill="FFFFFF"/>
        </w:rPr>
        <w:t>.</w:t>
      </w:r>
    </w:p>
    <w:p w14:paraId="5E9CE989" w14:textId="77777777" w:rsidR="00126889" w:rsidRDefault="00126889" w:rsidP="00126889">
      <w:pPr>
        <w:pStyle w:val="EndNoteBibliography"/>
        <w:spacing w:line="480" w:lineRule="auto"/>
        <w:ind w:left="480" w:hangingChars="200" w:hanging="480"/>
        <w:rPr>
          <w:szCs w:val="24"/>
        </w:rPr>
      </w:pPr>
      <w:r>
        <w:rPr>
          <w:szCs w:val="24"/>
        </w:rPr>
        <w:t>12</w:t>
      </w:r>
      <w:r>
        <w:rPr>
          <w:szCs w:val="24"/>
        </w:rPr>
        <w:tab/>
      </w:r>
      <w:r w:rsidRPr="006B1ADE">
        <w:rPr>
          <w:szCs w:val="24"/>
        </w:rPr>
        <w:t>Dalai, T.K.</w:t>
      </w:r>
      <w:r w:rsidRPr="00CF76CC">
        <w:rPr>
          <w:iCs/>
        </w:rPr>
        <w:t xml:space="preserve"> </w:t>
      </w:r>
      <w:r w:rsidRPr="003D797D">
        <w:rPr>
          <w:iCs/>
        </w:rPr>
        <w:t>et al</w:t>
      </w:r>
      <w:r w:rsidRPr="006B1ADE">
        <w:rPr>
          <w:szCs w:val="24"/>
        </w:rPr>
        <w:t xml:space="preserve">. The late Eocene 187Os/188Os excursion: </w:t>
      </w:r>
      <w:proofErr w:type="spellStart"/>
      <w:r w:rsidRPr="006B1ADE">
        <w:rPr>
          <w:szCs w:val="24"/>
        </w:rPr>
        <w:t>chemostratigraphy</w:t>
      </w:r>
      <w:proofErr w:type="spellEnd"/>
      <w:r w:rsidRPr="006B1ADE">
        <w:rPr>
          <w:szCs w:val="24"/>
        </w:rPr>
        <w:t xml:space="preserve">, cosmic dust </w:t>
      </w:r>
      <w:proofErr w:type="spellStart"/>
      <w:r w:rsidRPr="006B1ADE">
        <w:rPr>
          <w:szCs w:val="24"/>
        </w:rPr>
        <w:t>fux</w:t>
      </w:r>
      <w:proofErr w:type="spellEnd"/>
      <w:r w:rsidRPr="006B1ADE">
        <w:rPr>
          <w:szCs w:val="24"/>
        </w:rPr>
        <w:t xml:space="preserve"> and the early </w:t>
      </w:r>
      <w:proofErr w:type="spellStart"/>
      <w:r w:rsidRPr="006B1ADE">
        <w:rPr>
          <w:szCs w:val="24"/>
        </w:rPr>
        <w:t>oligocene</w:t>
      </w:r>
      <w:proofErr w:type="spellEnd"/>
      <w:r w:rsidRPr="006B1ADE">
        <w:rPr>
          <w:szCs w:val="24"/>
        </w:rPr>
        <w:t xml:space="preserve"> glaciation. Earth Planet. Sci. Lett. 241 (3–4), 477–492 </w:t>
      </w:r>
      <w:r>
        <w:rPr>
          <w:szCs w:val="24"/>
        </w:rPr>
        <w:t>(</w:t>
      </w:r>
      <w:r w:rsidRPr="006B1ADE">
        <w:rPr>
          <w:szCs w:val="24"/>
        </w:rPr>
        <w:t>2006</w:t>
      </w:r>
      <w:r>
        <w:rPr>
          <w:szCs w:val="24"/>
        </w:rPr>
        <w:t>)</w:t>
      </w:r>
    </w:p>
    <w:p w14:paraId="44B81ECF" w14:textId="77777777" w:rsidR="00126889" w:rsidRDefault="00126889" w:rsidP="00126889">
      <w:pPr>
        <w:pStyle w:val="EndNoteBibliography"/>
        <w:spacing w:line="480" w:lineRule="auto"/>
        <w:ind w:left="480" w:hangingChars="200" w:hanging="480"/>
      </w:pPr>
      <w:r>
        <w:t>13</w:t>
      </w:r>
      <w:r>
        <w:tab/>
        <w:t xml:space="preserve">Ravizza, G., &amp; </w:t>
      </w:r>
      <w:proofErr w:type="spellStart"/>
      <w:r>
        <w:t>Peucker-Ehrenbrink</w:t>
      </w:r>
      <w:proofErr w:type="spellEnd"/>
      <w:r>
        <w:t xml:space="preserve">, B. </w:t>
      </w:r>
      <w:proofErr w:type="spellStart"/>
      <w:r>
        <w:t>Chemostratigraphic</w:t>
      </w:r>
      <w:proofErr w:type="spellEnd"/>
      <w:r>
        <w:t xml:space="preserve"> evidence of Deccan volcanism from the marine osmium isotope record. Science. 302, 1392–1396 (2003). </w:t>
      </w:r>
    </w:p>
    <w:p w14:paraId="6682D692" w14:textId="77777777" w:rsidR="00126889" w:rsidRPr="003D797D" w:rsidRDefault="00126889" w:rsidP="00126889">
      <w:pPr>
        <w:pStyle w:val="EndNoteBibliography"/>
        <w:spacing w:line="480" w:lineRule="auto"/>
        <w:ind w:left="480" w:hangingChars="200" w:hanging="480"/>
      </w:pPr>
      <w:r>
        <w:t>14</w:t>
      </w:r>
      <w:r w:rsidRPr="003D797D">
        <w:tab/>
        <w:t>Nielsen, S. G. et al.</w:t>
      </w:r>
      <w:r w:rsidRPr="003D797D">
        <w:rPr>
          <w:i/>
        </w:rPr>
        <w:t xml:space="preserve"> </w:t>
      </w:r>
      <w:r w:rsidRPr="003D797D">
        <w:t xml:space="preserve">Thallium isotope evidence for a permanent increase in marine organic carbon export in the early Eocene. </w:t>
      </w:r>
      <w:r w:rsidRPr="003D797D">
        <w:rPr>
          <w:i/>
        </w:rPr>
        <w:t>Earth and Planetary Science Letters</w:t>
      </w:r>
      <w:r w:rsidRPr="003D797D">
        <w:t xml:space="preserve"> 278, 297–307 (2009). </w:t>
      </w:r>
      <w:proofErr w:type="spellStart"/>
      <w:proofErr w:type="gramStart"/>
      <w:r w:rsidRPr="00CF76CC">
        <w:rPr>
          <w:color w:val="0000FF"/>
          <w:u w:val="single"/>
          <w:bdr w:val="none" w:sz="0" w:space="0" w:color="auto" w:frame="1"/>
          <w:shd w:val="clear" w:color="auto" w:fill="FFFFFF"/>
        </w:rPr>
        <w:t>doi:https</w:t>
      </w:r>
      <w:proofErr w:type="spellEnd"/>
      <w:r w:rsidRPr="00CF76CC">
        <w:rPr>
          <w:color w:val="0000FF"/>
          <w:u w:val="single"/>
          <w:bdr w:val="none" w:sz="0" w:space="0" w:color="auto" w:frame="1"/>
          <w:shd w:val="clear" w:color="auto" w:fill="FFFFFF"/>
        </w:rPr>
        <w:t>://doi.org/10.1016/j.epsl.2008.12.010</w:t>
      </w:r>
      <w:proofErr w:type="gramEnd"/>
      <w:r w:rsidRPr="00CF76CC">
        <w:rPr>
          <w:color w:val="0000FF"/>
          <w:u w:val="single"/>
          <w:bdr w:val="none" w:sz="0" w:space="0" w:color="auto" w:frame="1"/>
          <w:shd w:val="clear" w:color="auto" w:fill="FFFFFF"/>
        </w:rPr>
        <w:t>.</w:t>
      </w:r>
    </w:p>
    <w:p w14:paraId="446E840B" w14:textId="77777777" w:rsidR="00126889" w:rsidRPr="003D797D" w:rsidRDefault="00126889" w:rsidP="00126889">
      <w:pPr>
        <w:pStyle w:val="EndNoteBibliography"/>
        <w:spacing w:line="480" w:lineRule="auto"/>
        <w:ind w:left="480" w:hangingChars="200" w:hanging="480"/>
        <w:rPr>
          <w:color w:val="0000FF"/>
          <w:highlight w:val="yellow"/>
        </w:rPr>
      </w:pPr>
      <w:r>
        <w:t>15</w:t>
      </w:r>
      <w:r w:rsidRPr="003D797D">
        <w:tab/>
        <w:t>Zeng, X. L.</w:t>
      </w:r>
      <w:r>
        <w:t xml:space="preserve"> et al</w:t>
      </w:r>
      <w:r w:rsidRPr="003D797D">
        <w:t xml:space="preserve">. A high-resolution Os-Nd-Pb isotopic record of a hydrogenous Fe–Mn crust from the Northwestern Pacific and its response to plate motion. </w:t>
      </w:r>
      <w:r w:rsidRPr="003D797D">
        <w:rPr>
          <w:i/>
        </w:rPr>
        <w:lastRenderedPageBreak/>
        <w:t>Marine Geology</w:t>
      </w:r>
      <w:r w:rsidRPr="003D797D">
        <w:t xml:space="preserve"> 449, 107028 (2023). </w:t>
      </w:r>
      <w:hyperlink r:id="rId18" w:tgtFrame="_blank" w:tooltip="Persistent link using digital object identifier" w:history="1">
        <w:r w:rsidRPr="00CF76CC">
          <w:rPr>
            <w:color w:val="0000FF"/>
            <w:u w:val="single"/>
            <w:bdr w:val="none" w:sz="0" w:space="0" w:color="auto" w:frame="1"/>
            <w:shd w:val="clear" w:color="auto" w:fill="FFFFFF"/>
          </w:rPr>
          <w:t>doi.org/10.1016/j.margeo.2023.107028</w:t>
        </w:r>
      </w:hyperlink>
      <w:r w:rsidRPr="00CF76CC">
        <w:rPr>
          <w:color w:val="0000FF"/>
          <w:u w:val="single"/>
          <w:bdr w:val="none" w:sz="0" w:space="0" w:color="auto" w:frame="1"/>
          <w:shd w:val="clear" w:color="auto" w:fill="FFFFFF"/>
        </w:rPr>
        <w:t>.</w:t>
      </w:r>
    </w:p>
    <w:p w14:paraId="5ECC6E24" w14:textId="77777777" w:rsidR="00126889" w:rsidRPr="003D797D" w:rsidRDefault="00126889" w:rsidP="00126889">
      <w:pPr>
        <w:pStyle w:val="EndNoteBibliography"/>
        <w:spacing w:line="480" w:lineRule="auto"/>
        <w:ind w:left="480" w:hangingChars="200" w:hanging="480"/>
      </w:pPr>
      <w:r>
        <w:t>16</w:t>
      </w:r>
      <w:r w:rsidRPr="003D797D">
        <w:tab/>
        <w:t>Menendez, A.</w:t>
      </w:r>
      <w:r w:rsidRPr="00CF76CC">
        <w:t xml:space="preserve"> </w:t>
      </w:r>
      <w:r>
        <w:t>et al</w:t>
      </w:r>
      <w:r w:rsidRPr="003D797D">
        <w:t xml:space="preserve">. Controls on the chemical composition of ferromanganese nodules in the Clarion-Clipperton Fracture Zone, eastern equatorial Pacific. </w:t>
      </w:r>
      <w:r w:rsidRPr="003D797D">
        <w:rPr>
          <w:i/>
        </w:rPr>
        <w:t>Marine Geology</w:t>
      </w:r>
      <w:r w:rsidRPr="003D797D">
        <w:t xml:space="preserve"> 409, 1–14 (2019). </w:t>
      </w:r>
      <w:proofErr w:type="spellStart"/>
      <w:proofErr w:type="gramStart"/>
      <w:r w:rsidRPr="00CF76CC">
        <w:rPr>
          <w:color w:val="0000FF"/>
          <w:u w:val="single"/>
          <w:bdr w:val="none" w:sz="0" w:space="0" w:color="auto" w:frame="1"/>
          <w:shd w:val="clear" w:color="auto" w:fill="FFFFFF"/>
        </w:rPr>
        <w:t>doi:https</w:t>
      </w:r>
      <w:proofErr w:type="spellEnd"/>
      <w:r w:rsidRPr="00CF76CC">
        <w:rPr>
          <w:color w:val="0000FF"/>
          <w:u w:val="single"/>
          <w:bdr w:val="none" w:sz="0" w:space="0" w:color="auto" w:frame="1"/>
          <w:shd w:val="clear" w:color="auto" w:fill="FFFFFF"/>
        </w:rPr>
        <w:t>://doi.org/10.1016/j.margeo.2018.12.004</w:t>
      </w:r>
      <w:proofErr w:type="gramEnd"/>
      <w:r w:rsidRPr="00CF76CC">
        <w:rPr>
          <w:color w:val="0000FF"/>
          <w:u w:val="single"/>
          <w:bdr w:val="none" w:sz="0" w:space="0" w:color="auto" w:frame="1"/>
          <w:shd w:val="clear" w:color="auto" w:fill="FFFFFF"/>
        </w:rPr>
        <w:t>.</w:t>
      </w:r>
    </w:p>
    <w:p w14:paraId="63AA343E" w14:textId="77777777" w:rsidR="00126889" w:rsidRPr="00CF76CC" w:rsidRDefault="00126889" w:rsidP="00126889">
      <w:pPr>
        <w:pStyle w:val="EndNoteBibliography"/>
        <w:spacing w:line="480" w:lineRule="auto"/>
        <w:ind w:left="480" w:hangingChars="200" w:hanging="480"/>
        <w:rPr>
          <w:color w:val="0000FF"/>
          <w:u w:val="single"/>
          <w:bdr w:val="none" w:sz="0" w:space="0" w:color="auto" w:frame="1"/>
          <w:shd w:val="clear" w:color="auto" w:fill="FFFFFF"/>
        </w:rPr>
      </w:pPr>
      <w:r>
        <w:t>17</w:t>
      </w:r>
      <w:r w:rsidRPr="003D797D">
        <w:tab/>
        <w:t>Kashiwabara, T.</w:t>
      </w:r>
      <w:r w:rsidRPr="00CF76CC">
        <w:t xml:space="preserve"> </w:t>
      </w:r>
      <w:r>
        <w:t>et al</w:t>
      </w:r>
      <w:r w:rsidRPr="003D797D">
        <w:t xml:space="preserve">. A XAFS study on the mechanism of isotopic fractionation of molybdenum during its adsorption on ferromanganese oxides. </w:t>
      </w:r>
      <w:r w:rsidRPr="003D797D">
        <w:rPr>
          <w:i/>
        </w:rPr>
        <w:t xml:space="preserve">Geochemical Journal </w:t>
      </w:r>
      <w:r w:rsidRPr="003D797D">
        <w:t>43, 31–e36 (2009).</w:t>
      </w:r>
      <w:r w:rsidRPr="003D797D">
        <w:rPr>
          <w:rFonts w:ascii="Arial" w:hAnsi="Arial" w:cs="Arial"/>
          <w:color w:val="555555"/>
          <w:sz w:val="21"/>
          <w:szCs w:val="21"/>
          <w:shd w:val="clear" w:color="auto" w:fill="FFFFFF"/>
        </w:rPr>
        <w:t xml:space="preserve"> </w:t>
      </w:r>
      <w:r w:rsidRPr="00CF76CC">
        <w:rPr>
          <w:color w:val="0000FF"/>
          <w:u w:val="single"/>
          <w:bdr w:val="none" w:sz="0" w:space="0" w:color="auto" w:frame="1"/>
          <w:shd w:val="clear" w:color="auto" w:fill="FFFFFF"/>
        </w:rPr>
        <w:t>DOI:</w:t>
      </w:r>
      <w:hyperlink r:id="rId19" w:tgtFrame="_blank" w:history="1">
        <w:r w:rsidRPr="00CF76CC">
          <w:rPr>
            <w:color w:val="0000FF"/>
            <w:u w:val="single"/>
            <w:bdr w:val="none" w:sz="0" w:space="0" w:color="auto" w:frame="1"/>
            <w:shd w:val="clear" w:color="auto" w:fill="FFFFFF"/>
          </w:rPr>
          <w:t>10.2343/geochemj.1.0060</w:t>
        </w:r>
      </w:hyperlink>
      <w:r w:rsidRPr="00CF76CC">
        <w:rPr>
          <w:color w:val="0000FF"/>
          <w:u w:val="single"/>
          <w:bdr w:val="none" w:sz="0" w:space="0" w:color="auto" w:frame="1"/>
          <w:shd w:val="clear" w:color="auto" w:fill="FFFFFF"/>
        </w:rPr>
        <w:t>.</w:t>
      </w:r>
    </w:p>
    <w:p w14:paraId="13A30E36" w14:textId="77777777" w:rsidR="00126889" w:rsidRPr="003D797D" w:rsidRDefault="00126889" w:rsidP="00126889">
      <w:pPr>
        <w:pStyle w:val="EndNoteBibliography"/>
        <w:spacing w:line="480" w:lineRule="auto"/>
        <w:ind w:left="480" w:hangingChars="200" w:hanging="480"/>
      </w:pPr>
      <w:r>
        <w:t>18</w:t>
      </w:r>
      <w:r w:rsidRPr="003D797D">
        <w:tab/>
        <w:t xml:space="preserve">Barling, J. &amp; Anbar, A. D. Molybdenum isotope fractionation during adsorption by manganese oxides. </w:t>
      </w:r>
      <w:r w:rsidRPr="003D797D">
        <w:rPr>
          <w:i/>
        </w:rPr>
        <w:t>Earth and Planetary Science Letters</w:t>
      </w:r>
      <w:r w:rsidRPr="003D797D">
        <w:t xml:space="preserve"> 217, 315–329 (2004). </w:t>
      </w:r>
      <w:hyperlink r:id="rId20" w:tgtFrame="_blank" w:tooltip="Persistent link using digital object identifier" w:history="1">
        <w:r w:rsidRPr="00CF76CC">
          <w:rPr>
            <w:color w:val="0000FF"/>
            <w:u w:val="single"/>
            <w:bdr w:val="none" w:sz="0" w:space="0" w:color="auto" w:frame="1"/>
            <w:shd w:val="clear" w:color="auto" w:fill="FFFFFF"/>
          </w:rPr>
          <w:t>doi.org/10.1016/S0012-821</w:t>
        </w:r>
        <w:proofErr w:type="gramStart"/>
        <w:r w:rsidRPr="00CF76CC">
          <w:rPr>
            <w:color w:val="0000FF"/>
            <w:u w:val="single"/>
            <w:bdr w:val="none" w:sz="0" w:space="0" w:color="auto" w:frame="1"/>
            <w:shd w:val="clear" w:color="auto" w:fill="FFFFFF"/>
          </w:rPr>
          <w:t>X(</w:t>
        </w:r>
        <w:proofErr w:type="gramEnd"/>
        <w:r w:rsidRPr="00CF76CC">
          <w:rPr>
            <w:color w:val="0000FF"/>
            <w:u w:val="single"/>
            <w:bdr w:val="none" w:sz="0" w:space="0" w:color="auto" w:frame="1"/>
            <w:shd w:val="clear" w:color="auto" w:fill="FFFFFF"/>
          </w:rPr>
          <w:t>03)00608-3</w:t>
        </w:r>
      </w:hyperlink>
      <w:r w:rsidRPr="00CF76CC">
        <w:rPr>
          <w:color w:val="0000FF"/>
          <w:u w:val="single"/>
          <w:bdr w:val="none" w:sz="0" w:space="0" w:color="auto" w:frame="1"/>
          <w:shd w:val="clear" w:color="auto" w:fill="FFFFFF"/>
        </w:rPr>
        <w:t>.</w:t>
      </w:r>
    </w:p>
    <w:p w14:paraId="7164DF5E" w14:textId="77777777" w:rsidR="00126889" w:rsidRPr="003D797D" w:rsidRDefault="00126889" w:rsidP="00126889">
      <w:pPr>
        <w:pStyle w:val="EndNoteBibliography"/>
        <w:spacing w:line="480" w:lineRule="auto"/>
        <w:ind w:left="480" w:hangingChars="200" w:hanging="480"/>
      </w:pPr>
      <w:bookmarkStart w:id="23" w:name="_ENREF_14"/>
      <w:r>
        <w:t>19</w:t>
      </w:r>
      <w:r w:rsidRPr="003D797D">
        <w:tab/>
        <w:t>Goldberg, T.</w:t>
      </w:r>
      <w:r w:rsidRPr="00CF76CC">
        <w:t xml:space="preserve"> </w:t>
      </w:r>
      <w:r>
        <w:t>et al</w:t>
      </w:r>
      <w:r w:rsidRPr="003D797D">
        <w:t>. Mo isotope fractionation during adsorption to Fe (</w:t>
      </w:r>
      <w:proofErr w:type="spellStart"/>
      <w:r w:rsidRPr="003D797D">
        <w:t>oxyhydr</w:t>
      </w:r>
      <w:proofErr w:type="spellEnd"/>
      <w:r w:rsidRPr="003D797D">
        <w:t xml:space="preserve">)oxides. </w:t>
      </w:r>
      <w:proofErr w:type="spellStart"/>
      <w:r w:rsidRPr="003D797D">
        <w:rPr>
          <w:i/>
        </w:rPr>
        <w:t>Geochimica</w:t>
      </w:r>
      <w:proofErr w:type="spellEnd"/>
      <w:r w:rsidRPr="003D797D">
        <w:rPr>
          <w:i/>
        </w:rPr>
        <w:t xml:space="preserve"> Et </w:t>
      </w:r>
      <w:proofErr w:type="spellStart"/>
      <w:r w:rsidRPr="003D797D">
        <w:rPr>
          <w:i/>
        </w:rPr>
        <w:t>Cosmochimica</w:t>
      </w:r>
      <w:proofErr w:type="spellEnd"/>
      <w:r w:rsidRPr="003D797D">
        <w:rPr>
          <w:i/>
        </w:rPr>
        <w:t xml:space="preserve"> Acta</w:t>
      </w:r>
      <w:r w:rsidRPr="003D797D">
        <w:t xml:space="preserve"> 73, 6502–6516 (2009). </w:t>
      </w:r>
      <w:hyperlink r:id="rId21" w:tgtFrame="_blank" w:tooltip="Persistent link using digital object identifier" w:history="1">
        <w:r w:rsidRPr="00CF76CC">
          <w:rPr>
            <w:color w:val="0000FF"/>
            <w:u w:val="single"/>
            <w:bdr w:val="none" w:sz="0" w:space="0" w:color="auto" w:frame="1"/>
            <w:shd w:val="clear" w:color="auto" w:fill="FFFFFF"/>
          </w:rPr>
          <w:t>doi.org/10.1016/j.gca.2009.08.004</w:t>
        </w:r>
      </w:hyperlink>
      <w:r w:rsidRPr="00CF76CC">
        <w:rPr>
          <w:color w:val="0000FF"/>
          <w:u w:val="single"/>
          <w:bdr w:val="none" w:sz="0" w:space="0" w:color="auto" w:frame="1"/>
          <w:shd w:val="clear" w:color="auto" w:fill="FFFFFF"/>
        </w:rPr>
        <w:t>.</w:t>
      </w:r>
    </w:p>
    <w:p w14:paraId="45DA0A5D" w14:textId="77777777" w:rsidR="00126889" w:rsidRPr="003D797D" w:rsidRDefault="00126889" w:rsidP="00126889">
      <w:pPr>
        <w:pStyle w:val="EndNoteBibliography"/>
        <w:spacing w:line="480" w:lineRule="auto"/>
        <w:ind w:left="480" w:hangingChars="200" w:hanging="480"/>
      </w:pPr>
      <w:r>
        <w:t>20</w:t>
      </w:r>
      <w:r w:rsidRPr="003D797D">
        <w:tab/>
        <w:t xml:space="preserve">Hein, J.R. et al. Two major </w:t>
      </w:r>
      <w:proofErr w:type="spellStart"/>
      <w:r w:rsidRPr="003D797D">
        <w:t>cenozoic</w:t>
      </w:r>
      <w:proofErr w:type="spellEnd"/>
      <w:r w:rsidRPr="003D797D">
        <w:t xml:space="preserve"> episodes of </w:t>
      </w:r>
      <w:proofErr w:type="spellStart"/>
      <w:r w:rsidRPr="003D797D">
        <w:t>phosphogenesis</w:t>
      </w:r>
      <w:proofErr w:type="spellEnd"/>
      <w:r w:rsidRPr="003D797D">
        <w:t xml:space="preserve"> recorded in equatorial pacific seamount deposits. </w:t>
      </w:r>
      <w:proofErr w:type="spellStart"/>
      <w:r w:rsidRPr="003D797D">
        <w:rPr>
          <w:i/>
        </w:rPr>
        <w:t>Paleoceanography</w:t>
      </w:r>
      <w:proofErr w:type="spellEnd"/>
      <w:r w:rsidRPr="003D797D">
        <w:t xml:space="preserve"> 8, 293–311 (1993). </w:t>
      </w:r>
      <w:r w:rsidRPr="00CF76CC">
        <w:rPr>
          <w:color w:val="0000FF"/>
          <w:u w:val="single"/>
          <w:bdr w:val="none" w:sz="0" w:space="0" w:color="auto" w:frame="1"/>
          <w:shd w:val="clear" w:color="auto" w:fill="FFFFFF"/>
        </w:rPr>
        <w:t>doi:10.1029/93PA00320.</w:t>
      </w:r>
      <w:bookmarkEnd w:id="23"/>
    </w:p>
    <w:p w14:paraId="58CC7D4E" w14:textId="77777777" w:rsidR="00126889" w:rsidRPr="003D797D" w:rsidRDefault="00126889" w:rsidP="00126889">
      <w:pPr>
        <w:pStyle w:val="EndNoteBibliography"/>
        <w:spacing w:line="480" w:lineRule="auto"/>
        <w:ind w:left="480" w:hangingChars="200" w:hanging="480"/>
        <w:rPr>
          <w:szCs w:val="24"/>
        </w:rPr>
      </w:pPr>
      <w:bookmarkStart w:id="24" w:name="_ENREF_15"/>
      <w:r>
        <w:t>21</w:t>
      </w:r>
      <w:r w:rsidRPr="003D797D">
        <w:tab/>
      </w:r>
      <w:proofErr w:type="spellStart"/>
      <w:r w:rsidRPr="003D797D">
        <w:t>Koschinsky</w:t>
      </w:r>
      <w:proofErr w:type="spellEnd"/>
      <w:r w:rsidRPr="003D797D">
        <w:t>, A.</w:t>
      </w:r>
      <w:r w:rsidRPr="00CF76CC">
        <w:t xml:space="preserve"> </w:t>
      </w:r>
      <w:r>
        <w:t>et al</w:t>
      </w:r>
      <w:r w:rsidRPr="003D797D">
        <w:t xml:space="preserve">. Effects of </w:t>
      </w:r>
      <w:proofErr w:type="spellStart"/>
      <w:r w:rsidRPr="003D797D">
        <w:t>phosphatization</w:t>
      </w:r>
      <w:proofErr w:type="spellEnd"/>
      <w:r w:rsidRPr="003D797D">
        <w:t xml:space="preserve"> on the geochemical and mineralogical composition of marine ferromanganese crusts. </w:t>
      </w:r>
      <w:proofErr w:type="spellStart"/>
      <w:r w:rsidRPr="003D797D">
        <w:rPr>
          <w:i/>
        </w:rPr>
        <w:t>Geochimica</w:t>
      </w:r>
      <w:proofErr w:type="spellEnd"/>
      <w:r w:rsidRPr="003D797D">
        <w:rPr>
          <w:i/>
        </w:rPr>
        <w:t xml:space="preserve"> Et </w:t>
      </w:r>
      <w:proofErr w:type="spellStart"/>
      <w:r w:rsidRPr="003D797D">
        <w:rPr>
          <w:i/>
        </w:rPr>
        <w:t>Cosmochimica</w:t>
      </w:r>
      <w:proofErr w:type="spellEnd"/>
      <w:r w:rsidRPr="003D797D">
        <w:rPr>
          <w:i/>
        </w:rPr>
        <w:t xml:space="preserve"> Acta</w:t>
      </w:r>
      <w:r w:rsidRPr="003D797D">
        <w:t xml:space="preserve"> 61, 4079–4094 (1997).</w:t>
      </w:r>
      <w:bookmarkEnd w:id="24"/>
      <w:r w:rsidRPr="003D797D">
        <w:t xml:space="preserve"> </w:t>
      </w:r>
      <w:hyperlink r:id="rId22" w:tgtFrame="_blank" w:tooltip="Persistent link using digital object identifier" w:history="1">
        <w:r w:rsidRPr="00CF76CC">
          <w:rPr>
            <w:color w:val="0000FF"/>
            <w:u w:val="single"/>
            <w:bdr w:val="none" w:sz="0" w:space="0" w:color="auto" w:frame="1"/>
            <w:shd w:val="clear" w:color="auto" w:fill="FFFFFF"/>
          </w:rPr>
          <w:t>doi.org/10.1016/S0016-7037(97)00231-7</w:t>
        </w:r>
      </w:hyperlink>
      <w:r w:rsidRPr="00CF76CC">
        <w:rPr>
          <w:color w:val="0000FF"/>
          <w:u w:val="single"/>
          <w:bdr w:val="none" w:sz="0" w:space="0" w:color="auto" w:frame="1"/>
          <w:shd w:val="clear" w:color="auto" w:fill="FFFFFF"/>
        </w:rPr>
        <w:t>.</w:t>
      </w:r>
    </w:p>
    <w:p w14:paraId="37F00C47" w14:textId="77777777" w:rsidR="00126889" w:rsidRPr="00CF76CC" w:rsidRDefault="00126889" w:rsidP="00126889">
      <w:pPr>
        <w:pStyle w:val="EndNoteBibliography"/>
        <w:spacing w:line="480" w:lineRule="auto"/>
        <w:ind w:left="480" w:hangingChars="200" w:hanging="480"/>
        <w:rPr>
          <w:color w:val="0000FF"/>
          <w:u w:val="single"/>
          <w:bdr w:val="none" w:sz="0" w:space="0" w:color="auto" w:frame="1"/>
          <w:shd w:val="clear" w:color="auto" w:fill="FFFFFF"/>
        </w:rPr>
      </w:pPr>
      <w:bookmarkStart w:id="25" w:name="_ENREF_16"/>
      <w:r>
        <w:lastRenderedPageBreak/>
        <w:t>22</w:t>
      </w:r>
      <w:r w:rsidRPr="003D797D">
        <w:tab/>
        <w:t xml:space="preserve">Bau, M. &amp; Dulski, P. Distribution of yttrium and rare-earth elements in the Penge and </w:t>
      </w:r>
      <w:proofErr w:type="spellStart"/>
      <w:r w:rsidRPr="003D797D">
        <w:t>Kuruman</w:t>
      </w:r>
      <w:proofErr w:type="spellEnd"/>
      <w:r w:rsidRPr="003D797D">
        <w:t xml:space="preserve"> iron-formations, Transvaal Supergroup, South Africa. </w:t>
      </w:r>
      <w:r w:rsidRPr="003D797D">
        <w:rPr>
          <w:i/>
        </w:rPr>
        <w:t>Precambrian Research</w:t>
      </w:r>
      <w:r w:rsidRPr="003D797D">
        <w:t xml:space="preserve"> 79, 37–55 (1996). </w:t>
      </w:r>
      <w:proofErr w:type="spellStart"/>
      <w:proofErr w:type="gramStart"/>
      <w:r w:rsidRPr="00CF76CC">
        <w:rPr>
          <w:color w:val="0000FF"/>
          <w:u w:val="single"/>
          <w:bdr w:val="none" w:sz="0" w:space="0" w:color="auto" w:frame="1"/>
          <w:shd w:val="clear" w:color="auto" w:fill="FFFFFF"/>
        </w:rPr>
        <w:t>doi:https</w:t>
      </w:r>
      <w:proofErr w:type="spellEnd"/>
      <w:r w:rsidRPr="00CF76CC">
        <w:rPr>
          <w:color w:val="0000FF"/>
          <w:u w:val="single"/>
          <w:bdr w:val="none" w:sz="0" w:space="0" w:color="auto" w:frame="1"/>
          <w:shd w:val="clear" w:color="auto" w:fill="FFFFFF"/>
        </w:rPr>
        <w:t>://doi.org/10.1016/0301-9268(95)00087-9</w:t>
      </w:r>
      <w:proofErr w:type="gramEnd"/>
      <w:r w:rsidRPr="00CF76CC">
        <w:rPr>
          <w:color w:val="0000FF"/>
          <w:u w:val="single"/>
          <w:bdr w:val="none" w:sz="0" w:space="0" w:color="auto" w:frame="1"/>
          <w:shd w:val="clear" w:color="auto" w:fill="FFFFFF"/>
        </w:rPr>
        <w:t>.</w:t>
      </w:r>
      <w:bookmarkEnd w:id="25"/>
    </w:p>
    <w:p w14:paraId="0F13CBB3" w14:textId="77777777" w:rsidR="00126889" w:rsidRPr="00CF76CC" w:rsidRDefault="00126889" w:rsidP="00126889">
      <w:pPr>
        <w:pStyle w:val="EndNoteBibliography"/>
        <w:spacing w:line="480" w:lineRule="auto"/>
        <w:ind w:left="480" w:hangingChars="200" w:hanging="480"/>
        <w:rPr>
          <w:color w:val="0000FF"/>
          <w:u w:val="single"/>
          <w:bdr w:val="none" w:sz="0" w:space="0" w:color="auto" w:frame="1"/>
          <w:shd w:val="clear" w:color="auto" w:fill="FFFFFF"/>
        </w:rPr>
      </w:pPr>
      <w:bookmarkStart w:id="26" w:name="_ENREF_17"/>
      <w:r>
        <w:t>23</w:t>
      </w:r>
      <w:r w:rsidRPr="003D797D">
        <w:tab/>
        <w:t>Siebert, C.</w:t>
      </w:r>
      <w:r w:rsidRPr="00CF76CC">
        <w:t xml:space="preserve"> </w:t>
      </w:r>
      <w:r>
        <w:t>et al</w:t>
      </w:r>
      <w:r w:rsidRPr="003D797D">
        <w:t xml:space="preserve">. Molybdenum isotope records as a potential new proxy for </w:t>
      </w:r>
      <w:proofErr w:type="spellStart"/>
      <w:r w:rsidRPr="003D797D">
        <w:t>paleoceanography</w:t>
      </w:r>
      <w:proofErr w:type="spellEnd"/>
      <w:r w:rsidRPr="003D797D">
        <w:t xml:space="preserve">. </w:t>
      </w:r>
      <w:r w:rsidRPr="003D797D">
        <w:rPr>
          <w:i/>
        </w:rPr>
        <w:t>Earth and Planetary Science Letters</w:t>
      </w:r>
      <w:r w:rsidRPr="003D797D">
        <w:t xml:space="preserve"> 211, 159–171 (2003).</w:t>
      </w:r>
      <w:bookmarkEnd w:id="26"/>
      <w:r w:rsidRPr="003D797D">
        <w:rPr>
          <w:szCs w:val="24"/>
        </w:rPr>
        <w:t xml:space="preserve"> </w:t>
      </w:r>
      <w:hyperlink r:id="rId23" w:tgtFrame="_blank" w:tooltip="Persistent link using digital object identifier" w:history="1">
        <w:r w:rsidRPr="00CF76CC">
          <w:rPr>
            <w:color w:val="0000FF"/>
            <w:u w:val="single"/>
            <w:bdr w:val="none" w:sz="0" w:space="0" w:color="auto" w:frame="1"/>
            <w:shd w:val="clear" w:color="auto" w:fill="FFFFFF"/>
          </w:rPr>
          <w:t>doi.org/10.1016/S0012-821</w:t>
        </w:r>
        <w:proofErr w:type="gramStart"/>
        <w:r w:rsidRPr="00CF76CC">
          <w:rPr>
            <w:color w:val="0000FF"/>
            <w:u w:val="single"/>
            <w:bdr w:val="none" w:sz="0" w:space="0" w:color="auto" w:frame="1"/>
            <w:shd w:val="clear" w:color="auto" w:fill="FFFFFF"/>
          </w:rPr>
          <w:t>X(</w:t>
        </w:r>
        <w:proofErr w:type="gramEnd"/>
        <w:r w:rsidRPr="00CF76CC">
          <w:rPr>
            <w:color w:val="0000FF"/>
            <w:u w:val="single"/>
            <w:bdr w:val="none" w:sz="0" w:space="0" w:color="auto" w:frame="1"/>
            <w:shd w:val="clear" w:color="auto" w:fill="FFFFFF"/>
          </w:rPr>
          <w:t>03)00189-4</w:t>
        </w:r>
      </w:hyperlink>
      <w:r w:rsidRPr="00CF76CC">
        <w:rPr>
          <w:color w:val="0000FF"/>
          <w:u w:val="single"/>
          <w:bdr w:val="none" w:sz="0" w:space="0" w:color="auto" w:frame="1"/>
          <w:shd w:val="clear" w:color="auto" w:fill="FFFFFF"/>
        </w:rPr>
        <w:t>.</w:t>
      </w:r>
    </w:p>
    <w:p w14:paraId="057A4595" w14:textId="77777777" w:rsidR="00126889" w:rsidRPr="00CF76CC" w:rsidRDefault="00126889" w:rsidP="00126889">
      <w:pPr>
        <w:pStyle w:val="EndNoteBibliography"/>
        <w:spacing w:line="480" w:lineRule="auto"/>
        <w:ind w:left="480" w:hangingChars="200" w:hanging="480"/>
        <w:rPr>
          <w:color w:val="0000FF"/>
          <w:u w:val="single"/>
          <w:bdr w:val="none" w:sz="0" w:space="0" w:color="auto" w:frame="1"/>
          <w:shd w:val="clear" w:color="auto" w:fill="FFFFFF"/>
        </w:rPr>
      </w:pPr>
      <w:r>
        <w:t>24</w:t>
      </w:r>
      <w:r w:rsidRPr="003D797D">
        <w:tab/>
        <w:t>Barling, J.</w:t>
      </w:r>
      <w:r w:rsidRPr="00CF76CC">
        <w:t xml:space="preserve"> </w:t>
      </w:r>
      <w:r>
        <w:t>et al</w:t>
      </w:r>
      <w:r w:rsidRPr="003D797D">
        <w:t xml:space="preserve">. Natural mass-dependent variations in the isotopic composition of molybdenum. </w:t>
      </w:r>
      <w:r w:rsidRPr="003D797D">
        <w:rPr>
          <w:i/>
        </w:rPr>
        <w:t>Earth and Planetary Science Letters</w:t>
      </w:r>
      <w:r w:rsidRPr="003D797D">
        <w:t xml:space="preserve"> 193, 447–457 (2001). </w:t>
      </w:r>
      <w:hyperlink r:id="rId24" w:tgtFrame="_blank" w:tooltip="Persistent link using digital object identifier" w:history="1">
        <w:r w:rsidRPr="00CF76CC">
          <w:rPr>
            <w:color w:val="0000FF"/>
            <w:u w:val="single"/>
            <w:bdr w:val="none" w:sz="0" w:space="0" w:color="auto" w:frame="1"/>
            <w:shd w:val="clear" w:color="auto" w:fill="FFFFFF"/>
          </w:rPr>
          <w:t>doi.org/10.1016/S0012-821</w:t>
        </w:r>
        <w:proofErr w:type="gramStart"/>
        <w:r w:rsidRPr="00CF76CC">
          <w:rPr>
            <w:color w:val="0000FF"/>
            <w:u w:val="single"/>
            <w:bdr w:val="none" w:sz="0" w:space="0" w:color="auto" w:frame="1"/>
            <w:shd w:val="clear" w:color="auto" w:fill="FFFFFF"/>
          </w:rPr>
          <w:t>X(</w:t>
        </w:r>
        <w:proofErr w:type="gramEnd"/>
        <w:r w:rsidRPr="00CF76CC">
          <w:rPr>
            <w:color w:val="0000FF"/>
            <w:u w:val="single"/>
            <w:bdr w:val="none" w:sz="0" w:space="0" w:color="auto" w:frame="1"/>
            <w:shd w:val="clear" w:color="auto" w:fill="FFFFFF"/>
          </w:rPr>
          <w:t>01)00514-3</w:t>
        </w:r>
      </w:hyperlink>
      <w:r w:rsidRPr="00CF76CC">
        <w:rPr>
          <w:color w:val="0000FF"/>
          <w:u w:val="single"/>
          <w:bdr w:val="none" w:sz="0" w:space="0" w:color="auto" w:frame="1"/>
          <w:shd w:val="clear" w:color="auto" w:fill="FFFFFF"/>
        </w:rPr>
        <w:t>.</w:t>
      </w:r>
    </w:p>
    <w:p w14:paraId="3ECC1768" w14:textId="77777777" w:rsidR="00126889" w:rsidRPr="00CF76CC" w:rsidRDefault="00126889" w:rsidP="00126889">
      <w:pPr>
        <w:pStyle w:val="EndNoteBibliography"/>
        <w:spacing w:line="480" w:lineRule="auto"/>
        <w:ind w:left="480" w:hangingChars="200" w:hanging="480"/>
        <w:rPr>
          <w:color w:val="0000FF"/>
          <w:u w:val="single"/>
          <w:bdr w:val="none" w:sz="0" w:space="0" w:color="auto" w:frame="1"/>
          <w:shd w:val="clear" w:color="auto" w:fill="FFFFFF"/>
        </w:rPr>
      </w:pPr>
      <w:r>
        <w:t>25</w:t>
      </w:r>
      <w:r w:rsidRPr="003D797D">
        <w:tab/>
      </w:r>
      <w:proofErr w:type="spellStart"/>
      <w:r w:rsidRPr="003D797D">
        <w:t>Wasylenki</w:t>
      </w:r>
      <w:proofErr w:type="spellEnd"/>
      <w:r w:rsidRPr="003D797D">
        <w:t>, L. E.</w:t>
      </w:r>
      <w:r w:rsidRPr="00CF76CC">
        <w:t xml:space="preserve"> </w:t>
      </w:r>
      <w:r>
        <w:t>et al.</w:t>
      </w:r>
      <w:r w:rsidRPr="003D797D">
        <w:t xml:space="preserve"> Experimental investigation of the effects of temperature and ionic strength on Mo isotope fractionation during adsorption to manganese oxides. </w:t>
      </w:r>
      <w:proofErr w:type="spellStart"/>
      <w:r w:rsidRPr="003D797D">
        <w:rPr>
          <w:i/>
        </w:rPr>
        <w:t>Geochimica</w:t>
      </w:r>
      <w:proofErr w:type="spellEnd"/>
      <w:r w:rsidRPr="003D797D">
        <w:rPr>
          <w:i/>
        </w:rPr>
        <w:t xml:space="preserve"> Et </w:t>
      </w:r>
      <w:proofErr w:type="spellStart"/>
      <w:r w:rsidRPr="003D797D">
        <w:rPr>
          <w:i/>
        </w:rPr>
        <w:t>Cosmochimica</w:t>
      </w:r>
      <w:proofErr w:type="spellEnd"/>
      <w:r w:rsidRPr="003D797D">
        <w:rPr>
          <w:i/>
        </w:rPr>
        <w:t xml:space="preserve"> Acta</w:t>
      </w:r>
      <w:r w:rsidRPr="003D797D">
        <w:t xml:space="preserve"> 72, 5997–6005 (2008). </w:t>
      </w:r>
      <w:hyperlink r:id="rId25" w:tgtFrame="_blank" w:tooltip="Persistent link using digital object identifier" w:history="1">
        <w:r w:rsidRPr="00CF76CC">
          <w:rPr>
            <w:color w:val="0000FF"/>
            <w:u w:val="single"/>
            <w:bdr w:val="none" w:sz="0" w:space="0" w:color="auto" w:frame="1"/>
            <w:shd w:val="clear" w:color="auto" w:fill="FFFFFF"/>
          </w:rPr>
          <w:t>doi.org/10.1016/j.gca.2008.08.027</w:t>
        </w:r>
      </w:hyperlink>
      <w:r w:rsidRPr="00CF76CC">
        <w:rPr>
          <w:color w:val="0000FF"/>
          <w:u w:val="single"/>
          <w:bdr w:val="none" w:sz="0" w:space="0" w:color="auto" w:frame="1"/>
          <w:shd w:val="clear" w:color="auto" w:fill="FFFFFF"/>
        </w:rPr>
        <w:t>.</w:t>
      </w:r>
    </w:p>
    <w:p w14:paraId="36AAC60D" w14:textId="77777777" w:rsidR="00126889" w:rsidRDefault="00126889" w:rsidP="00126889">
      <w:pPr>
        <w:pStyle w:val="EndNoteBibliography"/>
        <w:spacing w:line="480" w:lineRule="auto"/>
        <w:ind w:left="480" w:hangingChars="200" w:hanging="480"/>
        <w:rPr>
          <w:rStyle w:val="anchor-text"/>
          <w:color w:val="0000FF"/>
          <w:u w:val="single"/>
          <w:bdr w:val="none" w:sz="0" w:space="0" w:color="auto" w:frame="1"/>
          <w:shd w:val="clear" w:color="auto" w:fill="FFFFFF"/>
        </w:rPr>
      </w:pPr>
      <w:r>
        <w:t>26</w:t>
      </w:r>
      <w:r w:rsidRPr="003D797D">
        <w:tab/>
        <w:t>Kashiwabara, T.</w:t>
      </w:r>
      <w:r w:rsidRPr="00CF76CC">
        <w:t xml:space="preserve"> </w:t>
      </w:r>
      <w:r>
        <w:t>et al.</w:t>
      </w:r>
      <w:r w:rsidRPr="003D797D">
        <w:t xml:space="preserve"> A. Molecular-scale mechanisms of distribution and isotopic fractionation of molybdenum between seawater and ferromanganese oxides. </w:t>
      </w:r>
      <w:proofErr w:type="spellStart"/>
      <w:r w:rsidRPr="003D797D">
        <w:rPr>
          <w:i/>
        </w:rPr>
        <w:t>Geochimica</w:t>
      </w:r>
      <w:proofErr w:type="spellEnd"/>
      <w:r w:rsidRPr="003D797D">
        <w:rPr>
          <w:i/>
        </w:rPr>
        <w:t xml:space="preserve"> Et </w:t>
      </w:r>
      <w:proofErr w:type="spellStart"/>
      <w:r w:rsidRPr="003D797D">
        <w:rPr>
          <w:i/>
        </w:rPr>
        <w:t>Cosmochimica</w:t>
      </w:r>
      <w:proofErr w:type="spellEnd"/>
      <w:r w:rsidRPr="003D797D">
        <w:rPr>
          <w:i/>
        </w:rPr>
        <w:t xml:space="preserve"> Acta</w:t>
      </w:r>
      <w:r w:rsidRPr="003D797D">
        <w:t xml:space="preserve"> 75, 5762–5784 (2011). </w:t>
      </w:r>
      <w:hyperlink r:id="rId26" w:tgtFrame="_blank" w:tooltip="Persistent link using digital object identifier" w:history="1">
        <w:r w:rsidRPr="00CF76CC">
          <w:rPr>
            <w:rStyle w:val="anchor-text"/>
            <w:color w:val="0000FF"/>
            <w:szCs w:val="24"/>
            <w:u w:val="single"/>
            <w:bdr w:val="none" w:sz="0" w:space="0" w:color="auto" w:frame="1"/>
            <w:shd w:val="clear" w:color="auto" w:fill="FFFFFF"/>
          </w:rPr>
          <w:t>doi.org/10.1016/j.gca.2011.07.022</w:t>
        </w:r>
      </w:hyperlink>
      <w:r w:rsidRPr="00CF76CC">
        <w:rPr>
          <w:rStyle w:val="anchor-text"/>
          <w:color w:val="0000FF"/>
          <w:u w:val="single"/>
          <w:bdr w:val="none" w:sz="0" w:space="0" w:color="auto" w:frame="1"/>
          <w:shd w:val="clear" w:color="auto" w:fill="FFFFFF"/>
        </w:rPr>
        <w:t>.</w:t>
      </w:r>
    </w:p>
    <w:p w14:paraId="507CAF52" w14:textId="77777777" w:rsidR="00126889" w:rsidRDefault="00126889" w:rsidP="00126889">
      <w:pPr>
        <w:pStyle w:val="EndNoteBibliography"/>
        <w:spacing w:line="480" w:lineRule="auto"/>
        <w:ind w:left="480" w:hangingChars="200" w:hanging="480"/>
      </w:pPr>
      <w:r>
        <w:t>27</w:t>
      </w:r>
      <w:r w:rsidRPr="003D797D">
        <w:tab/>
        <w:t>Kendall, B.</w:t>
      </w:r>
      <w:r w:rsidRPr="00CF76CC">
        <w:rPr>
          <w:iCs/>
        </w:rPr>
        <w:t xml:space="preserve"> </w:t>
      </w:r>
      <w:r w:rsidRPr="003D797D">
        <w:rPr>
          <w:iCs/>
        </w:rPr>
        <w:t>et al</w:t>
      </w:r>
      <w:r w:rsidRPr="003D797D">
        <w:t xml:space="preserve">. </w:t>
      </w:r>
      <w:r w:rsidRPr="003D797D">
        <w:rPr>
          <w:i/>
        </w:rPr>
        <w:t>The stable isotope geochemistry of molybdenum</w:t>
      </w:r>
      <w:r w:rsidRPr="003D797D">
        <w:t>. Vol. 82 (2017).</w:t>
      </w:r>
    </w:p>
    <w:p w14:paraId="5A5ECB62" w14:textId="77777777" w:rsidR="00126889" w:rsidRPr="00CF76CC" w:rsidRDefault="00126889" w:rsidP="00126889">
      <w:pPr>
        <w:pStyle w:val="EndNoteBibliography"/>
        <w:spacing w:line="480" w:lineRule="auto"/>
        <w:ind w:left="480" w:hangingChars="200" w:hanging="480"/>
        <w:rPr>
          <w:rStyle w:val="anchor-text"/>
          <w:color w:val="0000FF"/>
          <w:u w:val="single"/>
          <w:bdr w:val="none" w:sz="0" w:space="0" w:color="auto" w:frame="1"/>
          <w:shd w:val="clear" w:color="auto" w:fill="FFFFFF"/>
        </w:rPr>
      </w:pPr>
      <w:r>
        <w:t>28</w:t>
      </w:r>
      <w:r w:rsidRPr="003D797D">
        <w:tab/>
        <w:t>Miller, C. A.</w:t>
      </w:r>
      <w:r w:rsidRPr="00CF76CC">
        <w:t xml:space="preserve"> </w:t>
      </w:r>
      <w:r>
        <w:t>et al</w:t>
      </w:r>
      <w:r w:rsidRPr="003D797D">
        <w:t xml:space="preserve">. Re-assessing the surface cycling of molybdenum and rhenium. </w:t>
      </w:r>
      <w:proofErr w:type="spellStart"/>
      <w:r w:rsidRPr="003D797D">
        <w:rPr>
          <w:i/>
        </w:rPr>
        <w:t>Geochimica</w:t>
      </w:r>
      <w:proofErr w:type="spellEnd"/>
      <w:r w:rsidRPr="003D797D">
        <w:rPr>
          <w:i/>
        </w:rPr>
        <w:t xml:space="preserve"> et </w:t>
      </w:r>
      <w:proofErr w:type="spellStart"/>
      <w:r w:rsidRPr="003D797D">
        <w:rPr>
          <w:i/>
        </w:rPr>
        <w:t>Cosmochimica</w:t>
      </w:r>
      <w:proofErr w:type="spellEnd"/>
      <w:r w:rsidRPr="003D797D">
        <w:rPr>
          <w:i/>
        </w:rPr>
        <w:t xml:space="preserve"> Acta</w:t>
      </w:r>
      <w:r w:rsidRPr="003D797D">
        <w:t xml:space="preserve"> 75, 7146–7179 (2011). </w:t>
      </w:r>
      <w:hyperlink r:id="rId27" w:tgtFrame="_blank" w:tooltip="Persistent link using digital object identifier" w:history="1">
        <w:r w:rsidRPr="00CF76CC">
          <w:rPr>
            <w:rStyle w:val="anchor-text"/>
            <w:color w:val="0000FF"/>
            <w:szCs w:val="24"/>
            <w:u w:val="single"/>
            <w:bdr w:val="none" w:sz="0" w:space="0" w:color="auto" w:frame="1"/>
            <w:shd w:val="clear" w:color="auto" w:fill="FFFFFF"/>
          </w:rPr>
          <w:t>doi.org/10.1016/j.gca.2011.09.005</w:t>
        </w:r>
      </w:hyperlink>
      <w:r w:rsidRPr="00CF76CC">
        <w:rPr>
          <w:rStyle w:val="anchor-text"/>
          <w:color w:val="0000FF"/>
          <w:u w:val="single"/>
          <w:bdr w:val="none" w:sz="0" w:space="0" w:color="auto" w:frame="1"/>
          <w:shd w:val="clear" w:color="auto" w:fill="FFFFFF"/>
        </w:rPr>
        <w:t>.</w:t>
      </w:r>
    </w:p>
    <w:p w14:paraId="01AD4C57" w14:textId="77777777" w:rsidR="00126889" w:rsidRDefault="00126889" w:rsidP="00126889">
      <w:pPr>
        <w:pStyle w:val="EndNoteBibliography"/>
        <w:spacing w:line="480" w:lineRule="auto"/>
        <w:ind w:left="480" w:hangingChars="200" w:hanging="480"/>
        <w:rPr>
          <w:rStyle w:val="anchor-text"/>
          <w:color w:val="2E2E2E"/>
          <w:szCs w:val="24"/>
        </w:rPr>
      </w:pPr>
      <w:proofErr w:type="gramStart"/>
      <w:r>
        <w:lastRenderedPageBreak/>
        <w:t>29</w:t>
      </w:r>
      <w:r w:rsidRPr="003D797D">
        <w:t xml:space="preserve">  Neely</w:t>
      </w:r>
      <w:proofErr w:type="gramEnd"/>
      <w:r w:rsidRPr="003D797D">
        <w:t xml:space="preserve">, R. A. et al. Molybdenum isotope behaviour in groundwaters and terrestrial hydrothermal systems, Iceland. </w:t>
      </w:r>
      <w:r w:rsidRPr="003D797D">
        <w:rPr>
          <w:i/>
        </w:rPr>
        <w:t>Earth and Planetary Science Letters</w:t>
      </w:r>
      <w:r w:rsidRPr="003D797D">
        <w:t xml:space="preserve"> 486, 108–118 (2001). </w:t>
      </w:r>
      <w:hyperlink r:id="rId28" w:tgtFrame="_blank" w:tooltip="Persistent link using digital object identifier" w:history="1">
        <w:r w:rsidRPr="00CF76CC">
          <w:rPr>
            <w:rStyle w:val="anchor-text"/>
            <w:color w:val="0000FF"/>
            <w:szCs w:val="24"/>
            <w:u w:val="single"/>
            <w:bdr w:val="none" w:sz="0" w:space="0" w:color="auto" w:frame="1"/>
            <w:shd w:val="clear" w:color="auto" w:fill="FFFFFF"/>
          </w:rPr>
          <w:t>doi.org/10.1016/j.epsl.2017.11.053</w:t>
        </w:r>
      </w:hyperlink>
    </w:p>
    <w:p w14:paraId="705661FF" w14:textId="77777777" w:rsidR="00126889" w:rsidRDefault="00126889" w:rsidP="00126889">
      <w:pPr>
        <w:pStyle w:val="EndNoteBibliography"/>
        <w:spacing w:line="480" w:lineRule="auto"/>
        <w:ind w:left="480" w:hangingChars="200" w:hanging="480"/>
      </w:pPr>
      <w:r>
        <w:t>30</w:t>
      </w:r>
      <w:r>
        <w:tab/>
        <w:t xml:space="preserve">Norrish, </w:t>
      </w:r>
      <w:proofErr w:type="gramStart"/>
      <w:r>
        <w:t>K.</w:t>
      </w:r>
      <w:proofErr w:type="gramEnd"/>
      <w:r>
        <w:t xml:space="preserve"> and Hutton, J.T. An accurate X-ray spectrographic method for the analysis of a wide range of geological samples. </w:t>
      </w:r>
      <w:proofErr w:type="spellStart"/>
      <w:r>
        <w:t>Geochimica</w:t>
      </w:r>
      <w:proofErr w:type="spellEnd"/>
      <w:r>
        <w:t xml:space="preserve"> et </w:t>
      </w:r>
      <w:proofErr w:type="spellStart"/>
      <w:r>
        <w:t>Cosmochimica</w:t>
      </w:r>
      <w:proofErr w:type="spellEnd"/>
      <w:r>
        <w:t xml:space="preserve"> Acta 33, 431–453 (1969). </w:t>
      </w:r>
      <w:r w:rsidRPr="00AC2B50">
        <w:rPr>
          <w:color w:val="0000FF"/>
          <w:u w:val="single"/>
          <w:bdr w:val="none" w:sz="0" w:space="0" w:color="auto" w:frame="1"/>
          <w:shd w:val="clear" w:color="auto" w:fill="FFFFFF"/>
        </w:rPr>
        <w:t>doi:10.1016/0016-7037(69)90126-4</w:t>
      </w:r>
    </w:p>
    <w:p w14:paraId="3CFA5CEA" w14:textId="77777777" w:rsidR="00126889" w:rsidRPr="001D419D" w:rsidRDefault="00126889" w:rsidP="00126889">
      <w:pPr>
        <w:spacing w:line="480" w:lineRule="auto"/>
        <w:ind w:left="420" w:firstLineChars="0" w:hanging="420"/>
        <w:rPr>
          <w:rFonts w:eastAsia="Times New Roman" w:cs="Times New Roman"/>
          <w:color w:val="000000"/>
        </w:rPr>
      </w:pPr>
      <w:r>
        <w:rPr>
          <w:rStyle w:val="anchor-text"/>
          <w:color w:val="2E2E2E"/>
          <w:szCs w:val="24"/>
        </w:rPr>
        <w:t xml:space="preserve">31 </w:t>
      </w:r>
      <w:r>
        <w:rPr>
          <w:rStyle w:val="anchor-text"/>
          <w:color w:val="2E2E2E"/>
          <w:szCs w:val="24"/>
        </w:rPr>
        <w:tab/>
      </w:r>
      <w:r w:rsidRPr="001D419D">
        <w:rPr>
          <w:rFonts w:eastAsia="Times New Roman" w:cs="Times New Roman"/>
          <w:color w:val="000000"/>
        </w:rPr>
        <w:t xml:space="preserve">Dickson, A. J. et al. Continental margin molybdenum isotope signatures from the Early Eocene. </w:t>
      </w:r>
      <w:r w:rsidRPr="001D419D">
        <w:rPr>
          <w:rFonts w:eastAsia="Times New Roman" w:cs="Times New Roman"/>
          <w:i/>
          <w:color w:val="000000"/>
        </w:rPr>
        <w:t>Earth and Planetary Science Letters</w:t>
      </w:r>
      <w:r w:rsidRPr="001D419D">
        <w:rPr>
          <w:rFonts w:eastAsia="Times New Roman" w:cs="Times New Roman"/>
          <w:color w:val="000000"/>
        </w:rPr>
        <w:t xml:space="preserve"> 404, 389–395 (2014). </w:t>
      </w:r>
      <w:hyperlink r:id="rId29" w:history="1">
        <w:r w:rsidRPr="001D419D">
          <w:rPr>
            <w:rStyle w:val="aa"/>
            <w:rFonts w:eastAsia="Times New Roman" w:cs="Times New Roman"/>
          </w:rPr>
          <w:t>10.1016/j.epsl.2014.08.004</w:t>
        </w:r>
      </w:hyperlink>
      <w:r w:rsidRPr="001D419D">
        <w:rPr>
          <w:rFonts w:eastAsia="Times New Roman" w:cs="Times New Roman"/>
          <w:color w:val="000000"/>
        </w:rPr>
        <w:t>.</w:t>
      </w:r>
    </w:p>
    <w:p w14:paraId="6BCB4F5A" w14:textId="77777777" w:rsidR="00126889" w:rsidRPr="001D419D" w:rsidRDefault="00126889" w:rsidP="00126889">
      <w:pPr>
        <w:spacing w:line="480" w:lineRule="auto"/>
        <w:ind w:left="420" w:firstLineChars="0" w:hanging="420"/>
        <w:rPr>
          <w:rFonts w:eastAsia="Times New Roman" w:cs="Times New Roman"/>
          <w:color w:val="000000"/>
        </w:rPr>
      </w:pPr>
      <w:r>
        <w:rPr>
          <w:rFonts w:eastAsia="Times New Roman" w:cs="Times New Roman"/>
          <w:color w:val="000000"/>
        </w:rPr>
        <w:t>32</w:t>
      </w:r>
      <w:r w:rsidRPr="001D419D">
        <w:rPr>
          <w:rFonts w:eastAsia="Times New Roman" w:cs="Times New Roman"/>
          <w:color w:val="000000"/>
        </w:rPr>
        <w:tab/>
        <w:t xml:space="preserve">Garcia, H. E. &amp; Gordon, L. I. Oxygen solubility in seawater: </w:t>
      </w:r>
      <w:proofErr w:type="gramStart"/>
      <w:r w:rsidRPr="001D419D">
        <w:rPr>
          <w:rFonts w:eastAsia="Times New Roman" w:cs="Times New Roman"/>
          <w:color w:val="000000"/>
        </w:rPr>
        <w:t>Better</w:t>
      </w:r>
      <w:proofErr w:type="gramEnd"/>
      <w:r w:rsidRPr="001D419D">
        <w:rPr>
          <w:rFonts w:eastAsia="Times New Roman" w:cs="Times New Roman"/>
          <w:color w:val="000000"/>
        </w:rPr>
        <w:t xml:space="preserve"> fitting equations. </w:t>
      </w:r>
      <w:r w:rsidRPr="001D419D">
        <w:rPr>
          <w:rFonts w:eastAsia="Times New Roman" w:cs="Times New Roman"/>
          <w:i/>
          <w:color w:val="000000"/>
        </w:rPr>
        <w:t>Limnology and Oceanography</w:t>
      </w:r>
      <w:r w:rsidRPr="001D419D">
        <w:rPr>
          <w:rFonts w:eastAsia="Times New Roman" w:cs="Times New Roman"/>
          <w:color w:val="000000"/>
        </w:rPr>
        <w:t xml:space="preserve"> 37, 1307–1312 (1992). </w:t>
      </w:r>
      <w:hyperlink r:id="rId30" w:history="1">
        <w:r w:rsidRPr="001D419D">
          <w:rPr>
            <w:rStyle w:val="aa"/>
            <w:rFonts w:eastAsia="Times New Roman" w:cs="Times New Roman"/>
          </w:rPr>
          <w:t>10.4319/lo.1992.37.6.1307</w:t>
        </w:r>
      </w:hyperlink>
      <w:r w:rsidRPr="001D419D">
        <w:rPr>
          <w:rFonts w:eastAsia="Times New Roman" w:cs="Times New Roman"/>
          <w:color w:val="000000"/>
        </w:rPr>
        <w:t>.</w:t>
      </w:r>
    </w:p>
    <w:p w14:paraId="1EAB1AB2" w14:textId="7F185C34" w:rsidR="00CC10B6" w:rsidRPr="00126889" w:rsidRDefault="00126889" w:rsidP="00126889">
      <w:pPr>
        <w:spacing w:line="480" w:lineRule="auto"/>
        <w:ind w:left="420" w:firstLineChars="0" w:hanging="420"/>
        <w:rPr>
          <w:rFonts w:eastAsiaTheme="minorEastAsia" w:cs="Times New Roman"/>
          <w:color w:val="000000"/>
        </w:rPr>
      </w:pPr>
      <w:r>
        <w:rPr>
          <w:rFonts w:eastAsia="Times New Roman" w:cs="Times New Roman"/>
          <w:color w:val="000000"/>
        </w:rPr>
        <w:t>33</w:t>
      </w:r>
      <w:r w:rsidRPr="001D419D">
        <w:rPr>
          <w:rFonts w:eastAsia="Times New Roman" w:cs="Times New Roman"/>
          <w:color w:val="000000"/>
        </w:rPr>
        <w:tab/>
        <w:t xml:space="preserve">Uramoto, G. I. et al. Significant contribution of subseafloor microparticles to the global manganese budget. </w:t>
      </w:r>
      <w:r w:rsidRPr="001D419D">
        <w:rPr>
          <w:rFonts w:eastAsia="Times New Roman" w:cs="Times New Roman"/>
          <w:i/>
          <w:color w:val="000000"/>
        </w:rPr>
        <w:t>Nature Communications</w:t>
      </w:r>
      <w:r w:rsidRPr="001D419D">
        <w:rPr>
          <w:rFonts w:eastAsia="Times New Roman" w:cs="Times New Roman"/>
          <w:color w:val="000000"/>
        </w:rPr>
        <w:t xml:space="preserve"> 10, 400 (2019). </w:t>
      </w:r>
      <w:hyperlink r:id="rId31" w:history="1">
        <w:r w:rsidRPr="00324386">
          <w:rPr>
            <w:rStyle w:val="aa"/>
            <w:rFonts w:eastAsia="Times New Roman" w:cs="Times New Roman"/>
          </w:rPr>
          <w:t>10.1038/s41467-019-08347-2</w:t>
        </w:r>
      </w:hyperlink>
      <w:r w:rsidRPr="001D419D">
        <w:rPr>
          <w:rFonts w:eastAsia="Times New Roman" w:cs="Times New Roman"/>
          <w:color w:val="000000"/>
        </w:rPr>
        <w:t>, Pubmed:</w:t>
      </w:r>
      <w:hyperlink r:id="rId32" w:history="1">
        <w:r w:rsidRPr="001D419D">
          <w:rPr>
            <w:rStyle w:val="aa"/>
            <w:rFonts w:eastAsia="Times New Roman" w:cs="Times New Roman"/>
          </w:rPr>
          <w:t>30728355</w:t>
        </w:r>
      </w:hyperlink>
      <w:r w:rsidRPr="001D419D">
        <w:rPr>
          <w:rFonts w:eastAsia="Times New Roman" w:cs="Times New Roman"/>
          <w:color w:val="000000"/>
        </w:rPr>
        <w:t>.</w:t>
      </w:r>
    </w:p>
    <w:sectPr w:rsidR="00CC10B6" w:rsidRPr="00126889" w:rsidSect="007406F9">
      <w:headerReference w:type="even" r:id="rId33"/>
      <w:headerReference w:type="default" r:id="rId34"/>
      <w:footerReference w:type="even" r:id="rId35"/>
      <w:footerReference w:type="default" r:id="rId36"/>
      <w:headerReference w:type="first" r:id="rId37"/>
      <w:footerReference w:type="first" r:id="rId38"/>
      <w:pgSz w:w="11906" w:h="16838"/>
      <w:pgMar w:top="1440" w:right="1800" w:bottom="1440" w:left="1800"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28558" w14:textId="77777777" w:rsidR="00ED4327" w:rsidRDefault="00ED4327" w:rsidP="00E16C39">
      <w:pPr>
        <w:ind w:firstLine="480"/>
      </w:pPr>
      <w:r>
        <w:separator/>
      </w:r>
    </w:p>
  </w:endnote>
  <w:endnote w:type="continuationSeparator" w:id="0">
    <w:p w14:paraId="58320217" w14:textId="77777777" w:rsidR="00ED4327" w:rsidRDefault="00ED4327" w:rsidP="00E16C39">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dvEPSTIM">
    <w:altName w:val="等线"/>
    <w:panose1 w:val="00000000000000000000"/>
    <w:charset w:val="86"/>
    <w:family w:val="auto"/>
    <w:notTrueType/>
    <w:pitch w:val="default"/>
    <w:sig w:usb0="00000001" w:usb1="080F0000" w:usb2="00000010" w:usb3="00000000" w:csb0="00060000"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490E2" w14:textId="77777777" w:rsidR="00CC2B60" w:rsidRDefault="00CC2B60">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5497D" w14:textId="77777777" w:rsidR="00CC2B60" w:rsidRDefault="00CC2B60">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E7429" w14:textId="77777777" w:rsidR="00CC2B60" w:rsidRDefault="00CC2B60">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C99FE" w14:textId="77777777" w:rsidR="00ED4327" w:rsidRDefault="00ED4327" w:rsidP="00E16C39">
      <w:pPr>
        <w:ind w:firstLine="480"/>
      </w:pPr>
      <w:r>
        <w:separator/>
      </w:r>
    </w:p>
  </w:footnote>
  <w:footnote w:type="continuationSeparator" w:id="0">
    <w:p w14:paraId="41AAF63E" w14:textId="77777777" w:rsidR="00ED4327" w:rsidRDefault="00ED4327" w:rsidP="00E16C39">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55E32" w14:textId="77777777" w:rsidR="00CC2B60" w:rsidRDefault="00CC2B60">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B2F09" w14:textId="77777777" w:rsidR="00CC2B60" w:rsidRDefault="00CC2B60">
    <w:pPr>
      <w:pStyle w:val="a3"/>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AB361" w14:textId="77777777" w:rsidR="00CC2B60" w:rsidRDefault="00CC2B60">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610D8B"/>
    <w:multiLevelType w:val="multilevel"/>
    <w:tmpl w:val="3C610D8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485322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trackRevisions/>
  <w:defaultTabStop w:val="4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71B"/>
    <w:rsid w:val="00055887"/>
    <w:rsid w:val="0007737D"/>
    <w:rsid w:val="00090AC8"/>
    <w:rsid w:val="00100C99"/>
    <w:rsid w:val="00126889"/>
    <w:rsid w:val="001C6997"/>
    <w:rsid w:val="001D419D"/>
    <w:rsid w:val="00262C36"/>
    <w:rsid w:val="002646FA"/>
    <w:rsid w:val="002712A1"/>
    <w:rsid w:val="00281D1A"/>
    <w:rsid w:val="00284B27"/>
    <w:rsid w:val="002A0541"/>
    <w:rsid w:val="002A7729"/>
    <w:rsid w:val="002C2B82"/>
    <w:rsid w:val="002E719C"/>
    <w:rsid w:val="002E771B"/>
    <w:rsid w:val="00324386"/>
    <w:rsid w:val="00381830"/>
    <w:rsid w:val="003900ED"/>
    <w:rsid w:val="003952B5"/>
    <w:rsid w:val="003A5E39"/>
    <w:rsid w:val="003D3366"/>
    <w:rsid w:val="003D797D"/>
    <w:rsid w:val="00400EB6"/>
    <w:rsid w:val="00463947"/>
    <w:rsid w:val="004878E2"/>
    <w:rsid w:val="004917F1"/>
    <w:rsid w:val="004B77FD"/>
    <w:rsid w:val="004F1637"/>
    <w:rsid w:val="00522D60"/>
    <w:rsid w:val="0053166C"/>
    <w:rsid w:val="005C46C9"/>
    <w:rsid w:val="005F2CD5"/>
    <w:rsid w:val="00636346"/>
    <w:rsid w:val="00665E54"/>
    <w:rsid w:val="0068260B"/>
    <w:rsid w:val="006B1ADE"/>
    <w:rsid w:val="00725176"/>
    <w:rsid w:val="00727A5C"/>
    <w:rsid w:val="00732921"/>
    <w:rsid w:val="007406F9"/>
    <w:rsid w:val="00767BF7"/>
    <w:rsid w:val="007806D2"/>
    <w:rsid w:val="00824AB1"/>
    <w:rsid w:val="0083410F"/>
    <w:rsid w:val="008522F0"/>
    <w:rsid w:val="0086762B"/>
    <w:rsid w:val="008970A3"/>
    <w:rsid w:val="008C19B6"/>
    <w:rsid w:val="008E0417"/>
    <w:rsid w:val="008F0753"/>
    <w:rsid w:val="00936FAA"/>
    <w:rsid w:val="00983A0C"/>
    <w:rsid w:val="00A16F7E"/>
    <w:rsid w:val="00A73299"/>
    <w:rsid w:val="00A900A9"/>
    <w:rsid w:val="00AC2B50"/>
    <w:rsid w:val="00AD060F"/>
    <w:rsid w:val="00B11779"/>
    <w:rsid w:val="00B2614B"/>
    <w:rsid w:val="00B32FB6"/>
    <w:rsid w:val="00B60787"/>
    <w:rsid w:val="00BC2B21"/>
    <w:rsid w:val="00C61F19"/>
    <w:rsid w:val="00CC10B6"/>
    <w:rsid w:val="00CC2B60"/>
    <w:rsid w:val="00CC2FFA"/>
    <w:rsid w:val="00CF76CC"/>
    <w:rsid w:val="00D015B2"/>
    <w:rsid w:val="00D11437"/>
    <w:rsid w:val="00D124C1"/>
    <w:rsid w:val="00D62EBB"/>
    <w:rsid w:val="00D644B8"/>
    <w:rsid w:val="00D77EB0"/>
    <w:rsid w:val="00D85F06"/>
    <w:rsid w:val="00E02FC9"/>
    <w:rsid w:val="00E16C39"/>
    <w:rsid w:val="00E577E0"/>
    <w:rsid w:val="00EC12A1"/>
    <w:rsid w:val="00ED4327"/>
    <w:rsid w:val="00EE1915"/>
    <w:rsid w:val="00F4133B"/>
    <w:rsid w:val="00F54C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F18C2"/>
  <w15:docId w15:val="{CFB84A4C-0A7A-42AC-84BF-A8512D949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6C39"/>
    <w:pPr>
      <w:widowControl w:val="0"/>
      <w:ind w:firstLineChars="200" w:firstLine="200"/>
      <w:jc w:val="both"/>
    </w:pPr>
    <w:rPr>
      <w:rFonts w:ascii="Times New Roman" w:eastAsia="宋体" w:hAnsi="Times New Roman"/>
      <w:sz w:val="24"/>
      <w:lang w:val="en-GB"/>
    </w:rPr>
  </w:style>
  <w:style w:type="paragraph" w:styleId="1">
    <w:name w:val="heading 1"/>
    <w:basedOn w:val="a"/>
    <w:next w:val="a"/>
    <w:link w:val="10"/>
    <w:uiPriority w:val="9"/>
    <w:qFormat/>
    <w:rsid w:val="00522D60"/>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E16C39"/>
    <w:pPr>
      <w:keepNext/>
      <w:keepLines/>
      <w:spacing w:before="120" w:after="120" w:line="360" w:lineRule="auto"/>
      <w:ind w:firstLineChars="0" w:firstLine="0"/>
      <w:outlineLvl w:val="1"/>
    </w:pPr>
    <w:rPr>
      <w:rFonts w:cstheme="majorBidi"/>
      <w:b/>
      <w:bCs/>
      <w:sz w:val="28"/>
      <w:szCs w:val="32"/>
    </w:rPr>
  </w:style>
  <w:style w:type="paragraph" w:styleId="3">
    <w:name w:val="heading 3"/>
    <w:basedOn w:val="a"/>
    <w:next w:val="a"/>
    <w:link w:val="30"/>
    <w:uiPriority w:val="9"/>
    <w:unhideWhenUsed/>
    <w:qFormat/>
    <w:rsid w:val="002E719C"/>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6C39"/>
    <w:pPr>
      <w:tabs>
        <w:tab w:val="center" w:pos="4153"/>
        <w:tab w:val="right" w:pos="8306"/>
      </w:tabs>
      <w:snapToGrid w:val="0"/>
      <w:jc w:val="center"/>
    </w:pPr>
    <w:rPr>
      <w:sz w:val="18"/>
      <w:szCs w:val="18"/>
    </w:rPr>
  </w:style>
  <w:style w:type="character" w:customStyle="1" w:styleId="a4">
    <w:name w:val="页眉 字符"/>
    <w:basedOn w:val="a0"/>
    <w:link w:val="a3"/>
    <w:uiPriority w:val="99"/>
    <w:rsid w:val="00E16C39"/>
    <w:rPr>
      <w:sz w:val="18"/>
      <w:szCs w:val="18"/>
    </w:rPr>
  </w:style>
  <w:style w:type="paragraph" w:styleId="a5">
    <w:name w:val="footer"/>
    <w:basedOn w:val="a"/>
    <w:link w:val="a6"/>
    <w:uiPriority w:val="99"/>
    <w:unhideWhenUsed/>
    <w:rsid w:val="00E16C39"/>
    <w:pPr>
      <w:tabs>
        <w:tab w:val="center" w:pos="4153"/>
        <w:tab w:val="right" w:pos="8306"/>
      </w:tabs>
      <w:snapToGrid w:val="0"/>
      <w:jc w:val="left"/>
    </w:pPr>
    <w:rPr>
      <w:sz w:val="18"/>
      <w:szCs w:val="18"/>
    </w:rPr>
  </w:style>
  <w:style w:type="character" w:customStyle="1" w:styleId="a6">
    <w:name w:val="页脚 字符"/>
    <w:basedOn w:val="a0"/>
    <w:link w:val="a5"/>
    <w:uiPriority w:val="99"/>
    <w:rsid w:val="00E16C39"/>
    <w:rPr>
      <w:sz w:val="18"/>
      <w:szCs w:val="18"/>
    </w:rPr>
  </w:style>
  <w:style w:type="character" w:customStyle="1" w:styleId="20">
    <w:name w:val="标题 2 字符"/>
    <w:basedOn w:val="a0"/>
    <w:link w:val="2"/>
    <w:uiPriority w:val="9"/>
    <w:qFormat/>
    <w:rsid w:val="00E16C39"/>
    <w:rPr>
      <w:rFonts w:ascii="Times New Roman" w:eastAsia="宋体" w:hAnsi="Times New Roman" w:cstheme="majorBidi"/>
      <w:b/>
      <w:bCs/>
      <w:sz w:val="28"/>
      <w:szCs w:val="32"/>
      <w:lang w:val="en-GB"/>
    </w:rPr>
  </w:style>
  <w:style w:type="paragraph" w:styleId="a7">
    <w:name w:val="annotation text"/>
    <w:basedOn w:val="a"/>
    <w:link w:val="a8"/>
    <w:uiPriority w:val="99"/>
    <w:unhideWhenUsed/>
    <w:rsid w:val="00E16C39"/>
    <w:pPr>
      <w:jc w:val="left"/>
    </w:pPr>
  </w:style>
  <w:style w:type="character" w:customStyle="1" w:styleId="a8">
    <w:name w:val="批注文字 字符"/>
    <w:basedOn w:val="a0"/>
    <w:link w:val="a7"/>
    <w:uiPriority w:val="99"/>
    <w:rsid w:val="00E16C39"/>
    <w:rPr>
      <w:rFonts w:ascii="Times New Roman" w:eastAsia="宋体" w:hAnsi="Times New Roman"/>
      <w:sz w:val="24"/>
      <w:lang w:val="en-GB"/>
    </w:rPr>
  </w:style>
  <w:style w:type="character" w:styleId="a9">
    <w:name w:val="annotation reference"/>
    <w:basedOn w:val="a0"/>
    <w:uiPriority w:val="99"/>
    <w:semiHidden/>
    <w:unhideWhenUsed/>
    <w:rsid w:val="00E16C39"/>
    <w:rPr>
      <w:sz w:val="21"/>
      <w:szCs w:val="21"/>
    </w:rPr>
  </w:style>
  <w:style w:type="character" w:customStyle="1" w:styleId="30">
    <w:name w:val="标题 3 字符"/>
    <w:basedOn w:val="a0"/>
    <w:link w:val="3"/>
    <w:uiPriority w:val="9"/>
    <w:rsid w:val="002E719C"/>
    <w:rPr>
      <w:rFonts w:ascii="Times New Roman" w:eastAsia="宋体" w:hAnsi="Times New Roman"/>
      <w:b/>
      <w:bCs/>
      <w:sz w:val="32"/>
      <w:szCs w:val="32"/>
      <w:lang w:val="en-GB"/>
    </w:rPr>
  </w:style>
  <w:style w:type="character" w:customStyle="1" w:styleId="10">
    <w:name w:val="标题 1 字符"/>
    <w:basedOn w:val="a0"/>
    <w:link w:val="1"/>
    <w:uiPriority w:val="9"/>
    <w:rsid w:val="00522D60"/>
    <w:rPr>
      <w:rFonts w:ascii="Times New Roman" w:eastAsia="宋体" w:hAnsi="Times New Roman"/>
      <w:b/>
      <w:bCs/>
      <w:kern w:val="44"/>
      <w:sz w:val="44"/>
      <w:szCs w:val="44"/>
      <w:lang w:val="en-GB"/>
    </w:rPr>
  </w:style>
  <w:style w:type="paragraph" w:customStyle="1" w:styleId="EndNoteBibliography">
    <w:name w:val="EndNote Bibliography"/>
    <w:basedOn w:val="a"/>
    <w:link w:val="EndNoteBibliography0"/>
    <w:qFormat/>
    <w:rsid w:val="007406F9"/>
    <w:rPr>
      <w:rFonts w:cs="Times New Roman"/>
    </w:rPr>
  </w:style>
  <w:style w:type="character" w:customStyle="1" w:styleId="EndNoteBibliography0">
    <w:name w:val="EndNote Bibliography 字符"/>
    <w:basedOn w:val="a0"/>
    <w:link w:val="EndNoteBibliography"/>
    <w:rsid w:val="007406F9"/>
    <w:rPr>
      <w:rFonts w:ascii="Times New Roman" w:eastAsia="宋体" w:hAnsi="Times New Roman" w:cs="Times New Roman"/>
      <w:sz w:val="24"/>
      <w:lang w:val="en-GB"/>
    </w:rPr>
  </w:style>
  <w:style w:type="character" w:customStyle="1" w:styleId="anchor-text">
    <w:name w:val="anchor-text"/>
    <w:basedOn w:val="a0"/>
    <w:rsid w:val="007406F9"/>
  </w:style>
  <w:style w:type="character" w:styleId="aa">
    <w:name w:val="Hyperlink"/>
    <w:basedOn w:val="a0"/>
    <w:rsid w:val="007406F9"/>
    <w:rPr>
      <w:color w:val="0000FF"/>
      <w:u w:val="single"/>
    </w:rPr>
  </w:style>
  <w:style w:type="character" w:styleId="ab">
    <w:name w:val="line number"/>
    <w:basedOn w:val="a0"/>
    <w:uiPriority w:val="99"/>
    <w:semiHidden/>
    <w:unhideWhenUsed/>
    <w:rsid w:val="007406F9"/>
  </w:style>
  <w:style w:type="paragraph" w:styleId="ac">
    <w:name w:val="Revision"/>
    <w:hidden/>
    <w:uiPriority w:val="99"/>
    <w:semiHidden/>
    <w:rsid w:val="00090AC8"/>
    <w:rPr>
      <w:rFonts w:ascii="Times New Roman" w:eastAsia="宋体" w:hAnsi="Times New Roman"/>
      <w:sz w:val="24"/>
      <w:lang w:val="en-GB"/>
    </w:rPr>
  </w:style>
  <w:style w:type="paragraph" w:styleId="ad">
    <w:name w:val="annotation subject"/>
    <w:basedOn w:val="a7"/>
    <w:next w:val="a7"/>
    <w:link w:val="ae"/>
    <w:uiPriority w:val="99"/>
    <w:semiHidden/>
    <w:unhideWhenUsed/>
    <w:rsid w:val="00090AC8"/>
    <w:pPr>
      <w:jc w:val="both"/>
    </w:pPr>
    <w:rPr>
      <w:b/>
      <w:bCs/>
      <w:sz w:val="20"/>
      <w:szCs w:val="20"/>
    </w:rPr>
  </w:style>
  <w:style w:type="character" w:customStyle="1" w:styleId="ae">
    <w:name w:val="批注主题 字符"/>
    <w:basedOn w:val="a8"/>
    <w:link w:val="ad"/>
    <w:uiPriority w:val="99"/>
    <w:semiHidden/>
    <w:rsid w:val="00090AC8"/>
    <w:rPr>
      <w:rFonts w:ascii="Times New Roman" w:eastAsia="宋体" w:hAnsi="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doi.org/10.1016/j.margeo.2023.107028" TargetMode="External"/><Relationship Id="rId26" Type="http://schemas.openxmlformats.org/officeDocument/2006/relationships/hyperlink" Target="https://doi.org/10.1016/j.gca.2011.07.022" TargetMode="External"/><Relationship Id="rId39" Type="http://schemas.openxmlformats.org/officeDocument/2006/relationships/fontTable" Target="fontTable.xml"/><Relationship Id="rId21" Type="http://schemas.openxmlformats.org/officeDocument/2006/relationships/hyperlink" Target="https://doi.org/10.1016/j.gca.2009.08.004"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doi.org/10.1016/j.epsl.2008.06.028" TargetMode="External"/><Relationship Id="rId25" Type="http://schemas.openxmlformats.org/officeDocument/2006/relationships/hyperlink" Target="https://doi.org/10.1016/j.gca.2008.08.027"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oi.org/10.1016/j.gexplo.2005.08.052" TargetMode="External"/><Relationship Id="rId20" Type="http://schemas.openxmlformats.org/officeDocument/2006/relationships/hyperlink" Target="https://doi.org/10.1016/S0012-821X(03)00608-3" TargetMode="External"/><Relationship Id="rId29" Type="http://schemas.openxmlformats.org/officeDocument/2006/relationships/hyperlink" Target="https://doi.org/10.1016/j.epsl.2014.08.0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doi.org/10.1016/S0012-821X(01)00514-3" TargetMode="External"/><Relationship Id="rId32" Type="http://schemas.openxmlformats.org/officeDocument/2006/relationships/hyperlink" Target="https://www.ncbi.nlm.nih.gov/pubmed/30728355"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doi.org/10.1016/S0012-821X(03)00189-4" TargetMode="External"/><Relationship Id="rId28" Type="http://schemas.openxmlformats.org/officeDocument/2006/relationships/hyperlink" Target="https://doi.org/10.1016/j.epsl.2017.11.053" TargetMode="External"/><Relationship Id="rId36"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hyperlink" Target="http://dx.doi.org/10.2343/geochemj.1.0060" TargetMode="External"/><Relationship Id="rId31" Type="http://schemas.openxmlformats.org/officeDocument/2006/relationships/hyperlink" Target="https://doi.org/10.1038/s41467-019-08347-2"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doi.org/10.1016/S0016-7037(97)00231-7" TargetMode="External"/><Relationship Id="rId27" Type="http://schemas.openxmlformats.org/officeDocument/2006/relationships/hyperlink" Target="https://doi.org/10.1016/j.gca.2011.09.005" TargetMode="External"/><Relationship Id="rId30" Type="http://schemas.openxmlformats.org/officeDocument/2006/relationships/hyperlink" Target="https://doi.org/10.4319/lo.1992.37.6.1307" TargetMode="External"/><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C5795-1F61-4001-9CF8-53388F9D0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25</Pages>
  <Words>4516</Words>
  <Characters>25747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尹 露</dc:creator>
  <cp:lastModifiedBy>尹 露</cp:lastModifiedBy>
  <cp:revision>9</cp:revision>
  <dcterms:created xsi:type="dcterms:W3CDTF">2023-08-12T08:55:00Z</dcterms:created>
  <dcterms:modified xsi:type="dcterms:W3CDTF">2023-08-14T16:00:00Z</dcterms:modified>
</cp:coreProperties>
</file>