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93D63B1" w14:paraId="7E79BE04" wp14:textId="261ABA25">
      <w:pPr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eastAsia="ja-JP"/>
        </w:rPr>
      </w:pPr>
      <w:r w:rsidRPr="493D63B1" w:rsidR="09600252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US" w:eastAsia="ja-JP"/>
        </w:rPr>
        <w:t>Supplemental Table 2. Upregulated genes as analyzed using an alignment-based method</w:t>
      </w:r>
      <w:r w:rsidRPr="493D63B1" w:rsidR="0960025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eastAsia="ja-JP"/>
        </w:rPr>
        <w:t>.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6615"/>
        <w:gridCol w:w="735"/>
        <w:gridCol w:w="1035"/>
      </w:tblGrid>
      <w:tr w:rsidR="493D63B1" w:rsidTr="493D63B1" w14:paraId="5C95ADCF">
        <w:trPr>
          <w:trHeight w:val="315"/>
        </w:trPr>
        <w:tc>
          <w:tcPr>
            <w:tcW w:w="6615" w:type="dxa"/>
            <w:tcBorders>
              <w:top w:val="nil"/>
              <w:left w:val="nil"/>
              <w:bottom w:val="single" w:sz="6"/>
              <w:right w:val="nil"/>
            </w:tcBorders>
            <w:tcMar/>
            <w:vAlign w:val="center"/>
          </w:tcPr>
          <w:p w:rsidR="493D63B1" w:rsidP="493D63B1" w:rsidRDefault="493D63B1" w14:paraId="7766DB27" w14:textId="11F6CD55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Gene name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/>
              <w:right w:val="nil"/>
            </w:tcBorders>
            <w:tcMar/>
            <w:vAlign w:val="center"/>
          </w:tcPr>
          <w:p w:rsidR="493D63B1" w:rsidP="493D63B1" w:rsidRDefault="493D63B1" w14:paraId="7A3EA9A5" w14:textId="63D54F3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M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/>
              <w:right w:val="nil"/>
            </w:tcBorders>
            <w:tcMar/>
            <w:vAlign w:val="center"/>
          </w:tcPr>
          <w:p w:rsidR="493D63B1" w:rsidP="493D63B1" w:rsidRDefault="493D63B1" w14:paraId="58E9591D" w14:textId="7543D27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FDR</w:t>
            </w:r>
          </w:p>
        </w:tc>
      </w:tr>
      <w:tr w:rsidR="493D63B1" w:rsidTr="493D63B1" w14:paraId="23A0833D">
        <w:trPr>
          <w:trHeight w:val="165"/>
        </w:trPr>
        <w:tc>
          <w:tcPr>
            <w:tcW w:w="6615" w:type="dxa"/>
            <w:tcBorders>
              <w:top w:val="single" w:sz="6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77D26DBD" w14:textId="6E20D63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WP_018964814.1 thiol peroxidase</w:t>
            </w:r>
          </w:p>
        </w:tc>
        <w:tc>
          <w:tcPr>
            <w:tcW w:w="735" w:type="dxa"/>
            <w:tcBorders>
              <w:top w:val="single" w:sz="6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307A237C" w14:textId="41C22B2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4.05</w:t>
            </w:r>
          </w:p>
        </w:tc>
        <w:tc>
          <w:tcPr>
            <w:tcW w:w="1035" w:type="dxa"/>
            <w:tcBorders>
              <w:top w:val="single" w:sz="6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05663B3" w14:textId="6A72054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0.043</w:t>
            </w:r>
          </w:p>
        </w:tc>
      </w:tr>
      <w:tr w:rsidR="493D63B1" w:rsidTr="493D63B1" w14:paraId="0DFCE122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1D750222" w14:textId="44A35D1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WP_004585231.1 ABC transporter ATP-binding protein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0B86C6DE" w14:textId="6270C83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546DAB87" w14:textId="7C35A4D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0.030</w:t>
            </w:r>
          </w:p>
        </w:tc>
      </w:tr>
      <w:tr w:rsidR="493D63B1" w:rsidTr="493D63B1" w14:paraId="086C0BF1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E504318" w14:textId="5A6556B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WP_039417236.1 rhomboid family intramembrane serine protease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7DBE6FE0" w14:textId="5DA4DDD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3.51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703966B0" w14:textId="20A2C22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0.011</w:t>
            </w:r>
          </w:p>
        </w:tc>
      </w:tr>
      <w:tr w:rsidR="493D63B1" w:rsidTr="493D63B1" w14:paraId="08A3D02E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6044E034" w14:textId="525D68C3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WP_004585361.1 superoxide dismutase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2A225E4F" w14:textId="122C774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D8DB7BE" w14:textId="6D078DA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0.042</w:t>
            </w:r>
          </w:p>
        </w:tc>
      </w:tr>
      <w:tr w:rsidR="493D63B1" w:rsidTr="493D63B1" w14:paraId="75A2E951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06CD5959" w14:textId="31DCEBB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WP_012457200.1 TIR domain-containing protein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1C143474" w14:textId="0259775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A73C700" w14:textId="31CCE77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0.003</w:t>
            </w:r>
          </w:p>
        </w:tc>
      </w:tr>
      <w:tr w:rsidR="493D63B1" w:rsidTr="493D63B1" w14:paraId="4669EFDC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07A495C1" w14:textId="0F1520F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WP_039416938.1 MATE family efflux transporter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1A2188CE" w14:textId="46E3931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3.28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41ABB56B" w14:textId="02F2530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0.031</w:t>
            </w:r>
          </w:p>
        </w:tc>
      </w:tr>
      <w:tr w:rsidR="493D63B1" w:rsidTr="493D63B1" w14:paraId="78DE1283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0168D50F" w14:textId="14FE2401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WP_004585130.1 DegQ family serine endoprotease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1880AFA7" w14:textId="537F102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3.28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1FAD081C" w14:textId="620A485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0.047</w:t>
            </w:r>
          </w:p>
        </w:tc>
      </w:tr>
      <w:tr w:rsidR="493D63B1" w:rsidTr="493D63B1" w14:paraId="43BFC43E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7CE5EB08" w14:textId="4DA4B92A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WP_012457511.1 efflux RND transporter periplasmic adaptor subunit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7DA976A0" w14:textId="43F6CC8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26DB466" w14:textId="1E64603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0.025</w:t>
            </w:r>
          </w:p>
        </w:tc>
      </w:tr>
      <w:tr w:rsidR="493D63B1" w:rsidTr="493D63B1" w14:paraId="026A3A26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4C1193D4" w14:textId="532F0C3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WP_012457201.1 lysozyme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0C67F3A3" w14:textId="4D1A6E6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714EBA7E" w14:textId="6702B36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0.044</w:t>
            </w:r>
          </w:p>
        </w:tc>
      </w:tr>
      <w:tr w:rsidR="493D63B1" w:rsidTr="493D63B1" w14:paraId="1C252677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7565E189" w14:textId="21F3581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WP_004584735.1 ribonuclease III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7D0B5012" w14:textId="243606A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3.08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0D8AB2C2" w14:textId="106D0D0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0.010</w:t>
            </w:r>
          </w:p>
        </w:tc>
      </w:tr>
      <w:tr w:rsidR="493D63B1" w:rsidTr="493D63B1" w14:paraId="4FBF75D8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F2FB4C7" w14:textId="7E0A14B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WP_012457515.1 RNA polymerase sigma factor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6621124D" w14:textId="33D1256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2.93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5FB0848E" w14:textId="78458CE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0.035</w:t>
            </w:r>
          </w:p>
        </w:tc>
      </w:tr>
      <w:tr w:rsidR="493D63B1" w:rsidTr="493D63B1" w14:paraId="5AECA3EE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6375F0A0" w14:textId="2C834FA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WP_005875133.1 TolC family protein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29E75AA5" w14:textId="7C4BDEE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2.91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6FA85DF0" w14:textId="4F5F3BD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0.026</w:t>
            </w:r>
          </w:p>
        </w:tc>
      </w:tr>
      <w:tr w:rsidR="493D63B1" w:rsidTr="493D63B1" w14:paraId="6F778E97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35122CE3" w14:textId="023830D4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WP_004585363.1 acyl-CoA thioesterase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514A8509" w14:textId="32452D5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2.87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775573A1" w14:textId="18C3116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0.048</w:t>
            </w:r>
          </w:p>
        </w:tc>
      </w:tr>
      <w:tr w:rsidR="493D63B1" w:rsidTr="493D63B1" w14:paraId="3C3C3BBF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266D6436" w14:textId="71B0177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WP_004585574.1 ferritin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5BC827D3" w14:textId="3C8BFC7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2.74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2A39CE75" w14:textId="6E21981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0.025</w:t>
            </w:r>
          </w:p>
        </w:tc>
      </w:tr>
      <w:tr w:rsidR="493D63B1" w:rsidTr="493D63B1" w14:paraId="7934440E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572B5BD" w14:textId="0C83627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WP_012457513.1 ABC transporter permease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38E4E26A" w14:textId="777E241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2.66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4BCAFF4" w14:textId="32FA252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0.035</w:t>
            </w:r>
          </w:p>
        </w:tc>
      </w:tr>
      <w:tr w:rsidR="493D63B1" w:rsidTr="493D63B1" w14:paraId="5D3FA125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E074044" w14:textId="1492B13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WP_005875129.1 ABC transporter ATP-binding protein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1B17733D" w14:textId="2BAA8CC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2.65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73259582" w14:textId="2B451EB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0.033</w:t>
            </w:r>
          </w:p>
        </w:tc>
      </w:tr>
      <w:tr w:rsidR="493D63B1" w:rsidTr="493D63B1" w14:paraId="5C5FDBAD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3F50557B" w14:textId="43284A0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WP_012457512.1 ABC transporter permease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4E15CD81" w14:textId="0291F4C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2.65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6148D036" w14:textId="7B0160E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0.029</w:t>
            </w:r>
          </w:p>
        </w:tc>
      </w:tr>
      <w:tr w:rsidR="493D63B1" w:rsidTr="493D63B1" w14:paraId="7324F8FD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1194644" w14:textId="3C34B8B0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WP_012457551.1 low molecular weight phosphotyrosine protein phosphatase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821DBF8" w14:textId="254A4C0F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2.61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D8F3EDD" w14:textId="514E22D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0.014</w:t>
            </w:r>
          </w:p>
        </w:tc>
      </w:tr>
      <w:tr w:rsidR="493D63B1" w:rsidTr="493D63B1" w14:paraId="5DFD30D3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71E206F4" w14:textId="216300D5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WP_012457640.1 glucosamine-6-phosphate deaminase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4B4D0FED" w14:textId="033EE284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2.61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6F23BAF3" w14:textId="0C35423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0.016</w:t>
            </w:r>
          </w:p>
        </w:tc>
      </w:tr>
      <w:tr w:rsidR="493D63B1" w:rsidTr="493D63B1" w14:paraId="6BE2A3BA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5C2A992E" w14:textId="7B41C0A9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WP_004584437.1 response regulator transcription factor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11577C4" w14:textId="3BAE2D4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2.61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5FF4CF4E" w14:textId="3BE815D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0.042</w:t>
            </w:r>
          </w:p>
        </w:tc>
      </w:tr>
      <w:tr w:rsidR="493D63B1" w:rsidTr="493D63B1" w14:paraId="7B43A115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15896C67" w14:textId="691BEFC5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WP_004584733.1 acyl carrier protein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1C1811DC" w14:textId="6D5E323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2.59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60BE118" w14:textId="5C76BBB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0.035</w:t>
            </w:r>
          </w:p>
        </w:tc>
      </w:tr>
      <w:tr w:rsidR="493D63B1" w:rsidTr="493D63B1" w14:paraId="30F918AC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3042272" w14:textId="25FA050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WP_012457727.1 ABC transporter permease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CE0B5A1" w14:textId="0CE2F40D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2.57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52220B92" w14:textId="6054FEC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0.041</w:t>
            </w:r>
          </w:p>
        </w:tc>
      </w:tr>
      <w:tr w:rsidR="493D63B1" w:rsidTr="493D63B1" w14:paraId="4AB107B2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1D07F0B8" w14:textId="2F468D26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WP_012457552.1 heavy metal translocating P-type ATPase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75F322F4" w14:textId="01E2B11E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2.55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072A6DE0" w14:textId="169BA59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0.020</w:t>
            </w:r>
          </w:p>
        </w:tc>
      </w:tr>
      <w:tr w:rsidR="493D63B1" w:rsidTr="493D63B1" w14:paraId="460FABAA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5893F357" w14:textId="7778589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WP_004583434.1 thioredoxin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314B5547" w14:textId="562886A3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2.54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701941AE" w14:textId="39BCB0B0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0.047</w:t>
            </w:r>
          </w:p>
        </w:tc>
      </w:tr>
      <w:tr w:rsidR="493D63B1" w:rsidTr="493D63B1" w14:paraId="349CD9BF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1DF95DEC" w14:textId="5A2107E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WP_004584734.1 beta-ketoacyl-ACP synthase II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5BCF1F8B" w14:textId="3B38D8A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2.43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1449D66B" w14:textId="12ED45D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0.019</w:t>
            </w:r>
          </w:p>
        </w:tc>
      </w:tr>
      <w:tr w:rsidR="493D63B1" w:rsidTr="493D63B1" w14:paraId="45911E1E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74C4FD75" w14:textId="30FB2ECB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WP_012457876.1 molecular chaperone DnaK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126C9561" w14:textId="384719E8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425DA626" w14:textId="7416B2E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0.037</w:t>
            </w:r>
          </w:p>
        </w:tc>
      </w:tr>
      <w:tr w:rsidR="493D63B1" w:rsidTr="493D63B1" w14:paraId="2F73BFA1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30211815" w14:textId="288B4411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WP_099780773.1 DUF1661 domain-containing protein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7C1150E9" w14:textId="39EAF88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5C3BD9B2" w14:textId="5B3A9CF5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0.033</w:t>
            </w:r>
          </w:p>
        </w:tc>
      </w:tr>
      <w:tr w:rsidR="493D63B1" w:rsidTr="493D63B1" w14:paraId="79B1D575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548A2748" w14:textId="53EC5CD3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WP_004585089.1 AAA family ATPase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22849427" w14:textId="3CABCBE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2.26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6A200D8C" w14:textId="542EA8C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0.021</w:t>
            </w:r>
          </w:p>
        </w:tc>
      </w:tr>
      <w:tr w:rsidR="493D63B1" w:rsidTr="493D63B1" w14:paraId="7B45531F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6B1B7D7A" w14:textId="06DC8DB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WP_039416961.1 U32 family peptidase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52B9879C" w14:textId="4B26E37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83C99C0" w14:textId="5D8B9FA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0.036</w:t>
            </w:r>
          </w:p>
        </w:tc>
      </w:tr>
      <w:tr w:rsidR="493D63B1" w:rsidTr="493D63B1" w14:paraId="3B8AA830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72158562" w14:textId="3598B28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WP_004583905.1 Fe-S cluster assembly protein SufB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01A9E150" w14:textId="711C5FBA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61D04A6B" w14:textId="432E7E46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0.049</w:t>
            </w:r>
          </w:p>
        </w:tc>
      </w:tr>
      <w:tr w:rsidR="493D63B1" w:rsidTr="493D63B1" w14:paraId="30B48838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0B5E826" w14:textId="4C34B538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WP_012457448.1 Fe-S cluster assembly protein SufD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31A56507" w14:textId="7CF7AF97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03D19E01" w14:textId="0BAA5C11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0.025</w:t>
            </w:r>
          </w:p>
        </w:tc>
      </w:tr>
      <w:tr w:rsidR="493D63B1" w:rsidTr="493D63B1" w14:paraId="7DB5E6B3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5F04A8A9" w14:textId="3606F8CF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WP_012457165.1 ATP-dependent Clp protease ATP-binding subunit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67BCFDB8" w14:textId="285D971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2.13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4B75055E" w14:textId="2576A52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0.029</w:t>
            </w:r>
          </w:p>
        </w:tc>
      </w:tr>
      <w:tr w:rsidR="493D63B1" w:rsidTr="493D63B1" w14:paraId="39F20C79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027E8180" w14:textId="03BBA1FD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WP_012457550.1 AhpC/TSA family protein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2E5CBC7E" w14:textId="022AB23C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2.07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/>
            <w:vAlign w:val="top"/>
          </w:tcPr>
          <w:p w:rsidR="493D63B1" w:rsidP="493D63B1" w:rsidRDefault="493D63B1" w14:paraId="6F0A83D5" w14:textId="1C54EDDB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0.032</w:t>
            </w:r>
          </w:p>
        </w:tc>
      </w:tr>
      <w:tr w:rsidR="493D63B1" w:rsidTr="493D63B1" w14:paraId="761CC7A3">
        <w:trPr>
          <w:trHeight w:val="16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663FCF4C" w14:textId="71EFFFDE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WP_039416960.1 peroxide stress protein YaaA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076D6675" w14:textId="3CCFD4D9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2.04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493D63B1" w:rsidP="493D63B1" w:rsidRDefault="493D63B1" w14:paraId="18BCBE7C" w14:textId="269EA332"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3D63B1" w:rsidR="493D63B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0.026</w:t>
            </w:r>
          </w:p>
        </w:tc>
      </w:tr>
    </w:tbl>
    <w:p xmlns:wp14="http://schemas.microsoft.com/office/word/2010/wordml" w:rsidP="493D63B1" w14:paraId="52A91B30" wp14:textId="6F8BA664">
      <w:pPr>
        <w:spacing w:line="48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eastAsia="ja-JP"/>
        </w:rPr>
      </w:pPr>
      <w:r w:rsidRPr="493D63B1" w:rsidR="0960025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 w:eastAsia="ja-JP"/>
        </w:rPr>
        <w:t>The gene numbers are consistent with the numbers on the volcano plot in Fig 3B. M, log</w:t>
      </w:r>
      <w:r w:rsidRPr="493D63B1" w:rsidR="0960025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vertAlign w:val="subscript"/>
          <w:lang w:val="en-US" w:eastAsia="ja-JP"/>
        </w:rPr>
        <w:t>2</w:t>
      </w:r>
      <w:r w:rsidRPr="493D63B1" w:rsidR="0960025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eastAsia="ja-JP"/>
        </w:rPr>
        <w:t xml:space="preserve"> </w:t>
      </w:r>
      <w:r w:rsidRPr="493D63B1" w:rsidR="0960025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 w:eastAsia="ja-JP"/>
        </w:rPr>
        <w:t>(FC); FDR, false discovery rate.</w:t>
      </w:r>
    </w:p>
    <w:p xmlns:wp14="http://schemas.microsoft.com/office/word/2010/wordml" w:rsidP="493D63B1" w14:paraId="5BADD4ED" wp14:textId="11E52B8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A56662"/>
    <w:rsid w:val="09600252"/>
    <w:rsid w:val="493D63B1"/>
    <w:rsid w:val="70A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A56662"/>
  <w15:chartTrackingRefBased/>
  <w15:docId w15:val="{31A36870-51D5-47C1-92EA-D708256295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2022-09-02T08:26:25.5483771Z</dcterms:created>
  <dcterms:modified xsi:type="dcterms:W3CDTF">2022-09-02T08:27:11.4872524Z</dcterms:modified>
  <dc:creator>池田　裕一</dc:creator>
  <lastModifiedBy>池田　裕一</lastModifiedBy>
</coreProperties>
</file>