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8531" w14:textId="77777777" w:rsidR="00DD2C40" w:rsidRDefault="00DD2C40" w:rsidP="00DD2C40">
      <w:pPr>
        <w:spacing w:line="257" w:lineRule="auto"/>
        <w:jc w:val="both"/>
        <w:rPr>
          <w:rFonts w:ascii="Calibri" w:eastAsia="Calibri" w:hAnsi="Calibri" w:cs="Calibri"/>
        </w:rPr>
      </w:pPr>
    </w:p>
    <w:p w14:paraId="06B76BDE" w14:textId="72592705" w:rsidR="00DD2C40" w:rsidRPr="00DD2C40" w:rsidRDefault="00DD2C40" w:rsidP="00DD2C40">
      <w:pPr>
        <w:spacing w:line="257" w:lineRule="auto"/>
        <w:jc w:val="both"/>
        <w:rPr>
          <w:rFonts w:ascii="Calibri" w:eastAsia="Calibri" w:hAnsi="Calibri" w:cs="Calibri"/>
          <w:b/>
          <w:bCs/>
        </w:rPr>
      </w:pPr>
      <w:r w:rsidRPr="00DD2C40">
        <w:rPr>
          <w:rFonts w:ascii="Calibri" w:eastAsia="Calibri" w:hAnsi="Calibri" w:cs="Calibri"/>
          <w:b/>
          <w:bCs/>
        </w:rPr>
        <w:t>Supplementary Methods 1.</w:t>
      </w:r>
    </w:p>
    <w:p w14:paraId="57E92D64" w14:textId="77777777" w:rsidR="00F25212" w:rsidRDefault="00F25212" w:rsidP="00DD2C40"/>
    <w:p w14:paraId="20CA388D" w14:textId="061ACF50" w:rsidR="00F25212" w:rsidRPr="006270AC" w:rsidRDefault="00EF456D" w:rsidP="00DD2C40">
      <w:pPr>
        <w:rPr>
          <w:b/>
          <w:bCs/>
        </w:rPr>
      </w:pPr>
      <w:r>
        <w:rPr>
          <w:b/>
          <w:bCs/>
        </w:rPr>
        <w:t>PCR</w:t>
      </w:r>
      <w:r w:rsidR="00A179F0">
        <w:rPr>
          <w:b/>
          <w:bCs/>
        </w:rPr>
        <w:t>s</w:t>
      </w:r>
    </w:p>
    <w:p w14:paraId="45B1C691" w14:textId="3583568C" w:rsidR="00DD2C40" w:rsidRDefault="00DD2C40" w:rsidP="000F3E61">
      <w:pPr>
        <w:spacing w:line="257" w:lineRule="auto"/>
        <w:jc w:val="both"/>
      </w:pPr>
      <w:r>
        <w:t>AAV2</w:t>
      </w:r>
      <w:r w:rsidR="000F3E61">
        <w:t xml:space="preserve"> PCR was</w:t>
      </w:r>
      <w:r w:rsidR="00F25212">
        <w:t xml:space="preserve"> </w:t>
      </w:r>
      <w:r>
        <w:t xml:space="preserve">developed by the </w:t>
      </w:r>
      <w:r w:rsidR="00B34108">
        <w:t xml:space="preserve">Dutch </w:t>
      </w:r>
      <w:r>
        <w:t>National Institute for Public Health and the Environment</w:t>
      </w:r>
      <w:r w:rsidR="00F25212">
        <w:t xml:space="preserve"> and p</w:t>
      </w:r>
      <w:r>
        <w:t>rimers and probes target</w:t>
      </w:r>
      <w:r w:rsidR="00F25212">
        <w:t xml:space="preserve">ed </w:t>
      </w:r>
      <w:r>
        <w:t>the NSP and VP1 region</w:t>
      </w:r>
      <w:r w:rsidR="00F25212">
        <w:t>s</w:t>
      </w:r>
      <w:r>
        <w:t xml:space="preserve">. RNA was extracted from 190 </w:t>
      </w:r>
      <w:proofErr w:type="spellStart"/>
      <w:r>
        <w:t>ul</w:t>
      </w:r>
      <w:proofErr w:type="spellEnd"/>
      <w:r>
        <w:t xml:space="preserve"> sample with the addition of 10 </w:t>
      </w:r>
      <w:proofErr w:type="spellStart"/>
      <w:r>
        <w:t>ul</w:t>
      </w:r>
      <w:proofErr w:type="spellEnd"/>
      <w:r>
        <w:t xml:space="preserve"> </w:t>
      </w:r>
      <w:r w:rsidR="00F25212">
        <w:t>i</w:t>
      </w:r>
      <w:r>
        <w:t xml:space="preserve">nternal </w:t>
      </w:r>
      <w:r w:rsidR="00911871">
        <w:t>c</w:t>
      </w:r>
      <w:r>
        <w:t>ontrol, phocine distemper virus</w:t>
      </w:r>
      <w:r w:rsidR="00F25212">
        <w:t xml:space="preserve"> (PDV)</w:t>
      </w:r>
      <w:r>
        <w:t xml:space="preserve">, using the </w:t>
      </w:r>
      <w:proofErr w:type="spellStart"/>
      <w:r>
        <w:t>NucliSense</w:t>
      </w:r>
      <w:proofErr w:type="spellEnd"/>
      <w:r>
        <w:t xml:space="preserve"> </w:t>
      </w:r>
      <w:proofErr w:type="spellStart"/>
      <w:r>
        <w:t>EasyMag</w:t>
      </w:r>
      <w:proofErr w:type="spellEnd"/>
      <w:r>
        <w:t xml:space="preserve"> (</w:t>
      </w:r>
      <w:proofErr w:type="spellStart"/>
      <w:r>
        <w:t>bioMérieux</w:t>
      </w:r>
      <w:proofErr w:type="spellEnd"/>
      <w:r>
        <w:t xml:space="preserve">, Lyon, France). qPCR was performed in a total reaction volume of 20 </w:t>
      </w:r>
      <w:proofErr w:type="spellStart"/>
      <w:r>
        <w:t>ul</w:t>
      </w:r>
      <w:proofErr w:type="spellEnd"/>
      <w:r>
        <w:t xml:space="preserve"> using 5 </w:t>
      </w:r>
      <w:proofErr w:type="spellStart"/>
      <w:r>
        <w:t>ul</w:t>
      </w:r>
      <w:proofErr w:type="spellEnd"/>
      <w:r>
        <w:t xml:space="preserve"> RNA, 1xTaqMan® Fast Virus 1-Step Master Mix (Applied Biosystems, Foster City, CA, USA), 500 </w:t>
      </w:r>
      <w:proofErr w:type="spellStart"/>
      <w:r>
        <w:t>nM</w:t>
      </w:r>
      <w:proofErr w:type="spellEnd"/>
      <w:r>
        <w:t xml:space="preserve"> forward and reverse primer</w:t>
      </w:r>
      <w:r w:rsidR="00F25212">
        <w:t>s</w:t>
      </w:r>
      <w:r>
        <w:t xml:space="preserve"> for AAV2 VP1 or NSP, 250 </w:t>
      </w:r>
      <w:proofErr w:type="spellStart"/>
      <w:r>
        <w:t>nM</w:t>
      </w:r>
      <w:proofErr w:type="spellEnd"/>
      <w:r>
        <w:t xml:space="preserve"> AAV2 VP1 or NSP probe</w:t>
      </w:r>
      <w:r w:rsidR="00F25212">
        <w:t>s</w:t>
      </w:r>
      <w:r>
        <w:t xml:space="preserve">, 300 </w:t>
      </w:r>
      <w:proofErr w:type="spellStart"/>
      <w:r>
        <w:t>nM</w:t>
      </w:r>
      <w:proofErr w:type="spellEnd"/>
      <w:r>
        <w:t xml:space="preserve"> forward and reverse primer</w:t>
      </w:r>
      <w:r w:rsidR="00F25212">
        <w:t>s</w:t>
      </w:r>
      <w:r>
        <w:t xml:space="preserve"> for PDV, 100 </w:t>
      </w:r>
      <w:proofErr w:type="spellStart"/>
      <w:r>
        <w:t>nM</w:t>
      </w:r>
      <w:proofErr w:type="spellEnd"/>
      <w:r>
        <w:t xml:space="preserve"> probe for PDV and DNase/RNase free water (Sigma). Reactions were run on an ABI7500 using the profile of 15 min 50 ◦C, 3 min 95 ◦C, followed by 50 cycles of 10 s 95 ◦C and 30 s 55 ◦C.</w:t>
      </w:r>
    </w:p>
    <w:p w14:paraId="501B74E1" w14:textId="350C512E" w:rsidR="00DD2C40" w:rsidRDefault="00EF456D" w:rsidP="00DD2C40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PCR</w:t>
      </w:r>
      <w:r w:rsidR="00A179F0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 xml:space="preserve"> targeting </w:t>
      </w:r>
      <w:proofErr w:type="spellStart"/>
      <w:r w:rsidR="0082461F">
        <w:rPr>
          <w:rFonts w:ascii="Calibri" w:eastAsia="Calibri" w:hAnsi="Calibri" w:cs="Calibri"/>
        </w:rPr>
        <w:t>HAdv</w:t>
      </w:r>
      <w:proofErr w:type="spellEnd"/>
      <w:r w:rsidR="0082461F">
        <w:rPr>
          <w:rFonts w:ascii="Calibri" w:eastAsia="Calibri" w:hAnsi="Calibri" w:cs="Calibri"/>
        </w:rPr>
        <w:t>, EBV, HHV6, VZV, and TTV</w:t>
      </w:r>
      <w:r>
        <w:rPr>
          <w:rFonts w:ascii="Calibri" w:eastAsia="Calibri" w:hAnsi="Calibri" w:cs="Calibri"/>
        </w:rPr>
        <w:t xml:space="preserve"> were performed as described previously</w:t>
      </w:r>
      <w:r w:rsidR="00CA55F4">
        <w:rPr>
          <w:rFonts w:ascii="Calibri" w:eastAsia="Calibri" w:hAnsi="Calibri" w:cs="Calibri"/>
        </w:rPr>
        <w:t xml:space="preserve"> (</w:t>
      </w:r>
      <w:hyperlink r:id="rId7" w:history="1">
        <w:r w:rsidR="00F712CE" w:rsidRPr="002B0815">
          <w:rPr>
            <w:rStyle w:val="Hyperlink"/>
            <w:rFonts w:ascii="Calibri" w:eastAsia="Calibri" w:hAnsi="Calibri" w:cs="Calibri"/>
          </w:rPr>
          <w:t>https://doi.org/10.1016/j.jcv.2020.104566</w:t>
        </w:r>
      </w:hyperlink>
      <w:r w:rsidR="00AC4ED5">
        <w:rPr>
          <w:rFonts w:ascii="Calibri" w:eastAsia="Calibri" w:hAnsi="Calibri" w:cs="Calibri"/>
        </w:rPr>
        <w:t xml:space="preserve">, </w:t>
      </w:r>
      <w:r w:rsidR="00AC4ED5" w:rsidRPr="00AC4ED5">
        <w:rPr>
          <w:rFonts w:ascii="Calibri" w:eastAsia="Calibri" w:hAnsi="Calibri" w:cs="Calibri"/>
        </w:rPr>
        <w:t>https://doi.org/10.3390/pathogens11020236</w:t>
      </w:r>
      <w:r w:rsidR="00CA55F4">
        <w:rPr>
          <w:rFonts w:ascii="Calibri" w:eastAsia="Calibri" w:hAnsi="Calibri" w:cs="Calibri"/>
        </w:rPr>
        <w:t>).</w:t>
      </w:r>
      <w:r w:rsidR="00F712CE">
        <w:rPr>
          <w:rFonts w:ascii="Calibri" w:eastAsia="Calibri" w:hAnsi="Calibri" w:cs="Calibri"/>
        </w:rPr>
        <w:t xml:space="preserve"> </w:t>
      </w:r>
    </w:p>
    <w:p w14:paraId="61A2A296" w14:textId="2B5CE582" w:rsidR="00241F87" w:rsidRDefault="00241F87" w:rsidP="00241F8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Metagenomic findings were confirmed by PCR preceded by repeated nucleic acids extraction. </w:t>
      </w:r>
    </w:p>
    <w:p w14:paraId="07D3B8DE" w14:textId="77777777" w:rsidR="00241F87" w:rsidRDefault="00241F87" w:rsidP="00DD2C40">
      <w:pPr>
        <w:spacing w:line="257" w:lineRule="auto"/>
        <w:jc w:val="both"/>
        <w:rPr>
          <w:rFonts w:ascii="Calibri" w:eastAsia="Calibri" w:hAnsi="Calibri" w:cs="Calibri"/>
        </w:rPr>
      </w:pPr>
    </w:p>
    <w:p w14:paraId="5473DB4E" w14:textId="77777777" w:rsidR="00DD2C40" w:rsidRPr="00646A98" w:rsidRDefault="00DD2C40" w:rsidP="00DD2C40">
      <w:pPr>
        <w:spacing w:line="257" w:lineRule="auto"/>
        <w:jc w:val="both"/>
        <w:rPr>
          <w:rFonts w:ascii="Calibri" w:eastAsia="Calibri" w:hAnsi="Calibri" w:cs="Calibri"/>
        </w:rPr>
      </w:pPr>
    </w:p>
    <w:p w14:paraId="38E0AB5C" w14:textId="77777777" w:rsidR="00BA4C40" w:rsidRDefault="00BA4C40"/>
    <w:sectPr w:rsidR="00BA4C40" w:rsidSect="002A0E42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DEB6" w14:textId="77777777" w:rsidR="005E0E8B" w:rsidRDefault="00A179F0">
      <w:r>
        <w:separator/>
      </w:r>
    </w:p>
  </w:endnote>
  <w:endnote w:type="continuationSeparator" w:id="0">
    <w:p w14:paraId="51664BF7" w14:textId="77777777" w:rsidR="005E0E8B" w:rsidRDefault="00A1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709D3D" w14:paraId="4041B659" w14:textId="77777777" w:rsidTr="46709D3D">
      <w:trPr>
        <w:trHeight w:val="300"/>
      </w:trPr>
      <w:tc>
        <w:tcPr>
          <w:tcW w:w="3005" w:type="dxa"/>
        </w:tcPr>
        <w:p w14:paraId="1B6C97FD" w14:textId="77777777" w:rsidR="46709D3D" w:rsidRDefault="00B34108" w:rsidP="46709D3D">
          <w:pPr>
            <w:pStyle w:val="Header"/>
            <w:ind w:left="-115"/>
          </w:pPr>
        </w:p>
      </w:tc>
      <w:tc>
        <w:tcPr>
          <w:tcW w:w="3005" w:type="dxa"/>
        </w:tcPr>
        <w:p w14:paraId="300F89B2" w14:textId="77777777" w:rsidR="46709D3D" w:rsidRDefault="00B34108" w:rsidP="46709D3D">
          <w:pPr>
            <w:pStyle w:val="Header"/>
            <w:jc w:val="center"/>
          </w:pPr>
        </w:p>
      </w:tc>
      <w:tc>
        <w:tcPr>
          <w:tcW w:w="3005" w:type="dxa"/>
        </w:tcPr>
        <w:p w14:paraId="5F2241C3" w14:textId="77777777" w:rsidR="46709D3D" w:rsidRDefault="00B34108" w:rsidP="46709D3D">
          <w:pPr>
            <w:pStyle w:val="Header"/>
            <w:ind w:right="-115"/>
            <w:jc w:val="right"/>
          </w:pPr>
        </w:p>
      </w:tc>
    </w:tr>
  </w:tbl>
  <w:p w14:paraId="33FD4C60" w14:textId="77777777" w:rsidR="46709D3D" w:rsidRDefault="00B34108" w:rsidP="46709D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9932D" w14:textId="77777777" w:rsidR="005E0E8B" w:rsidRDefault="00A179F0">
      <w:r>
        <w:separator/>
      </w:r>
    </w:p>
  </w:footnote>
  <w:footnote w:type="continuationSeparator" w:id="0">
    <w:p w14:paraId="5A3292B6" w14:textId="77777777" w:rsidR="005E0E8B" w:rsidRDefault="00A17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709D3D" w14:paraId="0F52BA1C" w14:textId="77777777" w:rsidTr="46709D3D">
      <w:trPr>
        <w:trHeight w:val="300"/>
      </w:trPr>
      <w:tc>
        <w:tcPr>
          <w:tcW w:w="3005" w:type="dxa"/>
        </w:tcPr>
        <w:p w14:paraId="7BB1283B" w14:textId="77777777" w:rsidR="46709D3D" w:rsidRDefault="00B34108" w:rsidP="46709D3D">
          <w:pPr>
            <w:pStyle w:val="Header"/>
            <w:ind w:left="-115"/>
          </w:pPr>
        </w:p>
      </w:tc>
      <w:tc>
        <w:tcPr>
          <w:tcW w:w="3005" w:type="dxa"/>
        </w:tcPr>
        <w:p w14:paraId="56616B06" w14:textId="77777777" w:rsidR="46709D3D" w:rsidRDefault="00B34108" w:rsidP="46709D3D">
          <w:pPr>
            <w:pStyle w:val="Header"/>
            <w:jc w:val="center"/>
          </w:pPr>
        </w:p>
      </w:tc>
      <w:tc>
        <w:tcPr>
          <w:tcW w:w="3005" w:type="dxa"/>
        </w:tcPr>
        <w:p w14:paraId="7253AE4D" w14:textId="77777777" w:rsidR="46709D3D" w:rsidRDefault="00B34108" w:rsidP="46709D3D">
          <w:pPr>
            <w:pStyle w:val="Header"/>
            <w:ind w:right="-115"/>
            <w:jc w:val="right"/>
          </w:pPr>
        </w:p>
      </w:tc>
    </w:tr>
  </w:tbl>
  <w:p w14:paraId="73BA7AA4" w14:textId="77777777" w:rsidR="46709D3D" w:rsidRDefault="00B34108" w:rsidP="46709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C2285"/>
    <w:multiLevelType w:val="hybridMultilevel"/>
    <w:tmpl w:val="CF4076F2"/>
    <w:lvl w:ilvl="0" w:tplc="2260157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93BFC"/>
    <w:multiLevelType w:val="multilevel"/>
    <w:tmpl w:val="0152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4527181">
    <w:abstractNumId w:val="0"/>
  </w:num>
  <w:num w:numId="2" w16cid:durableId="188302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40"/>
    <w:rsid w:val="00092CDF"/>
    <w:rsid w:val="000F3E61"/>
    <w:rsid w:val="001F62F3"/>
    <w:rsid w:val="00241F87"/>
    <w:rsid w:val="004E339A"/>
    <w:rsid w:val="005E0E8B"/>
    <w:rsid w:val="006270AC"/>
    <w:rsid w:val="006C6FA6"/>
    <w:rsid w:val="00784507"/>
    <w:rsid w:val="0082461F"/>
    <w:rsid w:val="009017E9"/>
    <w:rsid w:val="00911871"/>
    <w:rsid w:val="00A179F0"/>
    <w:rsid w:val="00A86AE3"/>
    <w:rsid w:val="00AC4ED5"/>
    <w:rsid w:val="00AF33E8"/>
    <w:rsid w:val="00B34108"/>
    <w:rsid w:val="00BA4C40"/>
    <w:rsid w:val="00C043EB"/>
    <w:rsid w:val="00C12C98"/>
    <w:rsid w:val="00CA55F4"/>
    <w:rsid w:val="00D10938"/>
    <w:rsid w:val="00DD2C40"/>
    <w:rsid w:val="00DF3A4D"/>
    <w:rsid w:val="00E929F7"/>
    <w:rsid w:val="00EF456D"/>
    <w:rsid w:val="00F25212"/>
    <w:rsid w:val="00F7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9E0E1"/>
  <w15:chartTrackingRefBased/>
  <w15:docId w15:val="{D8A40168-8BC3-4D69-9EEC-3B476E3B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C40"/>
    <w:pPr>
      <w:spacing w:after="0" w:line="240" w:lineRule="auto"/>
    </w:pPr>
    <w:rPr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EF456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C4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D2C40"/>
  </w:style>
  <w:style w:type="paragraph" w:styleId="Header">
    <w:name w:val="header"/>
    <w:basedOn w:val="Normal"/>
    <w:link w:val="HeaderChar"/>
    <w:uiPriority w:val="99"/>
    <w:unhideWhenUsed/>
    <w:rsid w:val="00DD2C40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1">
    <w:name w:val="Header Char1"/>
    <w:basedOn w:val="DefaultParagraphFont"/>
    <w:uiPriority w:val="99"/>
    <w:semiHidden/>
    <w:rsid w:val="00DD2C4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D2C40"/>
  </w:style>
  <w:style w:type="paragraph" w:styleId="Footer">
    <w:name w:val="footer"/>
    <w:basedOn w:val="Normal"/>
    <w:link w:val="FooterChar"/>
    <w:uiPriority w:val="99"/>
    <w:unhideWhenUsed/>
    <w:rsid w:val="00DD2C40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1">
    <w:name w:val="Footer Char1"/>
    <w:basedOn w:val="DefaultParagraphFont"/>
    <w:uiPriority w:val="99"/>
    <w:semiHidden/>
    <w:rsid w:val="00DD2C40"/>
    <w:rPr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DD2C40"/>
  </w:style>
  <w:style w:type="character" w:customStyle="1" w:styleId="Heading4Char">
    <w:name w:val="Heading 4 Char"/>
    <w:basedOn w:val="DefaultParagraphFont"/>
    <w:link w:val="Heading4"/>
    <w:uiPriority w:val="9"/>
    <w:rsid w:val="00EF456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F456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F456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jcv.2020.1045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Jutte de Vries</dc:creator>
  <cp:keywords/>
  <dc:description/>
  <cp:lastModifiedBy>Jutte de Vries</cp:lastModifiedBy>
  <cp:revision>2</cp:revision>
  <dcterms:created xsi:type="dcterms:W3CDTF">2023-08-13T15:48:00Z</dcterms:created>
  <dcterms:modified xsi:type="dcterms:W3CDTF">2023-08-13T15:48:00Z</dcterms:modified>
</cp:coreProperties>
</file>