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Heading1"/>
        <w:spacing w:before="0" w:after="75" w:line="480" w:lineRule="auto"/>
        <w:rPr>
          <w:rFonts w:eastAsiaTheme="minorHAnsi"/>
          <w:b w:val="0"/>
          <w:bCs w:val="0"/>
          <w:sz w:val="36"/>
          <w:szCs w:val="36"/>
        </w:rPr>
      </w:pPr>
      <w:r>
        <w:rPr>
          <w:rFonts w:eastAsiaTheme="minorHAnsi"/>
          <w:sz w:val="36"/>
          <w:szCs w:val="36"/>
        </w:rPr>
        <w:t>World War II effects on prevalence and pattern of multimorbidity in older adults: Results from the KORA-Age study</w:t>
      </w:r>
    </w:p>
    <w:p>
      <w:pPr>
        <w:suppressLineNumbers/>
        <w:spacing w:line="480" w:lineRule="auto"/>
        <w:jc w:val="both"/>
        <w:rPr>
          <w:rFonts w:ascii="Times New Roman" w:hAnsi="Times New Roman" w:cs="Times New Roman"/>
          <w:sz w:val="20"/>
          <w:szCs w:val="20"/>
        </w:rPr>
      </w:pPr>
    </w:p>
    <w:p>
      <w:pPr>
        <w:suppressLineNumbers/>
        <w:spacing w:line="480" w:lineRule="auto"/>
        <w:jc w:val="both"/>
        <w:rPr>
          <w:rStyle w:val="fontstyle01"/>
          <w:rFonts w:ascii="Times New Roman" w:hAnsi="Times New Roman" w:cs="Times New Roman"/>
          <w:sz w:val="20"/>
          <w:szCs w:val="20"/>
        </w:rPr>
      </w:pPr>
      <w:r>
        <w:rPr>
          <w:rStyle w:val="fontstyle01"/>
          <w:rFonts w:ascii="Times New Roman" w:hAnsi="Times New Roman" w:cs="Times New Roman"/>
          <w:sz w:val="20"/>
          <w:szCs w:val="20"/>
        </w:rPr>
        <w:t>Arshadipour A</w:t>
      </w:r>
      <w:r>
        <w:rPr>
          <w:rStyle w:val="fontstyle01"/>
          <w:rFonts w:ascii="Times New Roman" w:hAnsi="Times New Roman" w:cs="Times New Roman"/>
          <w:sz w:val="20"/>
          <w:szCs w:val="20"/>
          <w:vertAlign w:val="superscript"/>
        </w:rPr>
        <w:t>1,2*</w:t>
      </w:r>
      <w:r>
        <w:rPr>
          <w:rStyle w:val="fontstyle01"/>
          <w:rFonts w:ascii="Times New Roman" w:hAnsi="Times New Roman" w:cs="Times New Roman"/>
          <w:sz w:val="20"/>
          <w:szCs w:val="20"/>
        </w:rPr>
        <w:t>, Thorand B</w:t>
      </w:r>
      <w:r>
        <w:rPr>
          <w:rStyle w:val="fontstyle01"/>
          <w:rFonts w:ascii="Times New Roman" w:hAnsi="Times New Roman" w:cs="Times New Roman"/>
          <w:sz w:val="20"/>
          <w:szCs w:val="20"/>
          <w:vertAlign w:val="superscript"/>
        </w:rPr>
        <w:t>1,6</w:t>
      </w:r>
      <w:r>
        <w:rPr>
          <w:rStyle w:val="fontstyle01"/>
          <w:rFonts w:ascii="Times New Roman" w:hAnsi="Times New Roman" w:cs="Times New Roman"/>
          <w:sz w:val="20"/>
          <w:szCs w:val="20"/>
        </w:rPr>
        <w:t>, Linkohr B</w:t>
      </w:r>
      <w:r>
        <w:rPr>
          <w:rStyle w:val="fontstyle01"/>
          <w:rFonts w:ascii="Times New Roman" w:hAnsi="Times New Roman" w:cs="Times New Roman"/>
          <w:sz w:val="20"/>
          <w:szCs w:val="20"/>
          <w:vertAlign w:val="superscript"/>
        </w:rPr>
        <w:t>1</w:t>
      </w:r>
      <w:r>
        <w:rPr>
          <w:rStyle w:val="fontstyle01"/>
          <w:rFonts w:ascii="Times New Roman" w:hAnsi="Times New Roman" w:cs="Times New Roman"/>
          <w:sz w:val="20"/>
          <w:szCs w:val="20"/>
        </w:rPr>
        <w:t>, Rospleszcz S</w:t>
      </w:r>
      <w:r>
        <w:rPr>
          <w:rStyle w:val="fontstyle01"/>
          <w:rFonts w:ascii="Times New Roman" w:hAnsi="Times New Roman" w:cs="Times New Roman"/>
          <w:sz w:val="20"/>
          <w:szCs w:val="20"/>
          <w:vertAlign w:val="superscript"/>
        </w:rPr>
        <w:t>1,2</w:t>
      </w:r>
      <w:r>
        <w:rPr>
          <w:rStyle w:val="fontstyle01"/>
          <w:rFonts w:ascii="Times New Roman" w:hAnsi="Times New Roman" w:cs="Times New Roman"/>
          <w:sz w:val="20"/>
          <w:szCs w:val="20"/>
        </w:rPr>
        <w:t>, Ladwig K.H.</w:t>
      </w:r>
      <w:r>
        <w:rPr>
          <w:rStyle w:val="fontstyle01"/>
          <w:rFonts w:ascii="Times New Roman" w:hAnsi="Times New Roman" w:cs="Times New Roman"/>
          <w:sz w:val="20"/>
          <w:szCs w:val="20"/>
          <w:vertAlign w:val="superscript"/>
        </w:rPr>
        <w:t>1,3</w:t>
      </w:r>
      <w:r>
        <w:rPr>
          <w:rStyle w:val="fontstyle01"/>
          <w:rFonts w:ascii="Times New Roman" w:hAnsi="Times New Roman" w:cs="Times New Roman"/>
          <w:sz w:val="20"/>
          <w:szCs w:val="20"/>
        </w:rPr>
        <w:t>, Heier M</w:t>
      </w:r>
      <w:r>
        <w:rPr>
          <w:rStyle w:val="fontstyle01"/>
          <w:rFonts w:ascii="Times New Roman" w:hAnsi="Times New Roman" w:cs="Times New Roman"/>
          <w:sz w:val="20"/>
          <w:szCs w:val="20"/>
          <w:vertAlign w:val="superscript"/>
        </w:rPr>
        <w:t>1,4</w:t>
      </w:r>
      <w:r>
        <w:rPr>
          <w:rStyle w:val="fontstyle01"/>
          <w:rFonts w:ascii="Times New Roman" w:hAnsi="Times New Roman" w:cs="Times New Roman"/>
          <w:sz w:val="20"/>
          <w:szCs w:val="20"/>
        </w:rPr>
        <w:t>, Peters A</w:t>
      </w:r>
      <w:r>
        <w:rPr>
          <w:rStyle w:val="fontstyle01"/>
          <w:rFonts w:ascii="Times New Roman" w:hAnsi="Times New Roman" w:cs="Times New Roman"/>
          <w:sz w:val="20"/>
          <w:szCs w:val="20"/>
          <w:vertAlign w:val="superscript"/>
        </w:rPr>
        <w:t>1,2,5,6</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Institute of Epidemiology, Helmholtz Zentrum München, German Research Center for Environmental Health, Neuherberg, Germany.</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Institute for Medical Information Processing Biometry and Epidemiology (IBE), Ludwig-Maximilians-Universität München, Munich, Germany.</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Department for Psychosomatic Medicine and Psychotherapy, Klinikum Rechts der Isar, Technical University of Munich, Munich, Germany.</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KORA Study Centre, University Hospital of Augsburg, Augsburg, Germany.</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German Center for Cardiovascular Disease Research (DZHK), Munich Heart Alliance, Munich, Germany.</w:t>
      </w:r>
    </w:p>
    <w:p>
      <w:pPr>
        <w:pStyle w:val="ListParagraph"/>
        <w:numPr>
          <w:ilvl w:val="0"/>
          <w:numId w:val="1"/>
        </w:numPr>
        <w:suppressLineNumbers/>
        <w:shd w:val="clear" w:color="auto" w:fill="FFFFFF"/>
        <w:spacing w:after="0" w:line="480" w:lineRule="auto"/>
        <w:ind w:left="0"/>
        <w:jc w:val="both"/>
        <w:rPr>
          <w:rFonts w:ascii="Times New Roman" w:hAnsi="Times New Roman" w:cs="Times New Roman"/>
          <w:sz w:val="20"/>
          <w:szCs w:val="20"/>
        </w:rPr>
      </w:pPr>
      <w:r>
        <w:rPr>
          <w:rFonts w:ascii="Times New Roman" w:hAnsi="Times New Roman" w:cs="Times New Roman"/>
          <w:sz w:val="20"/>
          <w:szCs w:val="20"/>
        </w:rPr>
        <w:t>German Center for Diabetes Research (DZD), München-Neuherberg, Germany.</w:t>
      </w:r>
    </w:p>
    <w:p>
      <w:pPr>
        <w:spacing w:after="0" w:line="360" w:lineRule="auto"/>
        <w:jc w:val="both"/>
        <w:rPr>
          <w:rFonts w:ascii="Times New Roman" w:hAnsi="Times New Roman" w:cs="Times New Roman"/>
          <w:sz w:val="20"/>
          <w:szCs w:val="20"/>
        </w:rPr>
      </w:pPr>
    </w:p>
    <w:p>
      <w:pPr>
        <w:spacing w:after="0" w:line="360" w:lineRule="auto"/>
        <w:jc w:val="both"/>
        <w:rPr>
          <w:rFonts w:ascii="Times New Roman" w:hAnsi="Times New Roman" w:cs="Times New Roman"/>
          <w:sz w:val="20"/>
          <w:szCs w:val="20"/>
        </w:rPr>
      </w:pPr>
    </w:p>
    <w:p>
      <w:pPr>
        <w:spacing w:after="120" w:line="360" w:lineRule="auto"/>
        <w:jc w:val="both"/>
        <w:rPr>
          <w:rFonts w:ascii="Times New Roman" w:hAnsi="Times New Roman" w:cs="Times New Roman"/>
          <w:b/>
        </w:rPr>
      </w:pPr>
      <w:r>
        <w:rPr>
          <w:rFonts w:ascii="Times New Roman" w:hAnsi="Times New Roman" w:cs="Times New Roman"/>
          <w:b/>
        </w:rPr>
        <w:t xml:space="preserve">Journal: BMC Geriatrics </w:t>
      </w:r>
    </w:p>
    <w:p>
      <w:pPr>
        <w:spacing w:after="0" w:line="360" w:lineRule="auto"/>
        <w:jc w:val="both"/>
        <w:rPr>
          <w:rFonts w:ascii="Times New Roman" w:hAnsi="Times New Roman" w:cs="Times New Roman"/>
          <w:sz w:val="20"/>
          <w:szCs w:val="20"/>
        </w:rPr>
      </w:pPr>
    </w:p>
    <w:p>
      <w:pPr>
        <w:spacing w:after="0" w:line="360" w:lineRule="auto"/>
        <w:jc w:val="both"/>
        <w:rPr>
          <w:rFonts w:ascii="Times New Roman" w:hAnsi="Times New Roman" w:cs="Times New Roman"/>
          <w:sz w:val="20"/>
          <w:szCs w:val="20"/>
        </w:rPr>
      </w:pPr>
      <w:r>
        <w:rPr>
          <w:rFonts w:ascii="Times New Roman" w:hAnsi="Times New Roman" w:cs="Times New Roman"/>
          <w:sz w:val="20"/>
          <w:szCs w:val="20"/>
        </w:rPr>
        <w:t>§ Corresponding author</w:t>
      </w:r>
    </w:p>
    <w:p>
      <w:pPr>
        <w:spacing w:after="0" w:line="360" w:lineRule="auto"/>
        <w:jc w:val="both"/>
        <w:rPr>
          <w:rFonts w:ascii="Times New Roman" w:hAnsi="Times New Roman" w:cs="Times New Roman"/>
          <w:sz w:val="20"/>
          <w:szCs w:val="20"/>
        </w:rPr>
      </w:pPr>
      <w:r>
        <w:rPr>
          <w:rFonts w:ascii="Times New Roman" w:hAnsi="Times New Roman" w:cs="Times New Roman"/>
          <w:sz w:val="20"/>
          <w:szCs w:val="20"/>
        </w:rPr>
        <w:t>Ava Arshadipour,</w:t>
      </w:r>
    </w:p>
    <w:p>
      <w:pPr>
        <w:spacing w:after="0" w:line="360" w:lineRule="auto"/>
        <w:jc w:val="both"/>
        <w:rPr>
          <w:rFonts w:ascii="Times New Roman" w:hAnsi="Times New Roman" w:cs="Times New Roman"/>
          <w:sz w:val="20"/>
          <w:szCs w:val="20"/>
        </w:rPr>
      </w:pPr>
      <w:r>
        <w:rPr>
          <w:rFonts w:ascii="Times New Roman" w:hAnsi="Times New Roman" w:cs="Times New Roman"/>
          <w:sz w:val="20"/>
          <w:szCs w:val="20"/>
        </w:rPr>
        <w:t>Institute of Epidemiology, Helmholtz Zentrum München, German Research Center for Environmental Health, Ingolstädter Landstraße 1, 85764 Munich, Germany</w:t>
      </w:r>
    </w:p>
    <w:p>
      <w:pPr>
        <w:spacing w:after="0" w:line="360" w:lineRule="auto"/>
        <w:jc w:val="both"/>
        <w:rPr>
          <w:rFonts w:ascii="Times New Roman" w:hAnsi="Times New Roman" w:cs="Times New Roman"/>
          <w:sz w:val="20"/>
          <w:szCs w:val="20"/>
        </w:rPr>
      </w:pPr>
      <w:r>
        <w:rPr>
          <w:rFonts w:ascii="Times New Roman" w:hAnsi="Times New Roman" w:cs="Times New Roman"/>
          <w:sz w:val="20"/>
          <w:szCs w:val="20"/>
        </w:rPr>
        <w:t>Tel.: +49 89 3187-49281, +49 1777369163</w:t>
      </w:r>
    </w:p>
    <w:p>
      <w:pPr>
        <w:suppressLineNumbers/>
        <w:spacing w:line="480" w:lineRule="auto"/>
        <w:jc w:val="both"/>
        <w:rPr>
          <w:rFonts w:ascii="Times New Roman" w:hAnsi="Times New Roman" w:cs="Times New Roman"/>
          <w:sz w:val="20"/>
          <w:szCs w:val="20"/>
        </w:rPr>
      </w:pPr>
      <w:r>
        <w:rPr>
          <w:rFonts w:ascii="Times New Roman" w:hAnsi="Times New Roman" w:cs="Times New Roman"/>
          <w:sz w:val="20"/>
          <w:szCs w:val="20"/>
        </w:rPr>
        <w:t xml:space="preserve">Email: </w:t>
      </w:r>
      <w:hyperlink r:id="rId8" w:history="1">
        <w:r>
          <w:rPr>
            <w:rStyle w:val="Hyperlink"/>
            <w:rFonts w:ascii="Times New Roman" w:hAnsi="Times New Roman" w:cs="Times New Roman"/>
            <w:sz w:val="20"/>
            <w:szCs w:val="20"/>
          </w:rPr>
          <w:t>a.arshadipour@campus.lmu.de</w:t>
        </w:r>
      </w:hyperlink>
      <w:r>
        <w:rPr>
          <w:rFonts w:ascii="Times New Roman" w:hAnsi="Times New Roman" w:cs="Times New Roman"/>
          <w:sz w:val="20"/>
          <w:szCs w:val="20"/>
        </w:rPr>
        <w:t xml:space="preserve">, </w:t>
      </w:r>
      <w:hyperlink r:id="rId9" w:history="1">
        <w:r>
          <w:rPr>
            <w:rStyle w:val="Hyperlink"/>
            <w:rFonts w:ascii="Times New Roman" w:hAnsi="Times New Roman" w:cs="Times New Roman"/>
            <w:sz w:val="20"/>
            <w:szCs w:val="20"/>
          </w:rPr>
          <w:t>azam.arshadipour@helmholtz-muenchen.de</w:t>
        </w:r>
      </w:hyperlink>
      <w:r>
        <w:rPr>
          <w:rFonts w:ascii="Times New Roman" w:hAnsi="Times New Roman" w:cs="Times New Roman"/>
          <w:sz w:val="20"/>
          <w:szCs w:val="20"/>
        </w:rPr>
        <w:t xml:space="preserve"> </w:t>
      </w:r>
    </w:p>
    <w:p>
      <w:pPr>
        <w:pStyle w:val="Heading1"/>
        <w:shd w:val="clear" w:color="auto" w:fill="FFFFFF"/>
        <w:rPr>
          <w:rFonts w:asciiTheme="majorBidi" w:hAnsiTheme="majorBidi" w:cstheme="majorBidi"/>
          <w:color w:val="111111"/>
          <w:sz w:val="24"/>
          <w:szCs w:val="24"/>
        </w:rPr>
      </w:pPr>
      <w:r>
        <w:rPr>
          <w:rFonts w:asciiTheme="majorBidi" w:hAnsiTheme="majorBidi" w:cstheme="majorBidi"/>
          <w:color w:val="111111"/>
          <w:sz w:val="24"/>
          <w:szCs w:val="24"/>
        </w:rPr>
        <w:lastRenderedPageBreak/>
        <w:t xml:space="preserve">Figure S1. Predicted probability of MM stratified by birth phases and sex </w:t>
      </w:r>
    </w:p>
    <w:p>
      <w:pPr>
        <w:pStyle w:val="Heading1"/>
        <w:shd w:val="clear" w:color="auto" w:fill="FFFFFF"/>
        <w:rPr>
          <w:rFonts w:ascii="Arial" w:hAnsi="Arial" w:cs="Arial"/>
          <w:b w:val="0"/>
          <w:bCs w:val="0"/>
          <w:color w:val="333333"/>
          <w:sz w:val="21"/>
          <w:szCs w:val="21"/>
          <w:shd w:val="clear" w:color="auto" w:fill="FFFFFF"/>
        </w:rPr>
      </w:pPr>
      <w:r>
        <w:rPr>
          <w:rFonts w:ascii="Arial" w:hAnsi="Arial" w:cs="Arial"/>
          <w:b w:val="0"/>
          <w:bCs w:val="0"/>
          <w:noProof/>
          <w:color w:val="333333"/>
          <w:sz w:val="21"/>
          <w:szCs w:val="21"/>
          <w:shd w:val="clear" w:color="auto" w:fill="FFFFFF"/>
        </w:rPr>
        <w:drawing>
          <wp:inline distT="0" distB="0" distL="0" distR="0">
            <wp:extent cx="8368076" cy="4164594"/>
            <wp:effectExtent l="0" t="0" r="0" b="7620"/>
            <wp:docPr id="4" name="Picture 4" descr="C:\Users\azam.arshadipour\Desktop\Dell file 7 Nov 2020\Ava.25may2020\Ava\Thesis\comments\manuscript 20 oct\BMC Geriatics\sup fig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zam.arshadipour\Desktop\Dell file 7 Nov 2020\Ava.25may2020\Ava\Thesis\comments\manuscript 20 oct\BMC Geriatics\sup fig 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87168" cy="4174096"/>
                    </a:xfrm>
                    <a:prstGeom prst="rect">
                      <a:avLst/>
                    </a:prstGeom>
                    <a:noFill/>
                    <a:ln>
                      <a:noFill/>
                    </a:ln>
                  </pic:spPr>
                </pic:pic>
              </a:graphicData>
            </a:graphic>
          </wp:inline>
        </w:drawing>
      </w:r>
      <w:r>
        <w:rPr>
          <w:rFonts w:ascii="Arial" w:hAnsi="Arial" w:cs="Arial"/>
          <w:b w:val="0"/>
          <w:bCs w:val="0"/>
          <w:color w:val="333333"/>
          <w:sz w:val="21"/>
          <w:szCs w:val="21"/>
          <w:shd w:val="clear" w:color="auto" w:fill="FFFFFF"/>
        </w:rPr>
        <w:t xml:space="preserve"> </w:t>
      </w:r>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 xml:space="preserve">The interaction of sex and birth phases for predicted probability of MM based on multiple logistic regression adjusted for age, sex, education, alcohol use, physical activity, BMI, smoking behavior and cognitive status. </w:t>
      </w:r>
      <w:r>
        <w:rPr>
          <w:rFonts w:asciiTheme="majorBidi" w:hAnsiTheme="majorBidi" w:cstheme="majorBidi"/>
          <w:b w:val="0"/>
          <w:bCs w:val="0"/>
          <w:color w:val="111111"/>
          <w:sz w:val="20"/>
          <w:szCs w:val="20"/>
        </w:rPr>
        <w:t>There were no significant differences (p &lt;</w:t>
      </w:r>
      <w:r>
        <w:rPr>
          <w:rFonts w:asciiTheme="majorBidi" w:hAnsiTheme="majorBidi" w:cstheme="majorBidi"/>
          <w:b w:val="0"/>
          <w:bCs w:val="0"/>
          <w:color w:val="111111"/>
          <w:sz w:val="20"/>
          <w:szCs w:val="20"/>
        </w:rPr>
        <w:t xml:space="preserve"> 0</w:t>
      </w:r>
      <w:r>
        <w:rPr>
          <w:rFonts w:asciiTheme="majorBidi" w:hAnsiTheme="majorBidi" w:cstheme="majorBidi"/>
          <w:b w:val="0"/>
          <w:bCs w:val="0"/>
          <w:color w:val="111111"/>
          <w:sz w:val="20"/>
          <w:szCs w:val="20"/>
        </w:rPr>
        <w:t>.05) in all levels of birth phases between men and women.</w:t>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S2. Prevalence of multimorbidity and single chronic diseases stratified by sex for all participants (n=3,377) from KORA-Age 1 and KORA-Age 3. </w:t>
      </w:r>
    </w:p>
    <w:p>
      <w:pPr>
        <w:rPr>
          <w:rFonts w:asciiTheme="majorBidi" w:eastAsia="Times New Roman" w:hAnsiTheme="majorBidi" w:cstheme="majorBidi"/>
          <w:b/>
          <w:bCs/>
          <w:color w:val="111111"/>
          <w:kern w:val="36"/>
          <w:sz w:val="24"/>
          <w:szCs w:val="24"/>
        </w:rPr>
      </w:pPr>
      <w:r>
        <w:rPr>
          <w:noProof/>
        </w:rPr>
        <w:drawing>
          <wp:inline distT="0" distB="0" distL="0" distR="0">
            <wp:extent cx="7713980" cy="4109013"/>
            <wp:effectExtent l="0" t="0" r="1270" b="6350"/>
            <wp:docPr id="1" name="Chart 1">
              <a:extLst xmlns:a="http://schemas.openxmlformats.org/drawingml/2006/main">
                <a:ext uri="{FF2B5EF4-FFF2-40B4-BE49-F238E27FC236}">
                  <a16:creationId xmlns:a16="http://schemas.microsoft.com/office/drawing/2014/main" id="{52A175A2-F00F-4307-96B6-47E13C2C0D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S3. Dendrogram based on the hierarchical clustering of chronic diseases using the average linkage method and Yule-Q coefficient for men. </w:t>
      </w:r>
    </w:p>
    <w:p>
      <w:pPr>
        <w:rPr>
          <w:rFonts w:asciiTheme="majorBidi" w:hAnsiTheme="majorBidi" w:cstheme="majorBidi"/>
        </w:rPr>
      </w:pPr>
      <w:r>
        <w:rPr>
          <w:rFonts w:asciiTheme="majorBidi" w:hAnsiTheme="majorBidi" w:cstheme="majorBidi"/>
          <w:noProof/>
        </w:rPr>
        <w:drawing>
          <wp:inline distT="0" distB="0" distL="0" distR="0">
            <wp:extent cx="8052635" cy="4332849"/>
            <wp:effectExtent l="0" t="0" r="5715" b="0"/>
            <wp:docPr id="7" name="Picture 7" descr="C:\Users\azam.arshadipour\Desktop\Dell file 7 Nov 2020\Ava.25may2020\Ava\Thesis\comments\manuscript 20 oct\figures\final figures\ad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zam.arshadipour\Desktop\Dell file 7 Nov 2020\Ava.25may2020\Ava\Thesis\comments\manuscript 20 oct\figures\final figures\add 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96260" cy="4356322"/>
                    </a:xfrm>
                    <a:prstGeom prst="rect">
                      <a:avLst/>
                    </a:prstGeom>
                    <a:noFill/>
                    <a:ln>
                      <a:noFill/>
                    </a:ln>
                  </pic:spPr>
                </pic:pic>
              </a:graphicData>
            </a:graphic>
          </wp:inline>
        </w:drawing>
      </w:r>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T</w:t>
      </w:r>
      <w:r>
        <w:rPr>
          <w:rFonts w:asciiTheme="majorBidi" w:hAnsiTheme="majorBidi" w:cstheme="majorBidi"/>
          <w:b w:val="0"/>
          <w:bCs w:val="0"/>
          <w:color w:val="111111"/>
          <w:sz w:val="20"/>
          <w:szCs w:val="20"/>
        </w:rPr>
        <w:t>he threshold (dotted line. h=0.7) was used to specify three main clusters.</w:t>
      </w:r>
    </w:p>
    <w:p>
      <w:pPr>
        <w:rPr>
          <w:rFonts w:asciiTheme="majorBidi" w:hAnsiTheme="majorBidi" w:cstheme="majorBidi"/>
        </w:rPr>
      </w:pP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S4. Dendrogram based on the hierarchical clustering of chronic diseases using the average linkage method and Yule-Q coefficient for women. </w:t>
      </w: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noProof/>
          <w:color w:val="111111"/>
          <w:kern w:val="36"/>
          <w:sz w:val="24"/>
          <w:szCs w:val="24"/>
        </w:rPr>
        <w:drawing>
          <wp:inline distT="0" distB="0" distL="0" distR="0">
            <wp:extent cx="6896746" cy="4518769"/>
            <wp:effectExtent l="0" t="0" r="0" b="0"/>
            <wp:docPr id="8" name="Picture 8" descr="C:\Users\azam.arshadipour\Desktop\Dell file 7 Nov 2020\Ava.25may2020\Ava\Thesis\comments\manuscript 20 oct\figures\final figures\ad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zam.arshadipour\Desktop\Dell file 7 Nov 2020\Ava.25may2020\Ava\Thesis\comments\manuscript 20 oct\figures\final figures\add 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46138" cy="4551131"/>
                    </a:xfrm>
                    <a:prstGeom prst="rect">
                      <a:avLst/>
                    </a:prstGeom>
                    <a:noFill/>
                    <a:ln>
                      <a:noFill/>
                    </a:ln>
                  </pic:spPr>
                </pic:pic>
              </a:graphicData>
            </a:graphic>
          </wp:inline>
        </w:drawing>
      </w:r>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T</w:t>
      </w:r>
      <w:r>
        <w:rPr>
          <w:rFonts w:asciiTheme="majorBidi" w:hAnsiTheme="majorBidi" w:cstheme="majorBidi"/>
          <w:b w:val="0"/>
          <w:bCs w:val="0"/>
          <w:color w:val="111111"/>
          <w:sz w:val="20"/>
          <w:szCs w:val="20"/>
        </w:rPr>
        <w:t>he threshold (dotted line. h=0.7) was used to specify three main clusters.</w:t>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S5. Dendrogram based on the hierarchical clustering of chronic diseases without hypertension for all participants using average linkage method and Yule-Q coefficient (Sensitivity analysis). </w:t>
      </w:r>
    </w:p>
    <w:p>
      <w:pPr>
        <w:rPr>
          <w:rFonts w:asciiTheme="majorBidi" w:eastAsia="Times New Roman" w:hAnsiTheme="majorBidi" w:cstheme="majorBidi"/>
          <w:b/>
          <w:bCs/>
          <w:color w:val="111111"/>
          <w:kern w:val="36"/>
          <w:sz w:val="24"/>
          <w:szCs w:val="24"/>
        </w:rPr>
      </w:pPr>
      <w:bookmarkStart w:id="0" w:name="_GoBack"/>
      <w:r>
        <w:rPr>
          <w:rFonts w:asciiTheme="majorBidi" w:eastAsia="Times New Roman" w:hAnsiTheme="majorBidi" w:cstheme="majorBidi"/>
          <w:b/>
          <w:bCs/>
          <w:noProof/>
          <w:color w:val="111111"/>
          <w:kern w:val="36"/>
          <w:sz w:val="24"/>
          <w:szCs w:val="24"/>
        </w:rPr>
        <w:drawing>
          <wp:inline distT="0" distB="0" distL="0" distR="0">
            <wp:extent cx="5501640" cy="4214256"/>
            <wp:effectExtent l="0" t="0" r="3810" b="0"/>
            <wp:docPr id="2" name="Picture 2" descr="C:\Users\azam.arshadipour\Desktop\Dell file 7 Nov 2020\Ava.25may2020\Thesis\comments\manuscript 20 oct\Europian journal of Epi files\Figures in jpg format\Additional 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zam.arshadipour\Desktop\Dell file 7 Nov 2020\Ava.25may2020\Thesis\comments\manuscript 20 oct\Europian journal of Epi files\Figures in jpg format\Additional figure 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11606" cy="4221890"/>
                    </a:xfrm>
                    <a:prstGeom prst="rect">
                      <a:avLst/>
                    </a:prstGeom>
                    <a:noFill/>
                    <a:ln>
                      <a:noFill/>
                    </a:ln>
                  </pic:spPr>
                </pic:pic>
              </a:graphicData>
            </a:graphic>
          </wp:inline>
        </w:drawing>
      </w:r>
      <w:bookmarkEnd w:id="0"/>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T</w:t>
      </w:r>
      <w:r>
        <w:rPr>
          <w:rFonts w:asciiTheme="majorBidi" w:hAnsiTheme="majorBidi" w:cstheme="majorBidi"/>
          <w:b w:val="0"/>
          <w:bCs w:val="0"/>
          <w:color w:val="111111"/>
          <w:sz w:val="20"/>
          <w:szCs w:val="20"/>
        </w:rPr>
        <w:t>he threshold (dotted line. h=0.7) was used to specify three main clusters.</w:t>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S6. Dendrogram based on the hierarchical clustering of chronic diseases for all participants using the single linkage method and Yule-Q coefficient (sensitivity analysis). </w:t>
      </w: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noProof/>
          <w:color w:val="111111"/>
          <w:kern w:val="36"/>
          <w:sz w:val="24"/>
          <w:szCs w:val="24"/>
        </w:rPr>
        <w:drawing>
          <wp:inline distT="0" distB="0" distL="0" distR="0">
            <wp:extent cx="6617776" cy="4284856"/>
            <wp:effectExtent l="0" t="0" r="0" b="1905"/>
            <wp:docPr id="10" name="Picture 10" descr="C:\Users\azam.arshadipour\Desktop\Dell file 7 Nov 2020\Ava.25may2020\Ava\Thesis\comments\manuscript 20 oct\figures\final figures\add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zam.arshadipour\Desktop\Dell file 7 Nov 2020\Ava.25may2020\Ava\Thesis\comments\manuscript 20 oct\figures\final figures\add 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8602" cy="4304815"/>
                    </a:xfrm>
                    <a:prstGeom prst="rect">
                      <a:avLst/>
                    </a:prstGeom>
                    <a:noFill/>
                    <a:ln>
                      <a:noFill/>
                    </a:ln>
                  </pic:spPr>
                </pic:pic>
              </a:graphicData>
            </a:graphic>
          </wp:inline>
        </w:drawing>
      </w:r>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T</w:t>
      </w:r>
      <w:r>
        <w:rPr>
          <w:rFonts w:asciiTheme="majorBidi" w:hAnsiTheme="majorBidi" w:cstheme="majorBidi"/>
          <w:b w:val="0"/>
          <w:bCs w:val="0"/>
          <w:color w:val="111111"/>
          <w:sz w:val="20"/>
          <w:szCs w:val="20"/>
        </w:rPr>
        <w:t>he threshold (dotted line. h=0.7) was used to specify three main clusters.</w:t>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 xml:space="preserve">Figure S7. Dendrogram based on the hierarchical clustering of chronic diseases for all participants using Ward.d linkage method and Yule-Q coefficient (sensitivity analysis). </w:t>
      </w:r>
      <w:r>
        <w:rPr>
          <w:rFonts w:asciiTheme="majorBidi" w:eastAsia="Times New Roman" w:hAnsiTheme="majorBidi" w:cstheme="majorBidi"/>
          <w:b/>
          <w:bCs/>
          <w:noProof/>
          <w:color w:val="111111"/>
          <w:kern w:val="36"/>
          <w:sz w:val="24"/>
          <w:szCs w:val="24"/>
        </w:rPr>
        <w:drawing>
          <wp:inline distT="0" distB="0" distL="0" distR="0">
            <wp:extent cx="6617776" cy="4152384"/>
            <wp:effectExtent l="0" t="0" r="0" b="635"/>
            <wp:docPr id="17" name="Picture 17" descr="C:\Users\azam.arshadipour\Desktop\Dell file 7 Nov 2020\Ava.25may2020\Ava\Thesis\comments\manuscript 20 oct\figures\final figures\Add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zam.arshadipour\Desktop\Dell file 7 Nov 2020\Ava.25may2020\Ava\Thesis\comments\manuscript 20 oct\figures\final figures\Add 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0576" cy="4179239"/>
                    </a:xfrm>
                    <a:prstGeom prst="rect">
                      <a:avLst/>
                    </a:prstGeom>
                    <a:noFill/>
                    <a:ln>
                      <a:noFill/>
                    </a:ln>
                  </pic:spPr>
                </pic:pic>
              </a:graphicData>
            </a:graphic>
          </wp:inline>
        </w:drawing>
      </w:r>
    </w:p>
    <w:p>
      <w:pPr>
        <w:rPr>
          <w:rFonts w:asciiTheme="majorBidi" w:eastAsia="Times New Roman" w:hAnsiTheme="majorBidi" w:cstheme="majorBidi"/>
          <w:b/>
          <w:bCs/>
          <w:color w:val="111111"/>
          <w:kern w:val="36"/>
          <w:sz w:val="24"/>
          <w:szCs w:val="24"/>
        </w:rPr>
      </w:pPr>
    </w:p>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T</w:t>
      </w:r>
      <w:r>
        <w:rPr>
          <w:rFonts w:asciiTheme="majorBidi" w:hAnsiTheme="majorBidi" w:cstheme="majorBidi"/>
          <w:b w:val="0"/>
          <w:bCs w:val="0"/>
          <w:color w:val="111111"/>
          <w:sz w:val="20"/>
          <w:szCs w:val="20"/>
        </w:rPr>
        <w:t>he threshold (dotted line. h=0.7) was used to specify three main clusters.</w:t>
      </w:r>
    </w:p>
    <w:p>
      <w:pPr>
        <w:rPr>
          <w:rFonts w:asciiTheme="majorBidi" w:eastAsia="Times New Roman" w:hAnsiTheme="majorBidi" w:cstheme="majorBidi"/>
          <w:b/>
          <w:bCs/>
          <w:color w:val="111111"/>
          <w:kern w:val="36"/>
          <w:sz w:val="24"/>
          <w:szCs w:val="24"/>
        </w:rPr>
      </w:pPr>
    </w:p>
    <w:p>
      <w:pPr>
        <w:rPr>
          <w:rFonts w:asciiTheme="majorBidi" w:eastAsia="Times New Roman" w:hAnsiTheme="majorBidi" w:cstheme="majorBidi"/>
          <w:b/>
          <w:bCs/>
          <w:color w:val="111111"/>
          <w:kern w:val="36"/>
          <w:sz w:val="24"/>
          <w:szCs w:val="24"/>
        </w:rPr>
      </w:pPr>
      <w:r>
        <w:rPr>
          <w:rFonts w:asciiTheme="majorBidi" w:eastAsia="Times New Roman" w:hAnsiTheme="majorBidi" w:cstheme="majorBidi"/>
          <w:b/>
          <w:bCs/>
          <w:color w:val="111111"/>
          <w:kern w:val="36"/>
          <w:sz w:val="24"/>
          <w:szCs w:val="24"/>
        </w:rPr>
        <w:lastRenderedPageBreak/>
        <w:t>Table S1. The number of chronic diseases stratified by sex and birth phase variable for the whole data from KORA-Age 1 and Kora-Age 3.</w:t>
      </w:r>
    </w:p>
    <w:tbl>
      <w:tblPr>
        <w:tblW w:w="15223" w:type="dxa"/>
        <w:jc w:val="center"/>
        <w:tblLook w:val="04A0" w:firstRow="1" w:lastRow="0" w:firstColumn="1" w:lastColumn="0" w:noHBand="0" w:noVBand="1"/>
      </w:tblPr>
      <w:tblGrid>
        <w:gridCol w:w="815"/>
        <w:gridCol w:w="876"/>
        <w:gridCol w:w="824"/>
        <w:gridCol w:w="1038"/>
        <w:gridCol w:w="786"/>
        <w:gridCol w:w="786"/>
        <w:gridCol w:w="786"/>
        <w:gridCol w:w="786"/>
        <w:gridCol w:w="786"/>
        <w:gridCol w:w="786"/>
        <w:gridCol w:w="786"/>
        <w:gridCol w:w="726"/>
        <w:gridCol w:w="726"/>
        <w:gridCol w:w="786"/>
        <w:gridCol w:w="786"/>
        <w:gridCol w:w="786"/>
        <w:gridCol w:w="786"/>
        <w:gridCol w:w="786"/>
        <w:gridCol w:w="786"/>
      </w:tblGrid>
      <w:tr>
        <w:trPr>
          <w:trHeight w:val="734"/>
          <w:jc w:val="center"/>
        </w:trPr>
        <w:tc>
          <w:tcPr>
            <w:tcW w:w="8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Number of diseases</w:t>
            </w:r>
          </w:p>
        </w:tc>
        <w:tc>
          <w:tcPr>
            <w:tcW w:w="273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Total</w:t>
            </w:r>
          </w:p>
        </w:tc>
        <w:tc>
          <w:tcPr>
            <w:tcW w:w="235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Phase 1</w:t>
            </w:r>
          </w:p>
        </w:tc>
        <w:tc>
          <w:tcPr>
            <w:tcW w:w="235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Phase 2</w:t>
            </w:r>
          </w:p>
        </w:tc>
        <w:tc>
          <w:tcPr>
            <w:tcW w:w="223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Phase 3</w:t>
            </w:r>
          </w:p>
        </w:tc>
        <w:tc>
          <w:tcPr>
            <w:tcW w:w="235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Phase 4</w:t>
            </w:r>
          </w:p>
        </w:tc>
        <w:tc>
          <w:tcPr>
            <w:tcW w:w="2358" w:type="dxa"/>
            <w:gridSpan w:val="3"/>
            <w:tcBorders>
              <w:top w:val="single" w:sz="4" w:space="0" w:color="auto"/>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8"/>
                <w:szCs w:val="18"/>
              </w:rPr>
            </w:pPr>
            <w:r>
              <w:rPr>
                <w:rFonts w:asciiTheme="majorBidi" w:eastAsia="Times New Roman" w:hAnsiTheme="majorBidi" w:cstheme="majorBidi"/>
                <w:sz w:val="18"/>
                <w:szCs w:val="18"/>
              </w:rPr>
              <w:t>Phase 5</w:t>
            </w:r>
          </w:p>
        </w:tc>
      </w:tr>
      <w:tr>
        <w:trPr>
          <w:trHeight w:val="796"/>
          <w:jc w:val="center"/>
        </w:trPr>
        <w:tc>
          <w:tcPr>
            <w:tcW w:w="815" w:type="dxa"/>
            <w:vMerge/>
            <w:tcBorders>
              <w:top w:val="single" w:sz="4" w:space="0" w:color="auto"/>
              <w:left w:val="single" w:sz="4" w:space="0" w:color="auto"/>
              <w:bottom w:val="single" w:sz="4" w:space="0" w:color="auto"/>
              <w:right w:val="single" w:sz="4" w:space="0" w:color="auto"/>
            </w:tcBorders>
            <w:vAlign w:val="center"/>
            <w:hideMark/>
          </w:tcPr>
          <w:p>
            <w:pPr>
              <w:spacing w:after="0" w:line="240" w:lineRule="auto"/>
              <w:jc w:val="center"/>
              <w:rPr>
                <w:rFonts w:asciiTheme="majorBidi" w:eastAsia="Times New Roman" w:hAnsiTheme="majorBidi" w:cstheme="majorBidi"/>
                <w:sz w:val="14"/>
                <w:szCs w:val="14"/>
              </w:rPr>
            </w:pP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(3,377)</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(1,616)</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(1,761)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(684)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(327)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(357)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(1,236)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(608)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(628)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(283)</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(136)</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(147)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(574)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(267)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(307)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Total (600)</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Male (278)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Female (322)</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0</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638 (18.9%)</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312 (19.3%)</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326 (18.5%)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112 (16.4%)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56 (17.1%)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56 (15.7%)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243 (19.7%)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128 (21.1%)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115 (18.3%)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42 (14.8%)</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21 (15.4%)</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21 (14.3%)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97 (16.9%)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38 (14.2%)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59 (19.2%)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144 (24%)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69 (24.8%)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75 (23.3%)</w:t>
            </w:r>
          </w:p>
        </w:tc>
      </w:tr>
      <w:tr>
        <w:trPr>
          <w:trHeight w:val="796"/>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1</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1,072 (31.7%)</w:t>
            </w:r>
          </w:p>
        </w:tc>
        <w:tc>
          <w:tcPr>
            <w:tcW w:w="824"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516 (31.9%)</w:t>
            </w:r>
          </w:p>
        </w:tc>
        <w:tc>
          <w:tcPr>
            <w:tcW w:w="1038"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556 (31.6%)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202 (29.5%)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99 (30.3%)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103 (28.9%)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432 (35%)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207 (34%)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225 (35.8%)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65 (23%)</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30 (22.1%)</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35 (23.8%)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167 (29.1%)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90 (33.7%)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77 (25.1%)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206 (34.3%)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90 (32.4%)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116 (36.0%)</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2</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873 (25.9%)</w:t>
            </w:r>
          </w:p>
        </w:tc>
        <w:tc>
          <w:tcPr>
            <w:tcW w:w="824"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404 (25.0%)</w:t>
            </w:r>
          </w:p>
        </w:tc>
        <w:tc>
          <w:tcPr>
            <w:tcW w:w="1038"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469 (26.6%)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186 (27.2%)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84 (25.7%)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102 (28.6%)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311 (25.2%)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149 (24.5%)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162 (25.8%)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85 (30%)</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41 (30.1%)</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44 (29.9%)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151 (26.3%)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71 (26.6%)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80 (26.1%)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140 (23.3%)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59 (21.2%)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81 (25.2%)</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&gt;=2 (Multi</w:t>
            </w:r>
          </w:p>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morbidity)</w:t>
            </w:r>
          </w:p>
        </w:tc>
        <w:tc>
          <w:tcPr>
            <w:tcW w:w="87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1,667 (49.4%)</w:t>
            </w:r>
          </w:p>
        </w:tc>
        <w:tc>
          <w:tcPr>
            <w:tcW w:w="824" w:type="dxa"/>
            <w:tcBorders>
              <w:top w:val="nil"/>
              <w:left w:val="nil"/>
              <w:bottom w:val="single" w:sz="4" w:space="0" w:color="auto"/>
              <w:right w:val="single" w:sz="4" w:space="0" w:color="auto"/>
            </w:tcBorders>
            <w:shd w:val="clear" w:color="auto" w:fill="auto"/>
            <w:noWrap/>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788 (48.8%)</w:t>
            </w:r>
          </w:p>
        </w:tc>
        <w:tc>
          <w:tcPr>
            <w:tcW w:w="1038" w:type="dxa"/>
            <w:tcBorders>
              <w:top w:val="nil"/>
              <w:left w:val="nil"/>
              <w:bottom w:val="single" w:sz="4" w:space="0" w:color="auto"/>
              <w:right w:val="single" w:sz="4" w:space="0" w:color="auto"/>
            </w:tcBorders>
            <w:shd w:val="clear" w:color="auto" w:fill="auto"/>
            <w:noWrap/>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879 (49.9%)</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370 (54.1%)</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172 (52.6%)</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198 (55.5%)</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561 (45.4%)</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273 (44.9%)</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288 (45.9%)</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176 (62.2%)</w:t>
            </w:r>
          </w:p>
        </w:tc>
        <w:tc>
          <w:tcPr>
            <w:tcW w:w="72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85 (62.5%)</w:t>
            </w:r>
          </w:p>
        </w:tc>
        <w:tc>
          <w:tcPr>
            <w:tcW w:w="72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91 (61.9%)</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310 (54%)</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139 (52.1%)</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171 (55.7%)</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250 (41.7%)</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119 (42.8%)</w:t>
            </w:r>
          </w:p>
        </w:tc>
        <w:tc>
          <w:tcPr>
            <w:tcW w:w="786" w:type="dxa"/>
            <w:tcBorders>
              <w:top w:val="nil"/>
              <w:left w:val="nil"/>
              <w:bottom w:val="single" w:sz="4" w:space="0" w:color="auto"/>
              <w:right w:val="single" w:sz="4" w:space="0" w:color="auto"/>
            </w:tcBorders>
            <w:shd w:val="clear" w:color="auto" w:fill="auto"/>
            <w:vAlign w:val="center"/>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131 (40.7%)</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&gt;=3</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794 (23.5%)</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384 (23.8%)</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410 (23.3%)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184 (26.9%)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88 (26.9%)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96 (26.9%)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250 (20.2%)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124 (20.4%)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126 (20.1%)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91 (32.2%)</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44 (32.4%)</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47 (32%)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159 (27.7%)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68 (25.5%)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91 (26.9%)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110 (18.3%)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60 (21.6%)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50 (15.5%)</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&gt;=4</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320 (9.5%)</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147 (9.1%)</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173 (9.8%)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78 (11.4%)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37 (11.3%)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41 (11.5%)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104 (8.4%)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48 (7.9%)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56 (8.9%)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35 (12.4%)</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16 (11.8%)</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19 (12.9%)</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62 (10.8%)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25 (9.4%)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37 (12.1%)</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41 (6.8%)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21 (7.6%)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20 (6.2%)</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&gt;=5</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124 (3.7%)</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57 (3.5%)</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67 (3.8%)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30 (4.4%)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 (3.7%)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18 (5%)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44 (3.6%)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22 (3.6%)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22 (3.5%)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17 (6%)</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 (6.6%)</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 (5.4%)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21 (3.7%)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 (3.7%)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 (3.6%)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 (2%)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 (1.4%)</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 (2.5%)</w:t>
            </w:r>
          </w:p>
        </w:tc>
      </w:tr>
      <w:tr>
        <w:trPr>
          <w:trHeight w:val="734"/>
          <w:jc w:val="center"/>
        </w:trPr>
        <w:tc>
          <w:tcPr>
            <w:tcW w:w="815" w:type="dxa"/>
            <w:tcBorders>
              <w:top w:val="nil"/>
              <w:left w:val="single" w:sz="4" w:space="0" w:color="auto"/>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4"/>
                <w:szCs w:val="14"/>
              </w:rPr>
            </w:pPr>
            <w:r>
              <w:rPr>
                <w:rFonts w:asciiTheme="majorBidi" w:eastAsia="Times New Roman" w:hAnsiTheme="majorBidi" w:cstheme="majorBidi"/>
                <w:sz w:val="14"/>
                <w:szCs w:val="14"/>
              </w:rPr>
              <w:t>&gt;=6</w:t>
            </w:r>
          </w:p>
        </w:tc>
        <w:tc>
          <w:tcPr>
            <w:tcW w:w="87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50 (1.5%)</w:t>
            </w:r>
          </w:p>
        </w:tc>
        <w:tc>
          <w:tcPr>
            <w:tcW w:w="824"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24 (1.5%)</w:t>
            </w:r>
          </w:p>
        </w:tc>
        <w:tc>
          <w:tcPr>
            <w:tcW w:w="1038"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26 (1.5%)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12 (1.8%)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 (1.2%)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8 (2.2%)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21 (1.7%)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11 (1.8%)</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10 (1.6%)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6 (2.1%)</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 (2.2%)</w:t>
            </w:r>
          </w:p>
        </w:tc>
        <w:tc>
          <w:tcPr>
            <w:tcW w:w="72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3 (2%)</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9 (1.6%)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4 (1.5%)</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5 (1.6%)</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 (0.3%)</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2 (0.7%)</w:t>
            </w:r>
          </w:p>
        </w:tc>
        <w:tc>
          <w:tcPr>
            <w:tcW w:w="786" w:type="dxa"/>
            <w:tcBorders>
              <w:top w:val="nil"/>
              <w:left w:val="nil"/>
              <w:bottom w:val="single" w:sz="4" w:space="0" w:color="auto"/>
              <w:right w:val="single" w:sz="4" w:space="0" w:color="auto"/>
            </w:tcBorders>
            <w:shd w:val="clear" w:color="auto" w:fill="auto"/>
            <w:vAlign w:val="center"/>
            <w:hideMark/>
          </w:tcPr>
          <w:p>
            <w:pPr>
              <w:spacing w:after="0" w:line="240" w:lineRule="auto"/>
              <w:jc w:val="center"/>
              <w:rPr>
                <w:rFonts w:asciiTheme="majorBidi" w:eastAsia="Times New Roman" w:hAnsiTheme="majorBidi" w:cstheme="majorBidi"/>
                <w:sz w:val="12"/>
                <w:szCs w:val="12"/>
              </w:rPr>
            </w:pPr>
            <w:r>
              <w:rPr>
                <w:rFonts w:asciiTheme="majorBidi" w:eastAsia="Times New Roman" w:hAnsiTheme="majorBidi" w:cstheme="majorBidi"/>
                <w:sz w:val="12"/>
                <w:szCs w:val="12"/>
              </w:rPr>
              <w:t>0 (0.0%)</w:t>
            </w:r>
          </w:p>
        </w:tc>
      </w:tr>
    </w:tbl>
    <w:p>
      <w:pPr>
        <w:rPr>
          <w:rFonts w:asciiTheme="majorBidi" w:hAnsiTheme="majorBidi" w:cstheme="majorBidi"/>
        </w:rPr>
      </w:pPr>
      <w:r>
        <w:rPr>
          <w:rFonts w:asciiTheme="majorBidi" w:eastAsia="Times New Roman" w:hAnsiTheme="majorBidi" w:cstheme="majorBidi"/>
          <w:color w:val="111111"/>
          <w:kern w:val="36"/>
          <w:sz w:val="20"/>
          <w:szCs w:val="20"/>
        </w:rPr>
        <w:t>Phases were defined based on participant’s critical developmental age (prenatal gestation or the first two years of life) and the World War II situation in Germany. Phase 1: pre-War; Phase 2: Early War; Phase 3: Late War; Phase 4: Famine; Phase 5: After famine.</w:t>
      </w:r>
    </w:p>
    <w:p>
      <w:pPr>
        <w:rPr>
          <w:rFonts w:asciiTheme="majorBidi" w:hAnsiTheme="majorBidi" w:cstheme="majorBidi"/>
        </w:rPr>
      </w:pPr>
    </w:p>
    <w:p>
      <w:pPr>
        <w:rPr>
          <w:rFonts w:asciiTheme="majorBidi" w:eastAsia="Times New Roman" w:hAnsiTheme="majorBidi" w:cstheme="majorBidi"/>
          <w:b/>
          <w:bCs/>
          <w:color w:val="111111"/>
          <w:kern w:val="36"/>
          <w:sz w:val="24"/>
          <w:szCs w:val="24"/>
        </w:rPr>
      </w:pPr>
      <w:r>
        <w:rPr>
          <w:rFonts w:asciiTheme="majorBidi" w:hAnsiTheme="majorBidi" w:cstheme="majorBidi"/>
        </w:rPr>
        <w:lastRenderedPageBreak/>
        <w:t xml:space="preserve"> </w:t>
      </w:r>
      <w:r>
        <w:rPr>
          <w:rFonts w:asciiTheme="majorBidi" w:eastAsia="Times New Roman" w:hAnsiTheme="majorBidi" w:cstheme="majorBidi"/>
          <w:b/>
          <w:bCs/>
          <w:color w:val="111111"/>
          <w:kern w:val="36"/>
          <w:sz w:val="24"/>
          <w:szCs w:val="24"/>
        </w:rPr>
        <w:t>Table S2. Hierarchical Logistic regression for multimorbidity without hypertension (Sensitivity analysis)</w:t>
      </w:r>
    </w:p>
    <w:tbl>
      <w:tblPr>
        <w:tblW w:w="12195" w:type="dxa"/>
        <w:tblInd w:w="-5" w:type="dxa"/>
        <w:tblLook w:val="04A0" w:firstRow="1" w:lastRow="0" w:firstColumn="1" w:lastColumn="0" w:noHBand="0" w:noVBand="1"/>
      </w:tblPr>
      <w:tblGrid>
        <w:gridCol w:w="4108"/>
        <w:gridCol w:w="1369"/>
        <w:gridCol w:w="1867"/>
        <w:gridCol w:w="1786"/>
        <w:gridCol w:w="1466"/>
        <w:gridCol w:w="1599"/>
      </w:tblGrid>
      <w:tr>
        <w:trPr>
          <w:trHeight w:val="323"/>
        </w:trPr>
        <w:tc>
          <w:tcPr>
            <w:tcW w:w="547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characteristics</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model 1</w:t>
            </w:r>
          </w:p>
        </w:tc>
        <w:tc>
          <w:tcPr>
            <w:tcW w:w="1786"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model 2</w:t>
            </w:r>
          </w:p>
        </w:tc>
        <w:tc>
          <w:tcPr>
            <w:tcW w:w="1466"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model 3</w:t>
            </w:r>
          </w:p>
        </w:tc>
        <w:tc>
          <w:tcPr>
            <w:tcW w:w="1599"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model 4</w:t>
            </w:r>
          </w:p>
        </w:tc>
      </w:tr>
      <w:tr>
        <w:trPr>
          <w:trHeight w:val="323"/>
        </w:trPr>
        <w:tc>
          <w:tcPr>
            <w:tcW w:w="547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age</w:t>
            </w:r>
          </w:p>
        </w:tc>
        <w:tc>
          <w:tcPr>
            <w:tcW w:w="1867"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1.11 (0.95-1.15)</w:t>
            </w:r>
          </w:p>
        </w:tc>
        <w:tc>
          <w:tcPr>
            <w:tcW w:w="178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 </w:t>
            </w:r>
          </w:p>
        </w:tc>
        <w:tc>
          <w:tcPr>
            <w:tcW w:w="146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1.10 (0.96-1.15)</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1.10 (0.96-1.15)</w:t>
            </w:r>
          </w:p>
        </w:tc>
      </w:tr>
      <w:tr>
        <w:trPr>
          <w:trHeight w:val="524"/>
        </w:trPr>
        <w:tc>
          <w:tcPr>
            <w:tcW w:w="4108" w:type="dxa"/>
            <w:vMerge w:val="restart"/>
            <w:tcBorders>
              <w:top w:val="nil"/>
              <w:left w:val="single" w:sz="4" w:space="0" w:color="auto"/>
              <w:bottom w:val="single" w:sz="4" w:space="0" w:color="000000"/>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Birth phases (ref: Phase 5)</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Phase 1</w:t>
            </w:r>
          </w:p>
        </w:tc>
        <w:tc>
          <w:tcPr>
            <w:tcW w:w="1867" w:type="dxa"/>
            <w:vMerge w:val="restart"/>
            <w:tcBorders>
              <w:top w:val="nil"/>
              <w:left w:val="single" w:sz="4" w:space="0" w:color="auto"/>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 </w:t>
            </w:r>
          </w:p>
        </w:tc>
        <w:tc>
          <w:tcPr>
            <w:tcW w:w="178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1.64 (1.28-2.09)</w:t>
            </w:r>
          </w:p>
        </w:tc>
        <w:tc>
          <w:tcPr>
            <w:tcW w:w="146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1.44 (0.96-2.16)</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1.64 (1.07-2.49)</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Phase 2</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1.21 (0.96-1.52)</w:t>
            </w:r>
          </w:p>
        </w:tc>
        <w:tc>
          <w:tcPr>
            <w:tcW w:w="146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1.17 (0.92-1.49)</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1.21 (0.94-1.56)</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Phase 3</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2.3 (1.69-3.1)</w:t>
            </w:r>
          </w:p>
        </w:tc>
        <w:tc>
          <w:tcPr>
            <w:tcW w:w="146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1.98 (1.22-3.19)</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2.14 (1.29-3.52)</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Phase 4</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1.68 (1.30-2.17)</w:t>
            </w:r>
          </w:p>
        </w:tc>
        <w:tc>
          <w:tcPr>
            <w:tcW w:w="1466"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1.56 (1.12-2.15)</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1.52 (1.08-2.14)</w:t>
            </w:r>
          </w:p>
        </w:tc>
      </w:tr>
      <w:tr>
        <w:trPr>
          <w:trHeight w:val="323"/>
        </w:trPr>
        <w:tc>
          <w:tcPr>
            <w:tcW w:w="4108" w:type="dxa"/>
            <w:tcBorders>
              <w:top w:val="nil"/>
              <w:left w:val="single" w:sz="4" w:space="0" w:color="auto"/>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Female (ref: male)</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 </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val="restart"/>
            <w:tcBorders>
              <w:top w:val="nil"/>
              <w:left w:val="single" w:sz="4" w:space="0" w:color="auto"/>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 </w:t>
            </w:r>
          </w:p>
        </w:tc>
        <w:tc>
          <w:tcPr>
            <w:tcW w:w="1466" w:type="dxa"/>
            <w:vMerge w:val="restart"/>
            <w:tcBorders>
              <w:top w:val="nil"/>
              <w:left w:val="single" w:sz="4" w:space="0" w:color="auto"/>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 </w:t>
            </w: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0.91 (0.75-1.08)</w:t>
            </w:r>
          </w:p>
        </w:tc>
      </w:tr>
      <w:tr>
        <w:trPr>
          <w:trHeight w:val="323"/>
        </w:trPr>
        <w:tc>
          <w:tcPr>
            <w:tcW w:w="4108" w:type="dxa"/>
            <w:vMerge w:val="restart"/>
            <w:tcBorders>
              <w:top w:val="nil"/>
              <w:left w:val="single" w:sz="4" w:space="0" w:color="auto"/>
              <w:bottom w:val="single" w:sz="4" w:space="0" w:color="000000"/>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Education (ref: Low)</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Middle</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0.99 (0.76-1.3)</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High</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0.87 (0.65-1.18)</w:t>
            </w:r>
          </w:p>
        </w:tc>
      </w:tr>
      <w:tr>
        <w:trPr>
          <w:trHeight w:val="524"/>
        </w:trPr>
        <w:tc>
          <w:tcPr>
            <w:tcW w:w="4108" w:type="dxa"/>
            <w:vMerge w:val="restart"/>
            <w:tcBorders>
              <w:top w:val="nil"/>
              <w:left w:val="single" w:sz="4" w:space="0" w:color="auto"/>
              <w:bottom w:val="single" w:sz="4" w:space="0" w:color="000000"/>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Alcohol consumption (ref: never or rare use)</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Once a week</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0.99 (0.78-1.24)</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Daily use</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0.66 (0.55-0.8)</w:t>
            </w:r>
          </w:p>
        </w:tc>
      </w:tr>
      <w:tr>
        <w:trPr>
          <w:trHeight w:val="323"/>
        </w:trPr>
        <w:tc>
          <w:tcPr>
            <w:tcW w:w="4108" w:type="dxa"/>
            <w:tcBorders>
              <w:top w:val="nil"/>
              <w:left w:val="single" w:sz="4" w:space="0" w:color="auto"/>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Physical Activity (active)</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Inactive</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1.44 (1.22-1.69)</w:t>
            </w:r>
          </w:p>
        </w:tc>
      </w:tr>
      <w:tr>
        <w:trPr>
          <w:trHeight w:val="524"/>
        </w:trPr>
        <w:tc>
          <w:tcPr>
            <w:tcW w:w="4108" w:type="dxa"/>
            <w:vMerge w:val="restart"/>
            <w:tcBorders>
              <w:top w:val="nil"/>
              <w:left w:val="single" w:sz="4" w:space="0" w:color="auto"/>
              <w:bottom w:val="single" w:sz="4" w:space="0" w:color="000000"/>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BMI (ref: Underweight or normal )</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Overweight</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1.05 (0.87-1.27)</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Obesity grade I</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1.46 (1.16-1.84)</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Obesity grade II or III</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2.11 (1.52-2.91)</w:t>
            </w:r>
          </w:p>
        </w:tc>
      </w:tr>
      <w:tr>
        <w:trPr>
          <w:trHeight w:val="524"/>
        </w:trPr>
        <w:tc>
          <w:tcPr>
            <w:tcW w:w="4108" w:type="dxa"/>
            <w:vMerge w:val="restart"/>
            <w:tcBorders>
              <w:top w:val="nil"/>
              <w:left w:val="single" w:sz="4" w:space="0" w:color="auto"/>
              <w:bottom w:val="single" w:sz="4" w:space="0" w:color="000000"/>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Smoking behavior(ref: never)</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Active smoker</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1.28 (0.97-1.67)</w:t>
            </w:r>
          </w:p>
        </w:tc>
      </w:tr>
      <w:tr>
        <w:trPr>
          <w:trHeight w:val="323"/>
        </w:trPr>
        <w:tc>
          <w:tcPr>
            <w:tcW w:w="4108" w:type="dxa"/>
            <w:vMerge/>
            <w:tcBorders>
              <w:top w:val="nil"/>
              <w:left w:val="single" w:sz="4" w:space="0" w:color="auto"/>
              <w:bottom w:val="single" w:sz="4" w:space="0" w:color="000000"/>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Ex-smoker</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1.41 (1.19-1.68)</w:t>
            </w:r>
          </w:p>
        </w:tc>
      </w:tr>
      <w:tr>
        <w:trPr>
          <w:trHeight w:val="524"/>
        </w:trPr>
        <w:tc>
          <w:tcPr>
            <w:tcW w:w="4108" w:type="dxa"/>
            <w:vMerge w:val="restart"/>
            <w:tcBorders>
              <w:top w:val="nil"/>
              <w:left w:val="single" w:sz="4" w:space="0" w:color="auto"/>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Cognitive status(ref: good)</w:t>
            </w:r>
          </w:p>
        </w:tc>
        <w:tc>
          <w:tcPr>
            <w:tcW w:w="136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Mildly impaired</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1.7 (1.27-2.27)</w:t>
            </w:r>
          </w:p>
        </w:tc>
      </w:tr>
      <w:tr>
        <w:trPr>
          <w:trHeight w:val="323"/>
        </w:trPr>
        <w:tc>
          <w:tcPr>
            <w:tcW w:w="4108"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369" w:type="dxa"/>
            <w:tcBorders>
              <w:top w:val="nil"/>
              <w:left w:val="nil"/>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Impaired</w:t>
            </w:r>
          </w:p>
        </w:tc>
        <w:tc>
          <w:tcPr>
            <w:tcW w:w="1867"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78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466" w:type="dxa"/>
            <w:vMerge/>
            <w:tcBorders>
              <w:top w:val="nil"/>
              <w:left w:val="single" w:sz="4" w:space="0" w:color="auto"/>
              <w:bottom w:val="nil"/>
              <w:right w:val="single" w:sz="4" w:space="0" w:color="auto"/>
            </w:tcBorders>
            <w:vAlign w:val="center"/>
            <w:hideMark/>
          </w:tcPr>
          <w:p>
            <w:pPr>
              <w:spacing w:after="0" w:line="240" w:lineRule="auto"/>
              <w:rPr>
                <w:rFonts w:asciiTheme="majorBidi" w:eastAsia="Times New Roman" w:hAnsiTheme="majorBidi" w:cstheme="majorBidi"/>
                <w:color w:val="000000"/>
                <w:sz w:val="14"/>
                <w:szCs w:val="14"/>
              </w:rPr>
            </w:pPr>
          </w:p>
        </w:tc>
        <w:tc>
          <w:tcPr>
            <w:tcW w:w="1599" w:type="dxa"/>
            <w:tcBorders>
              <w:top w:val="nil"/>
              <w:left w:val="nil"/>
              <w:bottom w:val="nil"/>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1.31 (0.80-2.17)</w:t>
            </w:r>
          </w:p>
        </w:tc>
      </w:tr>
      <w:tr>
        <w:trPr>
          <w:trHeight w:val="323"/>
        </w:trPr>
        <w:tc>
          <w:tcPr>
            <w:tcW w:w="547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AIC</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4,107.9</w:t>
            </w:r>
          </w:p>
        </w:tc>
        <w:tc>
          <w:tcPr>
            <w:tcW w:w="1786"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4,103.6</w:t>
            </w:r>
          </w:p>
        </w:tc>
        <w:tc>
          <w:tcPr>
            <w:tcW w:w="1466"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4,105</w:t>
            </w:r>
          </w:p>
        </w:tc>
        <w:tc>
          <w:tcPr>
            <w:tcW w:w="1599" w:type="dxa"/>
            <w:tcBorders>
              <w:top w:val="single" w:sz="4" w:space="0" w:color="auto"/>
              <w:left w:val="nil"/>
              <w:bottom w:val="single" w:sz="4" w:space="0" w:color="auto"/>
              <w:right w:val="single" w:sz="4" w:space="0" w:color="auto"/>
            </w:tcBorders>
            <w:shd w:val="clear" w:color="auto" w:fill="auto"/>
            <w:noWrap/>
            <w:vAlign w:val="center"/>
            <w:hideMark/>
          </w:tcPr>
          <w:p>
            <w:pPr>
              <w:spacing w:after="0" w:line="240" w:lineRule="auto"/>
              <w:jc w:val="center"/>
              <w:rPr>
                <w:rFonts w:asciiTheme="majorBidi" w:eastAsia="Times New Roman" w:hAnsiTheme="majorBidi" w:cstheme="majorBidi"/>
                <w:color w:val="000000"/>
                <w:sz w:val="14"/>
                <w:szCs w:val="14"/>
              </w:rPr>
            </w:pPr>
            <w:r>
              <w:rPr>
                <w:rFonts w:asciiTheme="majorBidi" w:eastAsia="Times New Roman" w:hAnsiTheme="majorBidi" w:cstheme="majorBidi"/>
                <w:color w:val="000000"/>
                <w:sz w:val="14"/>
                <w:szCs w:val="14"/>
              </w:rPr>
              <w:t>3,873.2</w:t>
            </w:r>
          </w:p>
        </w:tc>
      </w:tr>
    </w:tbl>
    <w:p>
      <w:pPr>
        <w:pStyle w:val="Heading1"/>
        <w:shd w:val="clear" w:color="auto" w:fill="FFFFFF"/>
        <w:rPr>
          <w:rFonts w:asciiTheme="majorBidi" w:hAnsiTheme="majorBidi" w:cstheme="majorBidi"/>
          <w:b w:val="0"/>
          <w:bCs w:val="0"/>
          <w:color w:val="111111"/>
          <w:sz w:val="20"/>
          <w:szCs w:val="20"/>
        </w:rPr>
      </w:pPr>
      <w:r>
        <w:rPr>
          <w:rFonts w:asciiTheme="majorBidi" w:hAnsiTheme="majorBidi" w:cstheme="majorBidi"/>
          <w:b w:val="0"/>
          <w:bCs w:val="0"/>
          <w:color w:val="111111"/>
          <w:sz w:val="20"/>
          <w:szCs w:val="20"/>
        </w:rPr>
        <w:t>Phases were defined based on participant’s critical developmental age (prenatal gestation or the first two years of life) and the World War II situation in Germany. Phase 1: pre-War; Phase 2: Early War; Phase 3: Late War; Phase 4: Famine; Phase 5: After famine.</w:t>
      </w:r>
    </w:p>
    <w:sectPr>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hannonStd-Book">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15221D"/>
    <w:multiLevelType w:val="hybridMultilevel"/>
    <w:tmpl w:val="946205F8"/>
    <w:lvl w:ilvl="0" w:tplc="B4C21DC2">
      <w:start w:val="1"/>
      <w:numFmt w:val="decimal"/>
      <w:lvlText w:val="%1"/>
      <w:lvlJc w:val="left"/>
      <w:pPr>
        <w:ind w:left="720" w:hanging="360"/>
      </w:pPr>
      <w:rPr>
        <w:rFonts w:hint="default"/>
      </w:rPr>
    </w:lvl>
    <w:lvl w:ilvl="1" w:tplc="159C3E8C" w:tentative="1">
      <w:start w:val="1"/>
      <w:numFmt w:val="lowerLetter"/>
      <w:lvlText w:val="%2."/>
      <w:lvlJc w:val="left"/>
      <w:pPr>
        <w:ind w:left="1440" w:hanging="360"/>
      </w:pPr>
    </w:lvl>
    <w:lvl w:ilvl="2" w:tplc="E662DBE2" w:tentative="1">
      <w:start w:val="1"/>
      <w:numFmt w:val="lowerRoman"/>
      <w:lvlText w:val="%3."/>
      <w:lvlJc w:val="right"/>
      <w:pPr>
        <w:ind w:left="2160" w:hanging="180"/>
      </w:pPr>
    </w:lvl>
    <w:lvl w:ilvl="3" w:tplc="0AFA58FC" w:tentative="1">
      <w:start w:val="1"/>
      <w:numFmt w:val="decimal"/>
      <w:lvlText w:val="%4."/>
      <w:lvlJc w:val="left"/>
      <w:pPr>
        <w:ind w:left="2880" w:hanging="360"/>
      </w:pPr>
    </w:lvl>
    <w:lvl w:ilvl="4" w:tplc="1750C29A" w:tentative="1">
      <w:start w:val="1"/>
      <w:numFmt w:val="lowerLetter"/>
      <w:lvlText w:val="%5."/>
      <w:lvlJc w:val="left"/>
      <w:pPr>
        <w:ind w:left="3600" w:hanging="360"/>
      </w:pPr>
    </w:lvl>
    <w:lvl w:ilvl="5" w:tplc="136ECE7E" w:tentative="1">
      <w:start w:val="1"/>
      <w:numFmt w:val="lowerRoman"/>
      <w:lvlText w:val="%6."/>
      <w:lvlJc w:val="right"/>
      <w:pPr>
        <w:ind w:left="4320" w:hanging="180"/>
      </w:pPr>
    </w:lvl>
    <w:lvl w:ilvl="6" w:tplc="369086C4" w:tentative="1">
      <w:start w:val="1"/>
      <w:numFmt w:val="decimal"/>
      <w:lvlText w:val="%7."/>
      <w:lvlJc w:val="left"/>
      <w:pPr>
        <w:ind w:left="5040" w:hanging="360"/>
      </w:pPr>
    </w:lvl>
    <w:lvl w:ilvl="7" w:tplc="AE4ACCF6" w:tentative="1">
      <w:start w:val="1"/>
      <w:numFmt w:val="lowerLetter"/>
      <w:lvlText w:val="%8."/>
      <w:lvlJc w:val="left"/>
      <w:pPr>
        <w:ind w:left="5760" w:hanging="360"/>
      </w:pPr>
    </w:lvl>
    <w:lvl w:ilvl="8" w:tplc="7F8A6FB6"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UxNTCxNDIyNjQyszBS0lEKTi0uzszPAykwNKwFAKgjufAtAAAA"/>
  </w:docVar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45C4FF4D-4B79-4DD4-8B6F-21103DA7E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1Char">
    <w:name w:val="Heading 1 Char"/>
    <w:basedOn w:val="DefaultParagraphFont"/>
    <w:link w:val="Heading1"/>
    <w:uiPriority w:val="9"/>
    <w:rPr>
      <w:rFonts w:ascii="Times New Roman" w:eastAsia="Times New Roman" w:hAnsi="Times New Roman" w:cs="Times New Roman"/>
      <w:b/>
      <w:bCs/>
      <w:kern w:val="36"/>
      <w:sz w:val="48"/>
      <w:szCs w:val="48"/>
    </w:rPr>
  </w:style>
  <w:style w:type="character" w:customStyle="1" w:styleId="fontstyle01">
    <w:name w:val="fontstyle01"/>
    <w:basedOn w:val="DefaultParagraphFont"/>
    <w:rPr>
      <w:rFonts w:ascii="ShannonStd-Book" w:hAnsi="ShannonStd-Book" w:hint="default"/>
      <w:b w:val="0"/>
      <w:bCs w:val="0"/>
      <w:i w:val="0"/>
      <w:iCs w:val="0"/>
      <w:color w:val="231F20"/>
      <w:sz w:val="14"/>
      <w:szCs w:val="1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6218">
      <w:bodyDiv w:val="1"/>
      <w:marLeft w:val="0"/>
      <w:marRight w:val="0"/>
      <w:marTop w:val="0"/>
      <w:marBottom w:val="0"/>
      <w:divBdr>
        <w:top w:val="none" w:sz="0" w:space="0" w:color="auto"/>
        <w:left w:val="none" w:sz="0" w:space="0" w:color="auto"/>
        <w:bottom w:val="none" w:sz="0" w:space="0" w:color="auto"/>
        <w:right w:val="none" w:sz="0" w:space="0" w:color="auto"/>
      </w:divBdr>
    </w:div>
    <w:div w:id="55134356">
      <w:bodyDiv w:val="1"/>
      <w:marLeft w:val="0"/>
      <w:marRight w:val="0"/>
      <w:marTop w:val="0"/>
      <w:marBottom w:val="0"/>
      <w:divBdr>
        <w:top w:val="none" w:sz="0" w:space="0" w:color="auto"/>
        <w:left w:val="none" w:sz="0" w:space="0" w:color="auto"/>
        <w:bottom w:val="none" w:sz="0" w:space="0" w:color="auto"/>
        <w:right w:val="none" w:sz="0" w:space="0" w:color="auto"/>
      </w:divBdr>
    </w:div>
    <w:div w:id="186648274">
      <w:bodyDiv w:val="1"/>
      <w:marLeft w:val="0"/>
      <w:marRight w:val="0"/>
      <w:marTop w:val="0"/>
      <w:marBottom w:val="0"/>
      <w:divBdr>
        <w:top w:val="none" w:sz="0" w:space="0" w:color="auto"/>
        <w:left w:val="none" w:sz="0" w:space="0" w:color="auto"/>
        <w:bottom w:val="none" w:sz="0" w:space="0" w:color="auto"/>
        <w:right w:val="none" w:sz="0" w:space="0" w:color="auto"/>
      </w:divBdr>
    </w:div>
    <w:div w:id="311254873">
      <w:bodyDiv w:val="1"/>
      <w:marLeft w:val="0"/>
      <w:marRight w:val="0"/>
      <w:marTop w:val="0"/>
      <w:marBottom w:val="0"/>
      <w:divBdr>
        <w:top w:val="none" w:sz="0" w:space="0" w:color="auto"/>
        <w:left w:val="none" w:sz="0" w:space="0" w:color="auto"/>
        <w:bottom w:val="none" w:sz="0" w:space="0" w:color="auto"/>
        <w:right w:val="none" w:sz="0" w:space="0" w:color="auto"/>
      </w:divBdr>
    </w:div>
    <w:div w:id="315184089">
      <w:bodyDiv w:val="1"/>
      <w:marLeft w:val="0"/>
      <w:marRight w:val="0"/>
      <w:marTop w:val="0"/>
      <w:marBottom w:val="0"/>
      <w:divBdr>
        <w:top w:val="none" w:sz="0" w:space="0" w:color="auto"/>
        <w:left w:val="none" w:sz="0" w:space="0" w:color="auto"/>
        <w:bottom w:val="none" w:sz="0" w:space="0" w:color="auto"/>
        <w:right w:val="none" w:sz="0" w:space="0" w:color="auto"/>
      </w:divBdr>
    </w:div>
    <w:div w:id="453209342">
      <w:bodyDiv w:val="1"/>
      <w:marLeft w:val="0"/>
      <w:marRight w:val="0"/>
      <w:marTop w:val="0"/>
      <w:marBottom w:val="0"/>
      <w:divBdr>
        <w:top w:val="none" w:sz="0" w:space="0" w:color="auto"/>
        <w:left w:val="none" w:sz="0" w:space="0" w:color="auto"/>
        <w:bottom w:val="none" w:sz="0" w:space="0" w:color="auto"/>
        <w:right w:val="none" w:sz="0" w:space="0" w:color="auto"/>
      </w:divBdr>
    </w:div>
    <w:div w:id="549341431">
      <w:bodyDiv w:val="1"/>
      <w:marLeft w:val="0"/>
      <w:marRight w:val="0"/>
      <w:marTop w:val="0"/>
      <w:marBottom w:val="0"/>
      <w:divBdr>
        <w:top w:val="none" w:sz="0" w:space="0" w:color="auto"/>
        <w:left w:val="none" w:sz="0" w:space="0" w:color="auto"/>
        <w:bottom w:val="none" w:sz="0" w:space="0" w:color="auto"/>
        <w:right w:val="none" w:sz="0" w:space="0" w:color="auto"/>
      </w:divBdr>
    </w:div>
    <w:div w:id="704909853">
      <w:bodyDiv w:val="1"/>
      <w:marLeft w:val="0"/>
      <w:marRight w:val="0"/>
      <w:marTop w:val="0"/>
      <w:marBottom w:val="0"/>
      <w:divBdr>
        <w:top w:val="none" w:sz="0" w:space="0" w:color="auto"/>
        <w:left w:val="none" w:sz="0" w:space="0" w:color="auto"/>
        <w:bottom w:val="none" w:sz="0" w:space="0" w:color="auto"/>
        <w:right w:val="none" w:sz="0" w:space="0" w:color="auto"/>
      </w:divBdr>
    </w:div>
    <w:div w:id="759176412">
      <w:bodyDiv w:val="1"/>
      <w:marLeft w:val="0"/>
      <w:marRight w:val="0"/>
      <w:marTop w:val="0"/>
      <w:marBottom w:val="0"/>
      <w:divBdr>
        <w:top w:val="none" w:sz="0" w:space="0" w:color="auto"/>
        <w:left w:val="none" w:sz="0" w:space="0" w:color="auto"/>
        <w:bottom w:val="none" w:sz="0" w:space="0" w:color="auto"/>
        <w:right w:val="none" w:sz="0" w:space="0" w:color="auto"/>
      </w:divBdr>
    </w:div>
    <w:div w:id="948858527">
      <w:bodyDiv w:val="1"/>
      <w:marLeft w:val="0"/>
      <w:marRight w:val="0"/>
      <w:marTop w:val="0"/>
      <w:marBottom w:val="0"/>
      <w:divBdr>
        <w:top w:val="none" w:sz="0" w:space="0" w:color="auto"/>
        <w:left w:val="none" w:sz="0" w:space="0" w:color="auto"/>
        <w:bottom w:val="none" w:sz="0" w:space="0" w:color="auto"/>
        <w:right w:val="none" w:sz="0" w:space="0" w:color="auto"/>
      </w:divBdr>
    </w:div>
    <w:div w:id="1101027765">
      <w:bodyDiv w:val="1"/>
      <w:marLeft w:val="0"/>
      <w:marRight w:val="0"/>
      <w:marTop w:val="0"/>
      <w:marBottom w:val="0"/>
      <w:divBdr>
        <w:top w:val="none" w:sz="0" w:space="0" w:color="auto"/>
        <w:left w:val="none" w:sz="0" w:space="0" w:color="auto"/>
        <w:bottom w:val="none" w:sz="0" w:space="0" w:color="auto"/>
        <w:right w:val="none" w:sz="0" w:space="0" w:color="auto"/>
      </w:divBdr>
    </w:div>
    <w:div w:id="1162507206">
      <w:bodyDiv w:val="1"/>
      <w:marLeft w:val="0"/>
      <w:marRight w:val="0"/>
      <w:marTop w:val="0"/>
      <w:marBottom w:val="0"/>
      <w:divBdr>
        <w:top w:val="none" w:sz="0" w:space="0" w:color="auto"/>
        <w:left w:val="none" w:sz="0" w:space="0" w:color="auto"/>
        <w:bottom w:val="none" w:sz="0" w:space="0" w:color="auto"/>
        <w:right w:val="none" w:sz="0" w:space="0" w:color="auto"/>
      </w:divBdr>
    </w:div>
    <w:div w:id="1298103824">
      <w:bodyDiv w:val="1"/>
      <w:marLeft w:val="0"/>
      <w:marRight w:val="0"/>
      <w:marTop w:val="0"/>
      <w:marBottom w:val="0"/>
      <w:divBdr>
        <w:top w:val="none" w:sz="0" w:space="0" w:color="auto"/>
        <w:left w:val="none" w:sz="0" w:space="0" w:color="auto"/>
        <w:bottom w:val="none" w:sz="0" w:space="0" w:color="auto"/>
        <w:right w:val="none" w:sz="0" w:space="0" w:color="auto"/>
      </w:divBdr>
    </w:div>
    <w:div w:id="1939678921">
      <w:bodyDiv w:val="1"/>
      <w:marLeft w:val="0"/>
      <w:marRight w:val="0"/>
      <w:marTop w:val="0"/>
      <w:marBottom w:val="0"/>
      <w:divBdr>
        <w:top w:val="none" w:sz="0" w:space="0" w:color="auto"/>
        <w:left w:val="none" w:sz="0" w:space="0" w:color="auto"/>
        <w:bottom w:val="none" w:sz="0" w:space="0" w:color="auto"/>
        <w:right w:val="none" w:sz="0" w:space="0" w:color="auto"/>
      </w:divBdr>
    </w:div>
    <w:div w:id="2125225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rshadipour@campus.lmu.de" TargetMode="Externa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azam.arshadipour@helmholtz-muenchen.de" TargetMode="External"/><Relationship Id="rId14"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oleObject" Target="file:///C:\Users\azam.arshadipour\Desktop\10%20Jun\9%20July%202020.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1811719609730208"/>
          <c:y val="1.865982566685704E-2"/>
          <c:w val="0.86022920357052302"/>
          <c:h val="0.77818088955096831"/>
        </c:manualLayout>
      </c:layout>
      <c:barChart>
        <c:barDir val="col"/>
        <c:grouping val="clustered"/>
        <c:varyColors val="0"/>
        <c:ser>
          <c:idx val="0"/>
          <c:order val="0"/>
          <c:tx>
            <c:strRef>
              <c:f>'Table 3-single'!$N$2</c:f>
              <c:strCache>
                <c:ptCount val="1"/>
                <c:pt idx="0">
                  <c:v>Total </c:v>
                </c:pt>
              </c:strCache>
            </c:strRef>
          </c:tx>
          <c:spPr>
            <a:solidFill>
              <a:schemeClr val="accent5">
                <a:lumMod val="50000"/>
              </a:schemeClr>
            </a:solidFill>
            <a:ln>
              <a:noFill/>
            </a:ln>
            <a:effectLst/>
          </c:spPr>
          <c:invertIfNegative val="0"/>
          <c:dLbls>
            <c:spPr>
              <a:noFill/>
              <a:ln>
                <a:noFill/>
              </a:ln>
              <a:effectLst/>
            </c:spPr>
            <c:txPr>
              <a:bodyPr rot="5400000" spcFirstLastPara="1" vertOverflow="ellipsis" wrap="square" lIns="38100" tIns="19050" rIns="38100" bIns="19050" anchor="ctr" anchorCtr="0">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 3-single'!$M$3:$M$17</c:f>
              <c:strCache>
                <c:ptCount val="15"/>
                <c:pt idx="0">
                  <c:v>Hypertension </c:v>
                </c:pt>
                <c:pt idx="1">
                  <c:v>Multimorbidity</c:v>
                </c:pt>
                <c:pt idx="2">
                  <c:v>Eye </c:v>
                </c:pt>
                <c:pt idx="3">
                  <c:v>Heart </c:v>
                </c:pt>
                <c:pt idx="4">
                  <c:v>Diabetes </c:v>
                </c:pt>
                <c:pt idx="5">
                  <c:v>Joint </c:v>
                </c:pt>
                <c:pt idx="6">
                  <c:v>Lung </c:v>
                </c:pt>
                <c:pt idx="7">
                  <c:v>Gastrointestinal </c:v>
                </c:pt>
                <c:pt idx="8">
                  <c:v>Anxiety </c:v>
                </c:pt>
                <c:pt idx="9">
                  <c:v>Stroke </c:v>
                </c:pt>
                <c:pt idx="10">
                  <c:v>Cancer </c:v>
                </c:pt>
                <c:pt idx="11">
                  <c:v>Kidney </c:v>
                </c:pt>
                <c:pt idx="12">
                  <c:v>Neurological </c:v>
                </c:pt>
                <c:pt idx="13">
                  <c:v>Liver  </c:v>
                </c:pt>
                <c:pt idx="14">
                  <c:v>Depression </c:v>
                </c:pt>
              </c:strCache>
            </c:strRef>
          </c:cat>
          <c:val>
            <c:numRef>
              <c:f>'Table 3-single'!$N$3:$N$17</c:f>
              <c:numCache>
                <c:formatCode>0.0</c:formatCode>
                <c:ptCount val="15"/>
                <c:pt idx="0">
                  <c:v>56.7</c:v>
                </c:pt>
                <c:pt idx="1">
                  <c:v>49.4</c:v>
                </c:pt>
                <c:pt idx="2">
                  <c:v>25.6</c:v>
                </c:pt>
                <c:pt idx="3">
                  <c:v>18.899999999999999</c:v>
                </c:pt>
                <c:pt idx="4">
                  <c:v>14.9</c:v>
                </c:pt>
                <c:pt idx="5">
                  <c:v>10.3</c:v>
                </c:pt>
                <c:pt idx="6">
                  <c:v>10.199999999999999</c:v>
                </c:pt>
                <c:pt idx="7">
                  <c:v>8</c:v>
                </c:pt>
                <c:pt idx="8">
                  <c:v>5.7</c:v>
                </c:pt>
                <c:pt idx="9">
                  <c:v>4.9000000000000004</c:v>
                </c:pt>
                <c:pt idx="10">
                  <c:v>4.3</c:v>
                </c:pt>
                <c:pt idx="11">
                  <c:v>3.5</c:v>
                </c:pt>
                <c:pt idx="12">
                  <c:v>3.1</c:v>
                </c:pt>
                <c:pt idx="13">
                  <c:v>2.4</c:v>
                </c:pt>
                <c:pt idx="14">
                  <c:v>1.3</c:v>
                </c:pt>
              </c:numCache>
            </c:numRef>
          </c:val>
          <c:extLst>
            <c:ext xmlns:c16="http://schemas.microsoft.com/office/drawing/2014/chart" uri="{C3380CC4-5D6E-409C-BE32-E72D297353CC}">
              <c16:uniqueId val="{00000000-135D-414E-BE87-38C139372371}"/>
            </c:ext>
          </c:extLst>
        </c:ser>
        <c:ser>
          <c:idx val="1"/>
          <c:order val="1"/>
          <c:tx>
            <c:strRef>
              <c:f>'Table 3-single'!$O$2</c:f>
              <c:strCache>
                <c:ptCount val="1"/>
                <c:pt idx="0">
                  <c:v>Male</c:v>
                </c:pt>
              </c:strCache>
            </c:strRef>
          </c:tx>
          <c:spPr>
            <a:solidFill>
              <a:schemeClr val="accent1"/>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 3-single'!$M$3:$M$17</c:f>
              <c:strCache>
                <c:ptCount val="15"/>
                <c:pt idx="0">
                  <c:v>Hypertension </c:v>
                </c:pt>
                <c:pt idx="1">
                  <c:v>Multimorbidity</c:v>
                </c:pt>
                <c:pt idx="2">
                  <c:v>Eye </c:v>
                </c:pt>
                <c:pt idx="3">
                  <c:v>Heart </c:v>
                </c:pt>
                <c:pt idx="4">
                  <c:v>Diabetes </c:v>
                </c:pt>
                <c:pt idx="5">
                  <c:v>Joint </c:v>
                </c:pt>
                <c:pt idx="6">
                  <c:v>Lung </c:v>
                </c:pt>
                <c:pt idx="7">
                  <c:v>Gastrointestinal </c:v>
                </c:pt>
                <c:pt idx="8">
                  <c:v>Anxiety </c:v>
                </c:pt>
                <c:pt idx="9">
                  <c:v>Stroke </c:v>
                </c:pt>
                <c:pt idx="10">
                  <c:v>Cancer </c:v>
                </c:pt>
                <c:pt idx="11">
                  <c:v>Kidney </c:v>
                </c:pt>
                <c:pt idx="12">
                  <c:v>Neurological </c:v>
                </c:pt>
                <c:pt idx="13">
                  <c:v>Liver  </c:v>
                </c:pt>
                <c:pt idx="14">
                  <c:v>Depression </c:v>
                </c:pt>
              </c:strCache>
            </c:strRef>
          </c:cat>
          <c:val>
            <c:numRef>
              <c:f>'Table 3-single'!$O$3:$O$17</c:f>
              <c:numCache>
                <c:formatCode>0.0</c:formatCode>
                <c:ptCount val="15"/>
                <c:pt idx="0">
                  <c:v>56.3</c:v>
                </c:pt>
                <c:pt idx="1">
                  <c:v>48.8</c:v>
                </c:pt>
                <c:pt idx="2">
                  <c:v>22.5</c:v>
                </c:pt>
                <c:pt idx="3">
                  <c:v>23</c:v>
                </c:pt>
                <c:pt idx="4">
                  <c:v>17.100000000000001</c:v>
                </c:pt>
                <c:pt idx="5">
                  <c:v>7.4</c:v>
                </c:pt>
                <c:pt idx="6">
                  <c:v>9.6999999999999993</c:v>
                </c:pt>
                <c:pt idx="7">
                  <c:v>6.7</c:v>
                </c:pt>
                <c:pt idx="8">
                  <c:v>3.4</c:v>
                </c:pt>
                <c:pt idx="9">
                  <c:v>6.8</c:v>
                </c:pt>
                <c:pt idx="10">
                  <c:v>4.5999999999999996</c:v>
                </c:pt>
                <c:pt idx="11">
                  <c:v>3.8</c:v>
                </c:pt>
                <c:pt idx="12">
                  <c:v>3.2</c:v>
                </c:pt>
                <c:pt idx="13">
                  <c:v>2.7</c:v>
                </c:pt>
                <c:pt idx="14">
                  <c:v>1</c:v>
                </c:pt>
              </c:numCache>
            </c:numRef>
          </c:val>
          <c:extLst>
            <c:ext xmlns:c16="http://schemas.microsoft.com/office/drawing/2014/chart" uri="{C3380CC4-5D6E-409C-BE32-E72D297353CC}">
              <c16:uniqueId val="{00000001-135D-414E-BE87-38C139372371}"/>
            </c:ext>
          </c:extLst>
        </c:ser>
        <c:ser>
          <c:idx val="2"/>
          <c:order val="2"/>
          <c:tx>
            <c:strRef>
              <c:f>'Table 3-single'!$P$2</c:f>
              <c:strCache>
                <c:ptCount val="1"/>
                <c:pt idx="0">
                  <c:v>Female</c:v>
                </c:pt>
              </c:strCache>
            </c:strRef>
          </c:tx>
          <c:spPr>
            <a:solidFill>
              <a:schemeClr val="accent1">
                <a:tint val="6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 3-single'!$M$3:$M$17</c:f>
              <c:strCache>
                <c:ptCount val="15"/>
                <c:pt idx="0">
                  <c:v>Hypertension </c:v>
                </c:pt>
                <c:pt idx="1">
                  <c:v>Multimorbidity</c:v>
                </c:pt>
                <c:pt idx="2">
                  <c:v>Eye </c:v>
                </c:pt>
                <c:pt idx="3">
                  <c:v>Heart </c:v>
                </c:pt>
                <c:pt idx="4">
                  <c:v>Diabetes </c:v>
                </c:pt>
                <c:pt idx="5">
                  <c:v>Joint </c:v>
                </c:pt>
                <c:pt idx="6">
                  <c:v>Lung </c:v>
                </c:pt>
                <c:pt idx="7">
                  <c:v>Gastrointestinal </c:v>
                </c:pt>
                <c:pt idx="8">
                  <c:v>Anxiety </c:v>
                </c:pt>
                <c:pt idx="9">
                  <c:v>Stroke </c:v>
                </c:pt>
                <c:pt idx="10">
                  <c:v>Cancer </c:v>
                </c:pt>
                <c:pt idx="11">
                  <c:v>Kidney </c:v>
                </c:pt>
                <c:pt idx="12">
                  <c:v>Neurological </c:v>
                </c:pt>
                <c:pt idx="13">
                  <c:v>Liver  </c:v>
                </c:pt>
                <c:pt idx="14">
                  <c:v>Depression </c:v>
                </c:pt>
              </c:strCache>
            </c:strRef>
          </c:cat>
          <c:val>
            <c:numRef>
              <c:f>'Table 3-single'!$P$3:$P$17</c:f>
              <c:numCache>
                <c:formatCode>0.0</c:formatCode>
                <c:ptCount val="15"/>
                <c:pt idx="0">
                  <c:v>57</c:v>
                </c:pt>
                <c:pt idx="1">
                  <c:v>49.9</c:v>
                </c:pt>
                <c:pt idx="2">
                  <c:v>28.5</c:v>
                </c:pt>
                <c:pt idx="3">
                  <c:v>15.1</c:v>
                </c:pt>
                <c:pt idx="4">
                  <c:v>12.9</c:v>
                </c:pt>
                <c:pt idx="5">
                  <c:v>13.1</c:v>
                </c:pt>
                <c:pt idx="6">
                  <c:v>10.6</c:v>
                </c:pt>
                <c:pt idx="7">
                  <c:v>9.1</c:v>
                </c:pt>
                <c:pt idx="8">
                  <c:v>7.8</c:v>
                </c:pt>
                <c:pt idx="9">
                  <c:v>3.1</c:v>
                </c:pt>
                <c:pt idx="10">
                  <c:v>4</c:v>
                </c:pt>
                <c:pt idx="11">
                  <c:v>3.1</c:v>
                </c:pt>
                <c:pt idx="12">
                  <c:v>3</c:v>
                </c:pt>
                <c:pt idx="13">
                  <c:v>2.2000000000000002</c:v>
                </c:pt>
                <c:pt idx="14">
                  <c:v>1.6</c:v>
                </c:pt>
              </c:numCache>
            </c:numRef>
          </c:val>
          <c:extLst>
            <c:ext xmlns:c16="http://schemas.microsoft.com/office/drawing/2014/chart" uri="{C3380CC4-5D6E-409C-BE32-E72D297353CC}">
              <c16:uniqueId val="{00000002-135D-414E-BE87-38C139372371}"/>
            </c:ext>
          </c:extLst>
        </c:ser>
        <c:dLbls>
          <c:showLegendKey val="0"/>
          <c:showVal val="0"/>
          <c:showCatName val="0"/>
          <c:showSerName val="0"/>
          <c:showPercent val="0"/>
          <c:showBubbleSize val="0"/>
        </c:dLbls>
        <c:gapWidth val="219"/>
        <c:overlap val="-27"/>
        <c:axId val="431441439"/>
        <c:axId val="433837759"/>
      </c:barChart>
      <c:catAx>
        <c:axId val="4314414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837759"/>
        <c:crosses val="autoZero"/>
        <c:auto val="1"/>
        <c:lblAlgn val="ctr"/>
        <c:lblOffset val="100"/>
        <c:noMultiLvlLbl val="0"/>
      </c:catAx>
      <c:valAx>
        <c:axId val="433837759"/>
        <c:scaling>
          <c:orientation val="minMax"/>
          <c:max val="65"/>
          <c:min val="0"/>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1441439"/>
        <c:crosses val="autoZero"/>
        <c:crossBetween val="between"/>
      </c:valAx>
      <c:spPr>
        <a:noFill/>
        <a:ln>
          <a:noFill/>
        </a:ln>
        <a:effectLst/>
      </c:spPr>
    </c:plotArea>
    <c:legend>
      <c:legendPos val="b"/>
      <c:layout>
        <c:manualLayout>
          <c:xMode val="edge"/>
          <c:yMode val="edge"/>
          <c:x val="0.44397294608497151"/>
          <c:y val="7.2447610715327265E-2"/>
          <c:w val="0.34575890550409888"/>
          <c:h val="8.06882473024205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0.00686</cdr:x>
      <cdr:y>0.21958</cdr:y>
    </cdr:from>
    <cdr:to>
      <cdr:x>0.04407</cdr:x>
      <cdr:y>0.50264</cdr:y>
    </cdr:to>
    <cdr:sp macro="" textlink="">
      <cdr:nvSpPr>
        <cdr:cNvPr id="2" name="TextBox 1">
          <a:extLst xmlns:a="http://schemas.openxmlformats.org/drawingml/2006/main">
            <a:ext uri="{FF2B5EF4-FFF2-40B4-BE49-F238E27FC236}">
              <a16:creationId xmlns:a16="http://schemas.microsoft.com/office/drawing/2014/main" id="{741BB059-450B-441C-88DC-BE590F86C3B2}"/>
            </a:ext>
          </a:extLst>
        </cdr:cNvPr>
        <cdr:cNvSpPr txBox="1"/>
      </cdr:nvSpPr>
      <cdr:spPr>
        <a:xfrm xmlns:a="http://schemas.openxmlformats.org/drawingml/2006/main" rot="16200000">
          <a:off x="-344487" y="1179510"/>
          <a:ext cx="1019175" cy="24129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fr-CH" sz="1100"/>
            <a:t>percent</a:t>
          </a:r>
          <a:endParaRPr lang="en-CH" sz="1100"/>
        </a:p>
      </cdr:txBody>
    </cdr:sp>
  </cdr:relSizeAnchor>
</c:userShape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58ED8-6B62-4F83-998D-4C3284ADD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1905</TotalTime>
  <Pages>10</Pages>
  <Words>1017</Words>
  <Characters>5802</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Helmholtz Zentrum München</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Arshadipour, Azam</dc:creator>
  <cp:keywords/>
  <dc:description/>
  <cp:lastModifiedBy>Arshadipour, Azam</cp:lastModifiedBy>
  <cp:revision>15</cp:revision>
  <dcterms:created xsi:type="dcterms:W3CDTF">2021-09-10T11:24:00Z</dcterms:created>
  <dcterms:modified xsi:type="dcterms:W3CDTF">2021-09-27T07:32:00Z</dcterms:modified>
</cp:coreProperties>
</file>