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pStyle w:val="Heading1"/>
        <w:spacing w:before="0" w:after="75" w:line="480" w:lineRule="auto"/>
        <w:rPr>
          <w:rFonts w:eastAsiaTheme="minorHAnsi"/>
          <w:b w:val="0"/>
          <w:bCs w:val="0"/>
          <w:sz w:val="36"/>
          <w:szCs w:val="36"/>
        </w:rPr>
      </w:pPr>
      <w:r>
        <w:rPr>
          <w:rFonts w:eastAsiaTheme="minorHAnsi"/>
          <w:sz w:val="36"/>
          <w:szCs w:val="36"/>
        </w:rPr>
        <w:t>World War II effects on prevalence and pattern of multimorbidity in older adults: Results from the KORA-A</w:t>
      </w:r>
      <w:bookmarkStart w:id="0" w:name="_GoBack"/>
      <w:bookmarkEnd w:id="0"/>
      <w:r>
        <w:rPr>
          <w:rFonts w:eastAsiaTheme="minorHAnsi"/>
          <w:sz w:val="36"/>
          <w:szCs w:val="36"/>
        </w:rPr>
        <w:t>ge study</w:t>
      </w:r>
    </w:p>
    <w:p>
      <w:pPr>
        <w:suppressLineNumbers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suppressLineNumbers/>
        <w:spacing w:line="480" w:lineRule="auto"/>
        <w:jc w:val="both"/>
        <w:rPr>
          <w:rStyle w:val="fontstyle01"/>
          <w:rFonts w:ascii="Times New Roman" w:hAnsi="Times New Roman" w:cs="Times New Roman"/>
          <w:sz w:val="20"/>
          <w:szCs w:val="20"/>
        </w:rPr>
      </w:pPr>
      <w:r>
        <w:rPr>
          <w:rStyle w:val="fontstyle01"/>
          <w:rFonts w:ascii="Times New Roman" w:hAnsi="Times New Roman" w:cs="Times New Roman"/>
          <w:sz w:val="20"/>
          <w:szCs w:val="20"/>
        </w:rPr>
        <w:t>Arshadipour A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1,2*</w:t>
      </w:r>
      <w:r>
        <w:rPr>
          <w:rStyle w:val="fontstyle01"/>
          <w:rFonts w:ascii="Times New Roman" w:hAnsi="Times New Roman" w:cs="Times New Roman"/>
          <w:sz w:val="20"/>
          <w:szCs w:val="20"/>
        </w:rPr>
        <w:t>, Thorand B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1,6</w:t>
      </w:r>
      <w:r>
        <w:rPr>
          <w:rStyle w:val="fontstyle01"/>
          <w:rFonts w:ascii="Times New Roman" w:hAnsi="Times New Roman" w:cs="Times New Roman"/>
          <w:sz w:val="20"/>
          <w:szCs w:val="20"/>
        </w:rPr>
        <w:t>, Linkohr B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</w:t>
      </w:r>
      <w:r>
        <w:rPr>
          <w:rStyle w:val="fontstyle01"/>
          <w:rFonts w:ascii="Times New Roman" w:hAnsi="Times New Roman" w:cs="Times New Roman"/>
          <w:sz w:val="20"/>
          <w:szCs w:val="20"/>
        </w:rPr>
        <w:t>, Rospleszcz S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1,2</w:t>
      </w:r>
      <w:r>
        <w:rPr>
          <w:rStyle w:val="fontstyle01"/>
          <w:rFonts w:ascii="Times New Roman" w:hAnsi="Times New Roman" w:cs="Times New Roman"/>
          <w:sz w:val="20"/>
          <w:szCs w:val="20"/>
        </w:rPr>
        <w:t>, Ladwig K.H.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1,3</w:t>
      </w:r>
      <w:r>
        <w:rPr>
          <w:rStyle w:val="fontstyle01"/>
          <w:rFonts w:ascii="Times New Roman" w:hAnsi="Times New Roman" w:cs="Times New Roman"/>
          <w:sz w:val="20"/>
          <w:szCs w:val="20"/>
        </w:rPr>
        <w:t>, Heier M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1,4</w:t>
      </w:r>
      <w:r>
        <w:rPr>
          <w:rStyle w:val="fontstyle01"/>
          <w:rFonts w:ascii="Times New Roman" w:hAnsi="Times New Roman" w:cs="Times New Roman"/>
          <w:sz w:val="20"/>
          <w:szCs w:val="20"/>
        </w:rPr>
        <w:t>, Peters A</w:t>
      </w:r>
      <w:r>
        <w:rPr>
          <w:rStyle w:val="fontstyle01"/>
          <w:rFonts w:ascii="Times New Roman" w:hAnsi="Times New Roman" w:cs="Times New Roman"/>
          <w:sz w:val="20"/>
          <w:szCs w:val="20"/>
          <w:vertAlign w:val="superscript"/>
        </w:rPr>
        <w:t>1,2,5,6</w:t>
      </w:r>
    </w:p>
    <w:p>
      <w:pPr>
        <w:pStyle w:val="ListParagraph"/>
        <w:numPr>
          <w:ilvl w:val="0"/>
          <w:numId w:val="1"/>
        </w:numPr>
        <w:suppressLineNumbers/>
        <w:shd w:val="clear" w:color="auto" w:fill="FFFFFF"/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Institute of Epidemiology, Helmholtz Zentrum München, German Research Center for Environmental Health, Neuherberg, Germany.</w:t>
      </w:r>
    </w:p>
    <w:p>
      <w:pPr>
        <w:pStyle w:val="ListParagraph"/>
        <w:numPr>
          <w:ilvl w:val="0"/>
          <w:numId w:val="1"/>
        </w:numPr>
        <w:suppressLineNumbers/>
        <w:shd w:val="clear" w:color="auto" w:fill="FFFFFF"/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Institute for Medical Information Processing Biometry and Epidemiology (IBE), Ludwig-Maximilians-Universität München, Munich, Germany.</w:t>
      </w:r>
    </w:p>
    <w:p>
      <w:pPr>
        <w:pStyle w:val="ListParagraph"/>
        <w:numPr>
          <w:ilvl w:val="0"/>
          <w:numId w:val="1"/>
        </w:numPr>
        <w:suppressLineNumbers/>
        <w:shd w:val="clear" w:color="auto" w:fill="FFFFFF"/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Department for Psychosomatic Medicine and Psychotherapy, Klinikum Rechts der Isar, Technical University of Munich, Munich, Germany.</w:t>
      </w:r>
    </w:p>
    <w:p>
      <w:pPr>
        <w:pStyle w:val="ListParagraph"/>
        <w:numPr>
          <w:ilvl w:val="0"/>
          <w:numId w:val="1"/>
        </w:numPr>
        <w:suppressLineNumbers/>
        <w:shd w:val="clear" w:color="auto" w:fill="FFFFFF"/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KORA Study Centre, University Hospital of Augsburg, Augsburg, Germany.</w:t>
      </w:r>
    </w:p>
    <w:p>
      <w:pPr>
        <w:pStyle w:val="ListParagraph"/>
        <w:numPr>
          <w:ilvl w:val="0"/>
          <w:numId w:val="1"/>
        </w:numPr>
        <w:suppressLineNumbers/>
        <w:shd w:val="clear" w:color="auto" w:fill="FFFFFF"/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German Center for Cardiovascular Disease Research (DZHK), Munich Heart Alliance, Munich, Germany.</w:t>
      </w:r>
    </w:p>
    <w:p>
      <w:pPr>
        <w:pStyle w:val="ListParagraph"/>
        <w:numPr>
          <w:ilvl w:val="0"/>
          <w:numId w:val="1"/>
        </w:numPr>
        <w:suppressLineNumbers/>
        <w:shd w:val="clear" w:color="auto" w:fill="FFFFFF"/>
        <w:spacing w:after="0" w:line="480" w:lineRule="auto"/>
        <w:ind w:left="0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German Center for Diabetes Research (DZD), München-Neuherberg, Germany.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spacing w:after="120" w:line="360" w:lineRule="auto"/>
        <w:jc w:val="both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Journal: European Journal of Epidemiology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§ Corresponding author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Ava Arshadipour,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Institute of Epidemiology, Helmholtz Zentrum München, German Research Center for Environmental Health, Ingolstädter Landstraße 1, 85764 Munich, Germany</w:t>
      </w:r>
    </w:p>
    <w:p>
      <w:pPr>
        <w:spacing w:after="0" w:line="36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Tel.: +49 89 3187-49281, +49 1777369163</w:t>
      </w:r>
    </w:p>
    <w:p>
      <w:pPr>
        <w:suppressLineNumbers/>
        <w:spacing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8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a.arshadipour@campus.lmu.de</w:t>
        </w:r>
      </w:hyperlink>
      <w:r>
        <w:rPr>
          <w:rFonts w:ascii="Times New Roman" w:hAnsi="Times New Roman" w:cs="Times New Roman"/>
          <w:sz w:val="20"/>
          <w:szCs w:val="20"/>
        </w:rPr>
        <w:t xml:space="preserve">, </w:t>
      </w:r>
      <w:hyperlink r:id="rId9" w:history="1">
        <w:r>
          <w:rPr>
            <w:rStyle w:val="Hyperlink"/>
            <w:rFonts w:ascii="Times New Roman" w:hAnsi="Times New Roman" w:cs="Times New Roman"/>
            <w:sz w:val="20"/>
            <w:szCs w:val="20"/>
          </w:rPr>
          <w:t>azam.arshadipour@helmholtz-muenchen.de</w:t>
        </w:r>
      </w:hyperlink>
      <w:r>
        <w:rPr>
          <w:rFonts w:ascii="Times New Roman" w:hAnsi="Times New Roman" w:cs="Times New Roman"/>
          <w:sz w:val="20"/>
          <w:szCs w:val="20"/>
        </w:rPr>
        <w:t xml:space="preserve"> </w:t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 xml:space="preserve">Additional figure 1. Prevalence of multimorbidity and single chronic diseases stratified by sex for all participants (n=3,377)  from KORA-Age 1 and KORA-Age 3. </w:t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noProof/>
        </w:rPr>
        <w:drawing>
          <wp:inline distT="0" distB="0" distL="0" distR="0">
            <wp:extent cx="7713980" cy="4109013"/>
            <wp:effectExtent l="0" t="0" r="1270" b="6350"/>
            <wp:docPr id="1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52A175A2-F00F-4307-96B6-47E13C2C0DB3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>Additional figure 2. Dendrogram based on the hierarchical clustering of chronic diseases using the average linkage method and Yule-Q coefficient for men. the threshold (dotted line. h=0.7) was used to specify three main clusters.</w:t>
      </w:r>
    </w:p>
    <w:p>
      <w:pPr>
        <w:rPr>
          <w:rFonts w:asciiTheme="majorBidi" w:hAnsiTheme="majorBidi" w:cstheme="majorBidi"/>
        </w:rPr>
      </w:pPr>
      <w:r>
        <w:rPr>
          <w:rFonts w:asciiTheme="majorBidi" w:hAnsiTheme="majorBidi" w:cstheme="majorBidi"/>
          <w:noProof/>
        </w:rPr>
        <w:drawing>
          <wp:inline distT="0" distB="0" distL="0" distR="0">
            <wp:extent cx="8052635" cy="4332849"/>
            <wp:effectExtent l="0" t="0" r="5715" b="0"/>
            <wp:docPr id="7" name="Picture 7" descr="C:\Users\azam.arshadipour\Desktop\Dell file 7 Nov 2020\Ava.25may2020\Ava\Thesis\comments\manuscript 20 oct\figures\final figures\add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zam.arshadipour\Desktop\Dell file 7 Nov 2020\Ava.25may2020\Ava\Thesis\comments\manuscript 20 oct\figures\final figures\add 2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096260" cy="435632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>Additional figure 3. Dendrogram based on the hierarchical clustering of chronic diseases using the average linkage method and Yule-Q coefficient for women. the threshold (dotted line. h=0.7) was used to specify three main clusters.</w:t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color w:val="111111"/>
          <w:kern w:val="36"/>
          <w:sz w:val="24"/>
          <w:szCs w:val="24"/>
        </w:rPr>
        <w:drawing>
          <wp:inline distT="0" distB="0" distL="0" distR="0">
            <wp:extent cx="7385538" cy="4839027"/>
            <wp:effectExtent l="0" t="0" r="6350" b="0"/>
            <wp:docPr id="8" name="Picture 8" descr="C:\Users\azam.arshadipour\Desktop\Dell file 7 Nov 2020\Ava.25may2020\Ava\Thesis\comments\manuscript 20 oct\figures\final figures\add 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zam.arshadipour\Desktop\Dell file 7 Nov 2020\Ava.25may2020\Ava\Thesis\comments\manuscript 20 oct\figures\final figures\add 3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34502" cy="48711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>Additional figure 4. Dendrogram based on the hierarchical clustering of chronic diseases without hypertension for all participants using average linkage method and Yule-Q coefficient (Sensitivity analysis). The threshold (dotted line. h=0.7) was used to specify three main clusters.</w:t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color w:val="111111"/>
          <w:kern w:val="36"/>
          <w:sz w:val="24"/>
          <w:szCs w:val="24"/>
        </w:rPr>
        <w:drawing>
          <wp:inline distT="0" distB="0" distL="0" distR="0">
            <wp:extent cx="6358597" cy="4868499"/>
            <wp:effectExtent l="0" t="0" r="4445" b="8890"/>
            <wp:docPr id="9" name="Picture 9" descr="C:\Users\azam.arshadipour\Desktop\Dell file 7 Nov 2020\Ava.25may2020\Ava\Thesis\comments\manuscript 20 oct\figures\final figures\add 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zam.arshadipour\Desktop\Dell file 7 Nov 2020\Ava.25may2020\Ava\Thesis\comments\manuscript 20 oct\figures\final figures\add 4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2195" cy="48789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>Additional figure 5. Dendrogram based on the hierarchical clustering of chronic diseases for all participants using the single linkage method and Yule-Q coefficient (sensitivity analysis). The threshold (dotted line. h=0.48) was used to specify three main clusters.</w:t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color w:val="111111"/>
          <w:kern w:val="36"/>
          <w:sz w:val="24"/>
          <w:szCs w:val="24"/>
        </w:rPr>
        <w:drawing>
          <wp:inline distT="0" distB="0" distL="0" distR="0">
            <wp:extent cx="7652825" cy="4955026"/>
            <wp:effectExtent l="0" t="0" r="5715" b="0"/>
            <wp:docPr id="10" name="Picture 10" descr="C:\Users\azam.arshadipour\Desktop\Dell file 7 Nov 2020\Ava.25may2020\Ava\Thesis\comments\manuscript 20 oct\figures\final figures\add 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zam.arshadipour\Desktop\Dell file 7 Nov 2020\Ava.25may2020\Ava\Thesis\comments\manuscript 20 oct\figures\final figures\add 5.JP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71597" cy="4967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>Additional figure 6. Dendrogram based on the hierarchical clustering of chronic diseases for all participants using Ward.d linkage method and Yule-Q coefficient (sensitivity analysis). The threshold (dotted line. h=0.75) was used to specify three main clusters.</w:t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noProof/>
          <w:color w:val="111111"/>
          <w:kern w:val="36"/>
          <w:sz w:val="24"/>
          <w:szCs w:val="24"/>
        </w:rPr>
        <w:drawing>
          <wp:inline distT="0" distB="0" distL="0" distR="0">
            <wp:extent cx="7638757" cy="4793008"/>
            <wp:effectExtent l="0" t="0" r="635" b="7620"/>
            <wp:docPr id="17" name="Picture 17" descr="C:\Users\azam.arshadipour\Desktop\Dell file 7 Nov 2020\Ava.25may2020\Ava\Thesis\comments\manuscript 20 oct\figures\final figures\Add 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zam.arshadipour\Desktop\Dell file 7 Nov 2020\Ava.25may2020\Ava\Thesis\comments\manuscript 20 oct\figures\final figures\Add 6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66676" cy="4810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lastRenderedPageBreak/>
        <w:t>Additional table 1. The number of chronic diseases stratified by sex and birth phases variable for the whole data from Kora-Age1 and Kora-Age1.</w:t>
      </w:r>
    </w:p>
    <w:tbl>
      <w:tblPr>
        <w:tblW w:w="14944" w:type="dxa"/>
        <w:jc w:val="center"/>
        <w:tblLook w:val="04A0" w:firstRow="1" w:lastRow="0" w:firstColumn="1" w:lastColumn="0" w:noHBand="0" w:noVBand="1"/>
      </w:tblPr>
      <w:tblGrid>
        <w:gridCol w:w="815"/>
        <w:gridCol w:w="876"/>
        <w:gridCol w:w="824"/>
        <w:gridCol w:w="1038"/>
        <w:gridCol w:w="786"/>
        <w:gridCol w:w="786"/>
        <w:gridCol w:w="786"/>
        <w:gridCol w:w="786"/>
        <w:gridCol w:w="786"/>
        <w:gridCol w:w="786"/>
        <w:gridCol w:w="786"/>
        <w:gridCol w:w="726"/>
        <w:gridCol w:w="726"/>
        <w:gridCol w:w="786"/>
        <w:gridCol w:w="786"/>
        <w:gridCol w:w="786"/>
        <w:gridCol w:w="786"/>
        <w:gridCol w:w="786"/>
        <w:gridCol w:w="786"/>
      </w:tblGrid>
      <w:tr>
        <w:trPr>
          <w:trHeight w:val="734"/>
          <w:jc w:val="center"/>
        </w:trPr>
        <w:tc>
          <w:tcPr>
            <w:tcW w:w="12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Number of diseases</w:t>
            </w:r>
          </w:p>
        </w:tc>
        <w:tc>
          <w:tcPr>
            <w:tcW w:w="266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Total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Phase 1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Phase 2</w:t>
            </w:r>
          </w:p>
        </w:tc>
        <w:tc>
          <w:tcPr>
            <w:tcW w:w="21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Phase 3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Phase 4</w:t>
            </w:r>
          </w:p>
        </w:tc>
        <w:tc>
          <w:tcPr>
            <w:tcW w:w="223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8"/>
                <w:szCs w:val="18"/>
              </w:rPr>
            </w:pPr>
            <w:r>
              <w:rPr>
                <w:rFonts w:asciiTheme="majorBidi" w:eastAsia="Times New Roman" w:hAnsiTheme="majorBidi" w:cstheme="majorBidi"/>
                <w:sz w:val="18"/>
                <w:szCs w:val="18"/>
              </w:rPr>
              <w:t>Phase 5</w:t>
            </w:r>
          </w:p>
        </w:tc>
      </w:tr>
      <w:tr>
        <w:trPr>
          <w:trHeight w:val="796"/>
          <w:jc w:val="center"/>
        </w:trPr>
        <w:tc>
          <w:tcPr>
            <w:tcW w:w="12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Total(3,377)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Male(1,616)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Female(1,761)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Total (684)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Male (327)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Female (357)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Total (1,236)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Male (608)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Female (628)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Total (283)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Male (136)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Female (147)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Total (574)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Male (267)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Female (307)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Total (600)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Male (278)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Female (322)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0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638(18.9%)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312(19.3%)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326(18.5%)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112(16.4%)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56(17.1%)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56(15.7%)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243(19.7%)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128(21.1%)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115(18.3%)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42(14.8%)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21(15.4%)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21(14.3%)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97(16.9%)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38(14.2%)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59(19.2%)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144(24%)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69(24.8%)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75(23.3%)</w:t>
            </w:r>
          </w:p>
        </w:tc>
      </w:tr>
      <w:tr>
        <w:trPr>
          <w:trHeight w:val="796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1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1,072(31.7%)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516(31.9%)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556(31.6%)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202(29.5%)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99(30.3%)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103(28.9%)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432(35%)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207(34%)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225(35.8%)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65(23%)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30(22.1%)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35(23.8%)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167(29.1%)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90(33.7%)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77(25.1%)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206(34.3%)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90(32.4%)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116(36.0%)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2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873(25.9%)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404(25.0%)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469(26.6%)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186(27.2%)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84(25.7%)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102(28.6%)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311(25.2%)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149(24.5%)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162(25.8%)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85(30%)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41(30.1%)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44(29.9%)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151(26.3%)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71(26.6%)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80(26.1%)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140(23.3%)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59(21.2%)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81(25.2%)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&gt;=2 (Multi</w:t>
            </w:r>
          </w:p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morbidity)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1,667(49.4%)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788(48.8%)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879(49.9%)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370(54.1%)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172(52.6%)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198(55.5%)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561(45.4%)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273(44.9%)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288(45.9%)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176(62.2%)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85(62.5%)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91(61.9%)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310(54%)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139(52.1%)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171(55.7%)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250(41.7%)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119(42.8%)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131(40.7%)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&gt;=3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794(23.5%)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384(23.8%)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410(23.3%)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184(26.9%)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88(26.9%)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96(26.9%)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250(20.2%)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124(20.4%)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126(20.1%)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91(32.2%)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44(32.4%)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47(32%)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159(27.7%)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68(25.5%)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91(26.9%)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110(18.3%)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60(21.6%)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50(15.5%)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&gt;=4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320(9.5%)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147(9.1%)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173(9.8%)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78(11.4%)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37(11.3%)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41(11.5%)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104(8.4%)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48(7.9%)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56(8.9%)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35(12.4%)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16(11.8%)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19(12.9%)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62(10.8%)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25(9.4%)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37(12.1%)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41(6.8%)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21(7.6%)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20(6.2%)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&gt;=5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124(3.7%)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57()3.5%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67(3.8%)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30(4.4%)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12(3.7%)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18(5%)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44(3.6%)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22(3.6%)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22(3.5%)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17(6%)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9(6.6%)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8(5.4%)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21(3.7%)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10(3.7%)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11(3.6%)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12(2%)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4(1.4%)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8(2.5%)</w:t>
            </w:r>
          </w:p>
        </w:tc>
      </w:tr>
      <w:tr>
        <w:trPr>
          <w:trHeight w:val="734"/>
          <w:jc w:val="center"/>
        </w:trPr>
        <w:tc>
          <w:tcPr>
            <w:tcW w:w="120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sz w:val="14"/>
                <w:szCs w:val="14"/>
              </w:rPr>
              <w:t>&gt;=6</w:t>
            </w:r>
          </w:p>
        </w:tc>
        <w:tc>
          <w:tcPr>
            <w:tcW w:w="8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50(1.5%)</w:t>
            </w:r>
          </w:p>
        </w:tc>
        <w:tc>
          <w:tcPr>
            <w:tcW w:w="8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24(1.5%)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26(1.5%)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12(1.8%)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4(1.2%)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8(2.2%)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21(1.7%)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11(1.8%)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10(1.6%)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6(2.1%)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3(2.2%)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3(2%)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9(1.6%)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4(1.5%)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5(1.6%)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2(0.3%)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2(0.7%)</w:t>
            </w:r>
          </w:p>
        </w:tc>
        <w:tc>
          <w:tcPr>
            <w:tcW w:w="7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sz w:val="12"/>
                <w:szCs w:val="12"/>
              </w:rPr>
            </w:pPr>
            <w:r>
              <w:rPr>
                <w:rFonts w:asciiTheme="majorBidi" w:eastAsia="Times New Roman" w:hAnsiTheme="majorBidi" w:cstheme="majorBidi"/>
                <w:sz w:val="12"/>
                <w:szCs w:val="12"/>
              </w:rPr>
              <w:t>0(0.0%)</w:t>
            </w:r>
          </w:p>
        </w:tc>
      </w:tr>
    </w:tbl>
    <w:p>
      <w:pPr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p>
      <w:pP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</w:pPr>
      <w:r>
        <w:rPr>
          <w:rFonts w:asciiTheme="majorBidi" w:hAnsiTheme="majorBidi" w:cstheme="majorBidi"/>
        </w:rPr>
        <w:lastRenderedPageBreak/>
        <w:t xml:space="preserve"> </w:t>
      </w:r>
      <w:r>
        <w:rPr>
          <w:rFonts w:asciiTheme="majorBidi" w:eastAsia="Times New Roman" w:hAnsiTheme="majorBidi" w:cstheme="majorBidi"/>
          <w:b/>
          <w:bCs/>
          <w:color w:val="111111"/>
          <w:kern w:val="36"/>
          <w:sz w:val="24"/>
          <w:szCs w:val="24"/>
        </w:rPr>
        <w:t>Additional table 2. Hierarchical Logistic regression for multimorbidity without hypertension (Sensitivity analysis)</w:t>
      </w:r>
    </w:p>
    <w:tbl>
      <w:tblPr>
        <w:tblW w:w="12195" w:type="dxa"/>
        <w:tblInd w:w="-5" w:type="dxa"/>
        <w:tblLook w:val="04A0" w:firstRow="1" w:lastRow="0" w:firstColumn="1" w:lastColumn="0" w:noHBand="0" w:noVBand="1"/>
      </w:tblPr>
      <w:tblGrid>
        <w:gridCol w:w="4108"/>
        <w:gridCol w:w="1369"/>
        <w:gridCol w:w="1867"/>
        <w:gridCol w:w="1786"/>
        <w:gridCol w:w="1466"/>
        <w:gridCol w:w="1599"/>
      </w:tblGrid>
      <w:tr>
        <w:trPr>
          <w:trHeight w:val="323"/>
        </w:trPr>
        <w:tc>
          <w:tcPr>
            <w:tcW w:w="5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characteristics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model 1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model 2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model 3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model 4</w:t>
            </w:r>
          </w:p>
        </w:tc>
      </w:tr>
      <w:tr>
        <w:trPr>
          <w:trHeight w:val="323"/>
        </w:trPr>
        <w:tc>
          <w:tcPr>
            <w:tcW w:w="5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age</w:t>
            </w:r>
          </w:p>
        </w:tc>
        <w:tc>
          <w:tcPr>
            <w:tcW w:w="18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1.11 (0.95-1.15)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1.10 (0.96-1.15)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1.10 (0.96-1.15)</w:t>
            </w:r>
          </w:p>
        </w:tc>
      </w:tr>
      <w:tr>
        <w:trPr>
          <w:trHeight w:val="524"/>
        </w:trPr>
        <w:tc>
          <w:tcPr>
            <w:tcW w:w="4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Birth phases (ref: Phase 5)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Phase 1</w:t>
            </w:r>
          </w:p>
        </w:tc>
        <w:tc>
          <w:tcPr>
            <w:tcW w:w="1867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1.64 (1.28-2.09)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1.44 (0.96-2.16)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1.64 (1.07-2.49)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Phase 2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1.21 (0.96-1.52)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1.17 (0.92-1.49)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1.21 (0.94-1.56)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Phase 3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2.3 (1.69-3.1)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1.98 (1.22-3.19)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2.14 (1.29-3.52)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Phase 4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1.68 (1.30-2.17)</w:t>
            </w:r>
          </w:p>
        </w:tc>
        <w:tc>
          <w:tcPr>
            <w:tcW w:w="14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1.56 (1.12-2.15)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1.52 (1.08-2.14)</w:t>
            </w:r>
          </w:p>
        </w:tc>
      </w:tr>
      <w:tr>
        <w:trPr>
          <w:trHeight w:val="323"/>
        </w:trPr>
        <w:tc>
          <w:tcPr>
            <w:tcW w:w="4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female (ref: male)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46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 </w:t>
            </w: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0.91 (0.75-1.08)</w:t>
            </w:r>
          </w:p>
        </w:tc>
      </w:tr>
      <w:tr>
        <w:trPr>
          <w:trHeight w:val="323"/>
        </w:trPr>
        <w:tc>
          <w:tcPr>
            <w:tcW w:w="4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Education (ref: Low)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Middle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0.99 (0.76-1.3)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High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0.87 (0.65-1.18)</w:t>
            </w:r>
          </w:p>
        </w:tc>
      </w:tr>
      <w:tr>
        <w:trPr>
          <w:trHeight w:val="524"/>
        </w:trPr>
        <w:tc>
          <w:tcPr>
            <w:tcW w:w="4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alcohol consumption (ref: never or rare use)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once a week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0.99 (0.78-1.24)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daily use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0.66 (0.55-0.8)</w:t>
            </w:r>
          </w:p>
        </w:tc>
      </w:tr>
      <w:tr>
        <w:trPr>
          <w:trHeight w:val="323"/>
        </w:trPr>
        <w:tc>
          <w:tcPr>
            <w:tcW w:w="41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Physical Activity (active)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Inactive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1.44 (1.22-1.69)</w:t>
            </w:r>
          </w:p>
        </w:tc>
      </w:tr>
      <w:tr>
        <w:trPr>
          <w:trHeight w:val="524"/>
        </w:trPr>
        <w:tc>
          <w:tcPr>
            <w:tcW w:w="4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BMI (ref: Underweight or normal 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Overweight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1.05 (0.87-1.27)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Obesity grade I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1.46 (1.16-1.84)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Obesity grade II or III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2.11 (1.52-2.91)</w:t>
            </w:r>
          </w:p>
        </w:tc>
      </w:tr>
      <w:tr>
        <w:trPr>
          <w:trHeight w:val="524"/>
        </w:trPr>
        <w:tc>
          <w:tcPr>
            <w:tcW w:w="410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Smoking behavior(ref: never)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active smoker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1.28 (0.97-1.67)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ex-smoker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1.41 (1.19-1.68)</w:t>
            </w:r>
          </w:p>
        </w:tc>
      </w:tr>
      <w:tr>
        <w:trPr>
          <w:trHeight w:val="524"/>
        </w:trPr>
        <w:tc>
          <w:tcPr>
            <w:tcW w:w="4108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Cognitive status(ref: good)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mildly impaired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1.7 (1.27-2.27)</w:t>
            </w:r>
          </w:p>
        </w:tc>
      </w:tr>
      <w:tr>
        <w:trPr>
          <w:trHeight w:val="323"/>
        </w:trPr>
        <w:tc>
          <w:tcPr>
            <w:tcW w:w="4108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36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impaired</w:t>
            </w:r>
          </w:p>
        </w:tc>
        <w:tc>
          <w:tcPr>
            <w:tcW w:w="1867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78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466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>
            <w:pPr>
              <w:spacing w:after="0" w:line="240" w:lineRule="auto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</w:p>
        </w:tc>
        <w:tc>
          <w:tcPr>
            <w:tcW w:w="159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1.31 (0.80-2.17)</w:t>
            </w:r>
          </w:p>
        </w:tc>
      </w:tr>
      <w:tr>
        <w:trPr>
          <w:trHeight w:val="323"/>
        </w:trPr>
        <w:tc>
          <w:tcPr>
            <w:tcW w:w="54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AIC</w:t>
            </w:r>
          </w:p>
        </w:tc>
        <w:tc>
          <w:tcPr>
            <w:tcW w:w="18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4,107.9</w:t>
            </w:r>
          </w:p>
        </w:tc>
        <w:tc>
          <w:tcPr>
            <w:tcW w:w="17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4,103.6</w:t>
            </w:r>
          </w:p>
        </w:tc>
        <w:tc>
          <w:tcPr>
            <w:tcW w:w="14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4,105</w:t>
            </w:r>
          </w:p>
        </w:tc>
        <w:tc>
          <w:tcPr>
            <w:tcW w:w="15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14"/>
                <w:szCs w:val="14"/>
              </w:rPr>
              <w:t>3,873.2</w:t>
            </w:r>
          </w:p>
        </w:tc>
      </w:tr>
    </w:tbl>
    <w:p>
      <w:pPr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p>
      <w:pPr>
        <w:rPr>
          <w:rFonts w:asciiTheme="majorBidi" w:hAnsiTheme="majorBidi" w:cstheme="majorBidi"/>
        </w:rPr>
      </w:pPr>
    </w:p>
    <w:sectPr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>
      <w:pPr>
        <w:spacing w:after="0" w:line="240" w:lineRule="auto"/>
      </w:pPr>
      <w:r>
        <w:separator/>
      </w:r>
    </w:p>
  </w:endnote>
  <w:endnote w:type="continuationSeparator" w:id="0">
    <w:p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hannonStd-Book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>
      <w:pPr>
        <w:spacing w:after="0" w:line="240" w:lineRule="auto"/>
      </w:pPr>
      <w:r>
        <w:separator/>
      </w:r>
    </w:p>
  </w:footnote>
  <w:footnote w:type="continuationSeparator" w:id="0">
    <w:p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E15221D"/>
    <w:multiLevelType w:val="hybridMultilevel"/>
    <w:tmpl w:val="946205F8"/>
    <w:lvl w:ilvl="0" w:tplc="B4C21DC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159C3E8C" w:tentative="1">
      <w:start w:val="1"/>
      <w:numFmt w:val="lowerLetter"/>
      <w:lvlText w:val="%2."/>
      <w:lvlJc w:val="left"/>
      <w:pPr>
        <w:ind w:left="1440" w:hanging="360"/>
      </w:pPr>
    </w:lvl>
    <w:lvl w:ilvl="2" w:tplc="E662DBE2" w:tentative="1">
      <w:start w:val="1"/>
      <w:numFmt w:val="lowerRoman"/>
      <w:lvlText w:val="%3."/>
      <w:lvlJc w:val="right"/>
      <w:pPr>
        <w:ind w:left="2160" w:hanging="180"/>
      </w:pPr>
    </w:lvl>
    <w:lvl w:ilvl="3" w:tplc="0AFA58FC" w:tentative="1">
      <w:start w:val="1"/>
      <w:numFmt w:val="decimal"/>
      <w:lvlText w:val="%4."/>
      <w:lvlJc w:val="left"/>
      <w:pPr>
        <w:ind w:left="2880" w:hanging="360"/>
      </w:pPr>
    </w:lvl>
    <w:lvl w:ilvl="4" w:tplc="1750C29A" w:tentative="1">
      <w:start w:val="1"/>
      <w:numFmt w:val="lowerLetter"/>
      <w:lvlText w:val="%5."/>
      <w:lvlJc w:val="left"/>
      <w:pPr>
        <w:ind w:left="3600" w:hanging="360"/>
      </w:pPr>
    </w:lvl>
    <w:lvl w:ilvl="5" w:tplc="136ECE7E" w:tentative="1">
      <w:start w:val="1"/>
      <w:numFmt w:val="lowerRoman"/>
      <w:lvlText w:val="%6."/>
      <w:lvlJc w:val="right"/>
      <w:pPr>
        <w:ind w:left="4320" w:hanging="180"/>
      </w:pPr>
    </w:lvl>
    <w:lvl w:ilvl="6" w:tplc="369086C4" w:tentative="1">
      <w:start w:val="1"/>
      <w:numFmt w:val="decimal"/>
      <w:lvlText w:val="%7."/>
      <w:lvlJc w:val="left"/>
      <w:pPr>
        <w:ind w:left="5040" w:hanging="360"/>
      </w:pPr>
    </w:lvl>
    <w:lvl w:ilvl="7" w:tplc="AE4ACCF6" w:tentative="1">
      <w:start w:val="1"/>
      <w:numFmt w:val="lowerLetter"/>
      <w:lvlText w:val="%8."/>
      <w:lvlJc w:val="left"/>
      <w:pPr>
        <w:ind w:left="5760" w:hanging="360"/>
      </w:pPr>
    </w:lvl>
    <w:lvl w:ilvl="8" w:tplc="7F8A6FB6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UxNTCxNDIyNjQyszBS0lEKTi0uzszPAymwrAUAeBtpDiwAAAA=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C4FF4D-4B79-4DD4-8B6F-21103DA7E4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fontstyle01">
    <w:name w:val="fontstyle01"/>
    <w:basedOn w:val="DefaultParagraphFont"/>
    <w:rPr>
      <w:rFonts w:ascii="ShannonStd-Book" w:hAnsi="ShannonStd-Book" w:hint="default"/>
      <w:b w:val="0"/>
      <w:bCs w:val="0"/>
      <w:i w:val="0"/>
      <w:iCs w:val="0"/>
      <w:color w:val="231F20"/>
      <w:sz w:val="14"/>
      <w:szCs w:val="14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16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2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184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20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34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09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6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858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02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50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7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arshadipour@campus.lmu.de" TargetMode="Externa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.jpeg"/><Relationship Id="rId5" Type="http://schemas.openxmlformats.org/officeDocument/2006/relationships/webSettings" Target="webSettings.xml"/><Relationship Id="rId15" Type="http://schemas.openxmlformats.org/officeDocument/2006/relationships/image" Target="media/image5.jpeg"/><Relationship Id="rId10" Type="http://schemas.openxmlformats.org/officeDocument/2006/relationships/chart" Target="charts/chart1.xml"/><Relationship Id="rId4" Type="http://schemas.openxmlformats.org/officeDocument/2006/relationships/settings" Target="settings.xml"/><Relationship Id="rId9" Type="http://schemas.openxmlformats.org/officeDocument/2006/relationships/hyperlink" Target="mailto:azam.arshadipour@helmholtz-muenchen.de" TargetMode="External"/><Relationship Id="rId14" Type="http://schemas.openxmlformats.org/officeDocument/2006/relationships/image" Target="media/image4.jpe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azam.arshadipour\Desktop\10%20Jun\9%20July%202020.xlsx" TargetMode="External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3"/>
    </mc:Choice>
    <mc:Fallback>
      <c:style val="3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1811719609730208"/>
          <c:y val="1.865982566685704E-2"/>
          <c:w val="0.86022920357052302"/>
          <c:h val="0.77818088955096831"/>
        </c:manualLayout>
      </c:layout>
      <c:barChart>
        <c:barDir val="col"/>
        <c:grouping val="clustered"/>
        <c:varyColors val="0"/>
        <c:ser>
          <c:idx val="0"/>
          <c:order val="0"/>
          <c:tx>
            <c:strRef>
              <c:f>'Table 3-single'!$N$2</c:f>
              <c:strCache>
                <c:ptCount val="1"/>
                <c:pt idx="0">
                  <c:v>Total </c:v>
                </c:pt>
              </c:strCache>
            </c:strRef>
          </c:tx>
          <c:spPr>
            <a:solidFill>
              <a:schemeClr val="accent5">
                <a:lumMod val="50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5400000" spcFirstLastPara="1" vertOverflow="ellipsis" wrap="square" lIns="38100" tIns="19050" rIns="38100" bIns="19050" anchor="ctr" anchorCtr="0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'Table 3-single'!$M$3:$M$17</c:f>
              <c:strCache>
                <c:ptCount val="15"/>
                <c:pt idx="0">
                  <c:v>Hypertension </c:v>
                </c:pt>
                <c:pt idx="1">
                  <c:v>Multimorbidity</c:v>
                </c:pt>
                <c:pt idx="2">
                  <c:v>Eye </c:v>
                </c:pt>
                <c:pt idx="3">
                  <c:v>Heart </c:v>
                </c:pt>
                <c:pt idx="4">
                  <c:v>Diabetes </c:v>
                </c:pt>
                <c:pt idx="5">
                  <c:v>Joint </c:v>
                </c:pt>
                <c:pt idx="6">
                  <c:v>Lung </c:v>
                </c:pt>
                <c:pt idx="7">
                  <c:v>Gastrointestinal </c:v>
                </c:pt>
                <c:pt idx="8">
                  <c:v>Anxiety </c:v>
                </c:pt>
                <c:pt idx="9">
                  <c:v>Stroke </c:v>
                </c:pt>
                <c:pt idx="10">
                  <c:v>Cancer </c:v>
                </c:pt>
                <c:pt idx="11">
                  <c:v>Kidney </c:v>
                </c:pt>
                <c:pt idx="12">
                  <c:v>Neurological </c:v>
                </c:pt>
                <c:pt idx="13">
                  <c:v>Liver  </c:v>
                </c:pt>
                <c:pt idx="14">
                  <c:v>Depression </c:v>
                </c:pt>
              </c:strCache>
            </c:strRef>
          </c:cat>
          <c:val>
            <c:numRef>
              <c:f>'Table 3-single'!$N$3:$N$17</c:f>
              <c:numCache>
                <c:formatCode>0.0</c:formatCode>
                <c:ptCount val="15"/>
                <c:pt idx="0">
                  <c:v>56.7</c:v>
                </c:pt>
                <c:pt idx="1">
                  <c:v>49.4</c:v>
                </c:pt>
                <c:pt idx="2">
                  <c:v>25.6</c:v>
                </c:pt>
                <c:pt idx="3">
                  <c:v>18.899999999999999</c:v>
                </c:pt>
                <c:pt idx="4">
                  <c:v>14.9</c:v>
                </c:pt>
                <c:pt idx="5">
                  <c:v>10.3</c:v>
                </c:pt>
                <c:pt idx="6">
                  <c:v>10.199999999999999</c:v>
                </c:pt>
                <c:pt idx="7">
                  <c:v>8</c:v>
                </c:pt>
                <c:pt idx="8">
                  <c:v>5.7</c:v>
                </c:pt>
                <c:pt idx="9">
                  <c:v>4.9000000000000004</c:v>
                </c:pt>
                <c:pt idx="10">
                  <c:v>4.3</c:v>
                </c:pt>
                <c:pt idx="11">
                  <c:v>3.5</c:v>
                </c:pt>
                <c:pt idx="12">
                  <c:v>3.1</c:v>
                </c:pt>
                <c:pt idx="13">
                  <c:v>2.4</c:v>
                </c:pt>
                <c:pt idx="14">
                  <c:v>1.3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135D-414E-BE87-38C139372371}"/>
            </c:ext>
          </c:extLst>
        </c:ser>
        <c:ser>
          <c:idx val="1"/>
          <c:order val="1"/>
          <c:tx>
            <c:strRef>
              <c:f>'Table 3-single'!$O$2</c:f>
              <c:strCache>
                <c:ptCount val="1"/>
                <c:pt idx="0">
                  <c:v>Male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'Table 3-single'!$M$3:$M$17</c:f>
              <c:strCache>
                <c:ptCount val="15"/>
                <c:pt idx="0">
                  <c:v>Hypertension </c:v>
                </c:pt>
                <c:pt idx="1">
                  <c:v>Multimorbidity</c:v>
                </c:pt>
                <c:pt idx="2">
                  <c:v>Eye </c:v>
                </c:pt>
                <c:pt idx="3">
                  <c:v>Heart </c:v>
                </c:pt>
                <c:pt idx="4">
                  <c:v>Diabetes </c:v>
                </c:pt>
                <c:pt idx="5">
                  <c:v>Joint </c:v>
                </c:pt>
                <c:pt idx="6">
                  <c:v>Lung </c:v>
                </c:pt>
                <c:pt idx="7">
                  <c:v>Gastrointestinal </c:v>
                </c:pt>
                <c:pt idx="8">
                  <c:v>Anxiety </c:v>
                </c:pt>
                <c:pt idx="9">
                  <c:v>Stroke </c:v>
                </c:pt>
                <c:pt idx="10">
                  <c:v>Cancer </c:v>
                </c:pt>
                <c:pt idx="11">
                  <c:v>Kidney </c:v>
                </c:pt>
                <c:pt idx="12">
                  <c:v>Neurological </c:v>
                </c:pt>
                <c:pt idx="13">
                  <c:v>Liver  </c:v>
                </c:pt>
                <c:pt idx="14">
                  <c:v>Depression </c:v>
                </c:pt>
              </c:strCache>
            </c:strRef>
          </c:cat>
          <c:val>
            <c:numRef>
              <c:f>'Table 3-single'!$O$3:$O$17</c:f>
              <c:numCache>
                <c:formatCode>0.0</c:formatCode>
                <c:ptCount val="15"/>
                <c:pt idx="0">
                  <c:v>56.3</c:v>
                </c:pt>
                <c:pt idx="1">
                  <c:v>48.8</c:v>
                </c:pt>
                <c:pt idx="2">
                  <c:v>22.5</c:v>
                </c:pt>
                <c:pt idx="3">
                  <c:v>23</c:v>
                </c:pt>
                <c:pt idx="4">
                  <c:v>17.100000000000001</c:v>
                </c:pt>
                <c:pt idx="5">
                  <c:v>7.4</c:v>
                </c:pt>
                <c:pt idx="6">
                  <c:v>9.6999999999999993</c:v>
                </c:pt>
                <c:pt idx="7">
                  <c:v>6.7</c:v>
                </c:pt>
                <c:pt idx="8">
                  <c:v>3.4</c:v>
                </c:pt>
                <c:pt idx="9">
                  <c:v>6.8</c:v>
                </c:pt>
                <c:pt idx="10">
                  <c:v>4.5999999999999996</c:v>
                </c:pt>
                <c:pt idx="11">
                  <c:v>3.8</c:v>
                </c:pt>
                <c:pt idx="12">
                  <c:v>3.2</c:v>
                </c:pt>
                <c:pt idx="13">
                  <c:v>2.7</c:v>
                </c:pt>
                <c:pt idx="14">
                  <c:v>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135D-414E-BE87-38C139372371}"/>
            </c:ext>
          </c:extLst>
        </c:ser>
        <c:ser>
          <c:idx val="2"/>
          <c:order val="2"/>
          <c:tx>
            <c:strRef>
              <c:f>'Table 3-single'!$P$2</c:f>
              <c:strCache>
                <c:ptCount val="1"/>
                <c:pt idx="0">
                  <c:v>Female</c:v>
                </c:pt>
              </c:strCache>
            </c:strRef>
          </c:tx>
          <c:spPr>
            <a:solidFill>
              <a:schemeClr val="accent1">
                <a:tint val="65000"/>
              </a:schemeClr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5400000" spcFirstLastPara="1" vertOverflow="ellipsis" wrap="square" lIns="38100" tIns="19050" rIns="38100" bIns="19050" anchor="ctr" anchorCtr="1">
                <a:spAutoFit/>
              </a:bodyPr>
              <a:lstStyle/>
              <a:p>
                <a:pPr>
                  <a:defRPr sz="700" b="0" i="0" u="none" strike="noStrike" kern="1200" baseline="0">
                    <a:solidFill>
                      <a:schemeClr val="tx1">
                        <a:lumMod val="75000"/>
                        <a:lumOff val="2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chemeClr val="tx1">
                          <a:lumMod val="35000"/>
                          <a:lumOff val="65000"/>
                        </a:scheme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'Table 3-single'!$M$3:$M$17</c:f>
              <c:strCache>
                <c:ptCount val="15"/>
                <c:pt idx="0">
                  <c:v>Hypertension </c:v>
                </c:pt>
                <c:pt idx="1">
                  <c:v>Multimorbidity</c:v>
                </c:pt>
                <c:pt idx="2">
                  <c:v>Eye </c:v>
                </c:pt>
                <c:pt idx="3">
                  <c:v>Heart </c:v>
                </c:pt>
                <c:pt idx="4">
                  <c:v>Diabetes </c:v>
                </c:pt>
                <c:pt idx="5">
                  <c:v>Joint </c:v>
                </c:pt>
                <c:pt idx="6">
                  <c:v>Lung </c:v>
                </c:pt>
                <c:pt idx="7">
                  <c:v>Gastrointestinal </c:v>
                </c:pt>
                <c:pt idx="8">
                  <c:v>Anxiety </c:v>
                </c:pt>
                <c:pt idx="9">
                  <c:v>Stroke </c:v>
                </c:pt>
                <c:pt idx="10">
                  <c:v>Cancer </c:v>
                </c:pt>
                <c:pt idx="11">
                  <c:v>Kidney </c:v>
                </c:pt>
                <c:pt idx="12">
                  <c:v>Neurological </c:v>
                </c:pt>
                <c:pt idx="13">
                  <c:v>Liver  </c:v>
                </c:pt>
                <c:pt idx="14">
                  <c:v>Depression </c:v>
                </c:pt>
              </c:strCache>
            </c:strRef>
          </c:cat>
          <c:val>
            <c:numRef>
              <c:f>'Table 3-single'!$P$3:$P$17</c:f>
              <c:numCache>
                <c:formatCode>0.0</c:formatCode>
                <c:ptCount val="15"/>
                <c:pt idx="0">
                  <c:v>57</c:v>
                </c:pt>
                <c:pt idx="1">
                  <c:v>49.9</c:v>
                </c:pt>
                <c:pt idx="2">
                  <c:v>28.5</c:v>
                </c:pt>
                <c:pt idx="3">
                  <c:v>15.1</c:v>
                </c:pt>
                <c:pt idx="4">
                  <c:v>12.9</c:v>
                </c:pt>
                <c:pt idx="5">
                  <c:v>13.1</c:v>
                </c:pt>
                <c:pt idx="6">
                  <c:v>10.6</c:v>
                </c:pt>
                <c:pt idx="7">
                  <c:v>9.1</c:v>
                </c:pt>
                <c:pt idx="8">
                  <c:v>7.8</c:v>
                </c:pt>
                <c:pt idx="9">
                  <c:v>3.1</c:v>
                </c:pt>
                <c:pt idx="10">
                  <c:v>4</c:v>
                </c:pt>
                <c:pt idx="11">
                  <c:v>3.1</c:v>
                </c:pt>
                <c:pt idx="12">
                  <c:v>3</c:v>
                </c:pt>
                <c:pt idx="13">
                  <c:v>2.2000000000000002</c:v>
                </c:pt>
                <c:pt idx="14">
                  <c:v>1.6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135D-414E-BE87-38C13937237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431441439"/>
        <c:axId val="433837759"/>
      </c:barChart>
      <c:catAx>
        <c:axId val="431441439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3837759"/>
        <c:crosses val="autoZero"/>
        <c:auto val="1"/>
        <c:lblAlgn val="ctr"/>
        <c:lblOffset val="100"/>
        <c:noMultiLvlLbl val="0"/>
      </c:catAx>
      <c:valAx>
        <c:axId val="433837759"/>
        <c:scaling>
          <c:orientation val="minMax"/>
          <c:max val="65"/>
          <c:min val="0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0.0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431441439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0.44397294608497151"/>
          <c:y val="7.2447610715327265E-2"/>
          <c:w val="0.34575890550409888"/>
          <c:h val="8.06882473024205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withinLinear" id="14">
  <a:schemeClr val="accent1"/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0.00686</cdr:x>
      <cdr:y>0.21958</cdr:y>
    </cdr:from>
    <cdr:to>
      <cdr:x>0.04407</cdr:x>
      <cdr:y>0.50264</cdr:y>
    </cdr:to>
    <cdr:sp macro="" textlink="">
      <cdr:nvSpPr>
        <cdr:cNvPr id="2" name="TextBox 1">
          <a:extLst xmlns:a="http://schemas.openxmlformats.org/drawingml/2006/main">
            <a:ext uri="{FF2B5EF4-FFF2-40B4-BE49-F238E27FC236}">
              <a16:creationId xmlns:a16="http://schemas.microsoft.com/office/drawing/2014/main" id="{741BB059-450B-441C-88DC-BE590F86C3B2}"/>
            </a:ext>
          </a:extLst>
        </cdr:cNvPr>
        <cdr:cNvSpPr txBox="1"/>
      </cdr:nvSpPr>
      <cdr:spPr>
        <a:xfrm xmlns:a="http://schemas.openxmlformats.org/drawingml/2006/main" rot="16200000">
          <a:off x="-344487" y="1179510"/>
          <a:ext cx="1019175" cy="241299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r>
            <a:rPr lang="fr-CH" sz="1100"/>
            <a:t>percent</a:t>
          </a:r>
          <a:endParaRPr lang="en-CH" sz="1100"/>
        </a:p>
      </cdr:txBody>
    </cdr:sp>
  </cdr:relSizeAnchor>
</c:userShape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9EE870-966B-4872-B71C-8179DC09F2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871</Words>
  <Characters>4970</Characters>
  <Application>Microsoft Office Word</Application>
  <DocSecurity>0</DocSecurity>
  <Lines>41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Helmholtz Zentrum München</Company>
  <LinksUpToDate>false</LinksUpToDate>
  <CharactersWithSpaces>5830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Arshadipour, Azam</dc:creator>
  <cp:keywords/>
  <dc:description/>
  <cp:lastModifiedBy>azam.arshadipour</cp:lastModifiedBy>
  <cp:revision>5</cp:revision>
  <dcterms:created xsi:type="dcterms:W3CDTF">2021-03-12T10:42:00Z</dcterms:created>
  <dcterms:modified xsi:type="dcterms:W3CDTF">2021-03-12T10:44:00Z</dcterms:modified>
</cp:coreProperties>
</file>