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0C5" w:rsidRDefault="004C00C5" w:rsidP="004C00C5">
      <w:pPr>
        <w:spacing w:line="360" w:lineRule="auto"/>
        <w:jc w:val="center"/>
        <w:rPr>
          <w:rFonts w:ascii="Calibri" w:eastAsia="Times New Roman" w:hAnsi="Calibri" w:cs="Calibri"/>
          <w:b/>
          <w:bCs/>
          <w:sz w:val="36"/>
          <w:szCs w:val="24"/>
          <w:lang w:val="en-GB" w:eastAsia="fr-FR"/>
        </w:rPr>
      </w:pPr>
      <w:r w:rsidRPr="00390910">
        <w:rPr>
          <w:rFonts w:ascii="Calibri" w:eastAsia="Times New Roman" w:hAnsi="Calibri" w:cs="Calibri"/>
          <w:b/>
          <w:bCs/>
          <w:sz w:val="36"/>
          <w:szCs w:val="24"/>
          <w:lang w:val="en-GB" w:eastAsia="fr-FR"/>
        </w:rPr>
        <w:t>Spatial distribution of soil carbon inputs in permanent grassland vs. cropland in hedge agroforestry systems</w:t>
      </w:r>
    </w:p>
    <w:p w:rsidR="004C00C5" w:rsidRPr="00390910" w:rsidRDefault="004C00C5" w:rsidP="004C00C5">
      <w:pPr>
        <w:spacing w:line="360" w:lineRule="auto"/>
        <w:jc w:val="center"/>
        <w:rPr>
          <w:rFonts w:ascii="Calibri" w:eastAsia="Times New Roman" w:hAnsi="Calibri" w:cs="Calibri"/>
          <w:b/>
          <w:bCs/>
          <w:sz w:val="36"/>
          <w:szCs w:val="24"/>
          <w:lang w:val="en-GB" w:eastAsia="fr-FR"/>
        </w:rPr>
      </w:pPr>
      <w:r>
        <w:rPr>
          <w:rFonts w:ascii="Calibri" w:eastAsia="Times New Roman" w:hAnsi="Calibri" w:cs="Calibri"/>
          <w:b/>
          <w:bCs/>
          <w:sz w:val="36"/>
          <w:szCs w:val="24"/>
          <w:lang w:val="en-GB" w:eastAsia="fr-FR"/>
        </w:rPr>
        <w:t>Submission for “</w:t>
      </w:r>
      <w:r>
        <w:rPr>
          <w:rFonts w:ascii="Calibri" w:eastAsia="Times New Roman" w:hAnsi="Calibri" w:cs="Calibri"/>
          <w:b/>
          <w:bCs/>
          <w:i/>
          <w:sz w:val="36"/>
          <w:szCs w:val="24"/>
          <w:lang w:val="en-GB" w:eastAsia="fr-FR"/>
        </w:rPr>
        <w:t>Agroforestry S</w:t>
      </w:r>
      <w:r w:rsidRPr="004C00C5">
        <w:rPr>
          <w:rFonts w:ascii="Calibri" w:eastAsia="Times New Roman" w:hAnsi="Calibri" w:cs="Calibri"/>
          <w:b/>
          <w:bCs/>
          <w:i/>
          <w:sz w:val="36"/>
          <w:szCs w:val="24"/>
          <w:lang w:val="en-GB" w:eastAsia="fr-FR"/>
        </w:rPr>
        <w:t>ystems</w:t>
      </w:r>
      <w:r>
        <w:rPr>
          <w:rFonts w:ascii="Calibri" w:eastAsia="Times New Roman" w:hAnsi="Calibri" w:cs="Calibri"/>
          <w:b/>
          <w:bCs/>
          <w:sz w:val="36"/>
          <w:szCs w:val="24"/>
          <w:lang w:val="en-GB" w:eastAsia="fr-FR"/>
        </w:rPr>
        <w:t>”</w:t>
      </w:r>
    </w:p>
    <w:p w:rsidR="004C00C5" w:rsidRPr="00390910" w:rsidRDefault="004C00C5" w:rsidP="004C00C5">
      <w:pPr>
        <w:spacing w:line="360" w:lineRule="auto"/>
        <w:jc w:val="center"/>
        <w:rPr>
          <w:rFonts w:ascii="Calibri" w:eastAsia="Times New Roman" w:hAnsi="Calibri" w:cs="Calibri"/>
          <w:b/>
          <w:bCs/>
          <w:sz w:val="24"/>
          <w:szCs w:val="24"/>
          <w:lang w:val="en-GB" w:eastAsia="fr-FR"/>
        </w:rPr>
      </w:pPr>
      <w:r>
        <w:rPr>
          <w:rFonts w:ascii="Calibri" w:eastAsia="Times New Roman" w:hAnsi="Calibri" w:cs="Calibri"/>
          <w:b/>
          <w:bCs/>
          <w:sz w:val="24"/>
          <w:szCs w:val="24"/>
          <w:lang w:val="en-GB" w:eastAsia="fr-FR"/>
        </w:rPr>
        <w:t>Supplementary materials (SI)</w:t>
      </w:r>
      <w:bookmarkStart w:id="0" w:name="_GoBack"/>
      <w:bookmarkEnd w:id="0"/>
    </w:p>
    <w:p w:rsidR="004C00C5" w:rsidRPr="00390910" w:rsidRDefault="004C00C5" w:rsidP="004C00C5">
      <w:pPr>
        <w:spacing w:line="360" w:lineRule="auto"/>
        <w:jc w:val="both"/>
        <w:rPr>
          <w:lang w:val="en-GB"/>
        </w:rPr>
      </w:pPr>
      <w:r w:rsidRPr="00390910">
        <w:rPr>
          <w:lang w:val="en-GB"/>
        </w:rPr>
        <w:t xml:space="preserve">Lucas Lesaint and </w:t>
      </w:r>
      <w:proofErr w:type="spellStart"/>
      <w:r w:rsidRPr="00390910">
        <w:rPr>
          <w:lang w:val="en-GB"/>
        </w:rPr>
        <w:t>Valérie</w:t>
      </w:r>
      <w:proofErr w:type="spellEnd"/>
      <w:r w:rsidRPr="00390910">
        <w:rPr>
          <w:lang w:val="en-GB"/>
        </w:rPr>
        <w:t xml:space="preserve"> Viaud</w:t>
      </w:r>
    </w:p>
    <w:p w:rsidR="004C00C5" w:rsidRPr="004C00C5" w:rsidRDefault="004C00C5" w:rsidP="004C00C5">
      <w:pPr>
        <w:spacing w:line="360" w:lineRule="auto"/>
        <w:jc w:val="both"/>
      </w:pPr>
      <w:r w:rsidRPr="004C00C5">
        <w:t xml:space="preserve">UMR SAS, INRAE, Institut Agro, 35000 Rennes, France </w:t>
      </w:r>
    </w:p>
    <w:p w:rsidR="004C00C5" w:rsidRPr="004C00C5" w:rsidRDefault="004C00C5" w:rsidP="004C00C5">
      <w:pPr>
        <w:spacing w:line="360" w:lineRule="auto"/>
        <w:jc w:val="both"/>
      </w:pPr>
    </w:p>
    <w:p w:rsidR="004C00C5" w:rsidRPr="004C00C5" w:rsidRDefault="004C00C5" w:rsidP="004C00C5">
      <w:pPr>
        <w:spacing w:line="360" w:lineRule="auto"/>
        <w:jc w:val="both"/>
      </w:pPr>
      <w:proofErr w:type="spellStart"/>
      <w:r w:rsidRPr="004C00C5">
        <w:t>Corresponding</w:t>
      </w:r>
      <w:proofErr w:type="spellEnd"/>
      <w:r w:rsidRPr="004C00C5">
        <w:t xml:space="preserve"> </w:t>
      </w:r>
      <w:proofErr w:type="spellStart"/>
      <w:r w:rsidRPr="004C00C5">
        <w:t>author</w:t>
      </w:r>
      <w:proofErr w:type="spellEnd"/>
      <w:r w:rsidRPr="004C00C5">
        <w:t>:</w:t>
      </w:r>
    </w:p>
    <w:p w:rsidR="004C00C5" w:rsidRPr="004C00C5" w:rsidRDefault="004C00C5" w:rsidP="004C00C5">
      <w:pPr>
        <w:spacing w:line="360" w:lineRule="auto"/>
        <w:jc w:val="both"/>
      </w:pPr>
      <w:r w:rsidRPr="004C00C5">
        <w:t>Valérie Viaud</w:t>
      </w:r>
    </w:p>
    <w:p w:rsidR="004C00C5" w:rsidRPr="004C00C5" w:rsidRDefault="004C00C5" w:rsidP="004C00C5">
      <w:pPr>
        <w:spacing w:line="360" w:lineRule="auto"/>
        <w:jc w:val="both"/>
      </w:pPr>
      <w:r w:rsidRPr="004C00C5">
        <w:t>UMR SAS, INRAE</w:t>
      </w:r>
    </w:p>
    <w:p w:rsidR="004C00C5" w:rsidRPr="004C00C5" w:rsidRDefault="004C00C5" w:rsidP="004C00C5">
      <w:pPr>
        <w:spacing w:line="360" w:lineRule="auto"/>
        <w:jc w:val="both"/>
      </w:pPr>
      <w:r w:rsidRPr="004C00C5">
        <w:t>65 rue de Saint-Brieuc</w:t>
      </w:r>
    </w:p>
    <w:p w:rsidR="004C00C5" w:rsidRPr="007D5B6F" w:rsidRDefault="004C00C5" w:rsidP="004C00C5">
      <w:pPr>
        <w:spacing w:line="360" w:lineRule="auto"/>
        <w:jc w:val="both"/>
      </w:pPr>
      <w:r w:rsidRPr="007D5B6F">
        <w:t xml:space="preserve">35054 Rennes, France </w:t>
      </w:r>
    </w:p>
    <w:p w:rsidR="004C00C5" w:rsidRDefault="004C00C5" w:rsidP="004C00C5">
      <w:pPr>
        <w:spacing w:line="360" w:lineRule="auto"/>
        <w:jc w:val="both"/>
        <w:rPr>
          <w:rStyle w:val="Lienhypertexte"/>
        </w:rPr>
      </w:pPr>
      <w:r w:rsidRPr="007D5B6F">
        <w:t xml:space="preserve">E-mail: </w:t>
      </w:r>
      <w:hyperlink r:id="rId4" w:history="1">
        <w:r w:rsidRPr="007D5B6F">
          <w:rPr>
            <w:rStyle w:val="Lienhypertexte"/>
          </w:rPr>
          <w:t>valerie.viaud@inrae.fr</w:t>
        </w:r>
      </w:hyperlink>
    </w:p>
    <w:p w:rsidR="004C00C5" w:rsidRDefault="004C00C5">
      <w:r>
        <w:br w:type="page"/>
      </w:r>
    </w:p>
    <w:p w:rsidR="004C00C5" w:rsidRDefault="004C00C5"/>
    <w:tbl>
      <w:tblPr>
        <w:tblW w:w="8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640"/>
        <w:gridCol w:w="1200"/>
        <w:gridCol w:w="1320"/>
        <w:gridCol w:w="1700"/>
        <w:gridCol w:w="1740"/>
      </w:tblGrid>
      <w:tr w:rsidR="00013945" w:rsidRPr="0064495F" w:rsidTr="0068740F">
        <w:trPr>
          <w:trHeight w:val="58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val="en-GB" w:eastAsia="fr-FR"/>
              </w:rPr>
              <w:t>Study site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val="en-GB" w:eastAsia="fr-FR"/>
              </w:rPr>
              <w:t>Distance from the hedge (m)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val="en-GB" w:eastAsia="fr-FR"/>
              </w:rPr>
              <w:t>Depth (cm)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val="en-GB" w:eastAsia="fr-FR"/>
              </w:rPr>
              <w:t>Fraction (µm)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val="en-GB" w:eastAsia="fr-FR"/>
              </w:rPr>
              <w:t>Fraction proportion (%)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val="en-GB" w:eastAsia="fr-FR"/>
              </w:rPr>
              <w:t>Fraction SOC stock (Mg C.ha</w:t>
            </w:r>
            <w:r w:rsidRPr="0064495F">
              <w:rPr>
                <w:rFonts w:ascii="Calibri" w:eastAsia="Times New Roman" w:hAnsi="Calibri" w:cs="Calibri"/>
                <w:color w:val="000000"/>
                <w:vertAlign w:val="superscript"/>
                <w:lang w:val="en-GB" w:eastAsia="fr-FR"/>
              </w:rPr>
              <w:t>-1</w:t>
            </w:r>
            <w:r w:rsidRPr="00816B6F">
              <w:rPr>
                <w:rFonts w:ascii="Calibri" w:eastAsia="Times New Roman" w:hAnsi="Calibri" w:cs="Calibri"/>
                <w:color w:val="000000"/>
                <w:lang w:val="en-GB" w:eastAsia="fr-FR"/>
              </w:rPr>
              <w:t>)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NO1</w:t>
            </w:r>
          </w:p>
        </w:tc>
        <w:tc>
          <w:tcPr>
            <w:tcW w:w="16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0-15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26.9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74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39.7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15-30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9.5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76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31.7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30-60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4.4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73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27.6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60-90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NA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NA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NA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0-15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13.4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76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35.4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15-30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3.8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78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26.4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30-60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2.9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84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29.0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60-90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1.0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74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12.8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NO2</w:t>
            </w:r>
          </w:p>
        </w:tc>
        <w:tc>
          <w:tcPr>
            <w:tcW w:w="16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0-15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35.0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47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57.5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15-30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23.3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56.4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30-60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20.7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45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56.3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60-90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67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5.8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33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14.2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0-15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12.5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39.9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15-30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4.0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49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27.9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30-60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5.2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52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44.0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60-90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&gt; 50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2.8</w:t>
            </w:r>
          </w:p>
        </w:tc>
      </w:tr>
      <w:tr w:rsidR="00013945" w:rsidRPr="00816B6F" w:rsidTr="0068740F">
        <w:trPr>
          <w:trHeight w:val="290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&lt; 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38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945" w:rsidRPr="00816B6F" w:rsidRDefault="00013945" w:rsidP="006874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16B6F">
              <w:rPr>
                <w:rFonts w:ascii="Calibri" w:eastAsia="Times New Roman" w:hAnsi="Calibri" w:cs="Calibri"/>
                <w:color w:val="000000"/>
                <w:lang w:eastAsia="fr-FR"/>
              </w:rPr>
              <w:t>15.3</w:t>
            </w:r>
          </w:p>
        </w:tc>
      </w:tr>
    </w:tbl>
    <w:p w:rsidR="007927E9" w:rsidRDefault="007927E9"/>
    <w:p w:rsidR="0064495F" w:rsidRPr="0064495F" w:rsidRDefault="0064495F" w:rsidP="0064495F">
      <w:pPr>
        <w:spacing w:line="360" w:lineRule="auto"/>
        <w:jc w:val="both"/>
        <w:rPr>
          <w:lang w:val="en-GB"/>
        </w:rPr>
      </w:pPr>
      <w:r w:rsidRPr="0064495F">
        <w:rPr>
          <w:lang w:val="en-GB"/>
        </w:rPr>
        <w:t>Table S1.  Proportion</w:t>
      </w:r>
      <w:r>
        <w:rPr>
          <w:lang w:val="en-GB"/>
        </w:rPr>
        <w:t xml:space="preserve"> (%)</w:t>
      </w:r>
      <w:r w:rsidRPr="0064495F">
        <w:rPr>
          <w:lang w:val="en-GB"/>
        </w:rPr>
        <w:t xml:space="preserve"> </w:t>
      </w:r>
      <w:r>
        <w:rPr>
          <w:lang w:val="en-GB"/>
        </w:rPr>
        <w:t xml:space="preserve">and SOC stocks </w:t>
      </w:r>
      <w:r w:rsidRPr="00816B6F">
        <w:rPr>
          <w:rFonts w:ascii="Calibri" w:eastAsia="Times New Roman" w:hAnsi="Calibri" w:cs="Calibri"/>
          <w:color w:val="000000"/>
          <w:lang w:val="en-GB" w:eastAsia="fr-FR"/>
        </w:rPr>
        <w:t>(Mg C.ha</w:t>
      </w:r>
      <w:r w:rsidRPr="0064495F">
        <w:rPr>
          <w:rFonts w:ascii="Calibri" w:eastAsia="Times New Roman" w:hAnsi="Calibri" w:cs="Calibri"/>
          <w:color w:val="000000"/>
          <w:vertAlign w:val="superscript"/>
          <w:lang w:val="en-GB" w:eastAsia="fr-FR"/>
        </w:rPr>
        <w:t>-1</w:t>
      </w:r>
      <w:r w:rsidRPr="00816B6F">
        <w:rPr>
          <w:rFonts w:ascii="Calibri" w:eastAsia="Times New Roman" w:hAnsi="Calibri" w:cs="Calibri"/>
          <w:color w:val="000000"/>
          <w:lang w:val="en-GB" w:eastAsia="fr-FR"/>
        </w:rPr>
        <w:t>)</w:t>
      </w:r>
      <w:r>
        <w:rPr>
          <w:lang w:val="en-GB"/>
        </w:rPr>
        <w:t xml:space="preserve"> </w:t>
      </w:r>
      <w:r w:rsidRPr="0064495F">
        <w:rPr>
          <w:lang w:val="en-GB"/>
        </w:rPr>
        <w:t>of POM (&gt; 50 µm) and MAOM (&lt; 50 µm) fraction</w:t>
      </w:r>
      <w:r>
        <w:rPr>
          <w:lang w:val="en-GB"/>
        </w:rPr>
        <w:t xml:space="preserve"> for a given depth and distance from the hedge in each site.</w:t>
      </w:r>
    </w:p>
    <w:sectPr w:rsidR="0064495F" w:rsidRPr="006449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fr-FR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945"/>
    <w:rsid w:val="00013945"/>
    <w:rsid w:val="004C00C5"/>
    <w:rsid w:val="0064495F"/>
    <w:rsid w:val="007927E9"/>
    <w:rsid w:val="00CB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485F8"/>
  <w15:chartTrackingRefBased/>
  <w15:docId w15:val="{25EE272A-0647-4F59-8CE7-75B97DC53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39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4C00C5"/>
    <w:rPr>
      <w:color w:val="7D4E5B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ucas.lesaint@inra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208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INRA UMRSAS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Lesaint</dc:creator>
  <cp:keywords/>
  <dc:description/>
  <cp:lastModifiedBy>Lucas Lesaint</cp:lastModifiedBy>
  <cp:revision>3</cp:revision>
  <dcterms:created xsi:type="dcterms:W3CDTF">2023-06-16T15:03:00Z</dcterms:created>
  <dcterms:modified xsi:type="dcterms:W3CDTF">2023-08-11T07:10:00Z</dcterms:modified>
</cp:coreProperties>
</file>