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30507" w14:textId="77777777" w:rsidR="00D55EA5" w:rsidRPr="008D4BF1" w:rsidRDefault="00D55EA5" w:rsidP="00D55EA5">
      <w:pPr>
        <w:spacing w:line="480" w:lineRule="auto"/>
      </w:pPr>
      <w:r w:rsidRPr="2F972269">
        <w:rPr>
          <w:rFonts w:ascii="Arial" w:eastAsia="Arial" w:hAnsi="Arial" w:cs="Arial"/>
          <w:b/>
          <w:bCs/>
        </w:rPr>
        <w:t>Supplementary Material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015"/>
      </w:tblGrid>
      <w:tr w:rsidR="00D55EA5" w14:paraId="04047248" w14:textId="77777777" w:rsidTr="00237F47">
        <w:trPr>
          <w:trHeight w:val="405"/>
        </w:trPr>
        <w:tc>
          <w:tcPr>
            <w:tcW w:w="901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184858D" w14:textId="77777777" w:rsidR="00D55EA5" w:rsidRPr="00F6279C" w:rsidRDefault="00D55EA5" w:rsidP="00237F47">
            <w:pPr>
              <w:spacing w:line="480" w:lineRule="auto"/>
              <w:rPr>
                <w:rFonts w:ascii="Arial" w:eastAsia="Arial" w:hAnsi="Arial" w:cs="Arial"/>
                <w:i/>
                <w:iCs/>
              </w:rPr>
            </w:pPr>
            <w:r>
              <w:rPr>
                <w:rFonts w:ascii="Arial" w:eastAsia="Arial" w:hAnsi="Arial" w:cs="Arial"/>
                <w:i/>
                <w:iCs/>
              </w:rPr>
              <w:t xml:space="preserve">Supplementary File1: </w:t>
            </w:r>
            <w:r w:rsidRPr="2F972269">
              <w:rPr>
                <w:rFonts w:ascii="Arial" w:eastAsia="Arial" w:hAnsi="Arial" w:cs="Arial"/>
                <w:i/>
                <w:iCs/>
              </w:rPr>
              <w:t xml:space="preserve">Table S1. Summary of Theory of Change </w:t>
            </w:r>
            <w:r w:rsidRPr="2F972269">
              <w:rPr>
                <w:rFonts w:ascii="Arial" w:eastAsia="Arial" w:hAnsi="Arial" w:cs="Arial"/>
              </w:rPr>
              <w:t xml:space="preserve"> </w:t>
            </w:r>
          </w:p>
        </w:tc>
      </w:tr>
      <w:tr w:rsidR="00D55EA5" w14:paraId="6D0581F8" w14:textId="77777777" w:rsidTr="00237F47">
        <w:trPr>
          <w:trHeight w:val="300"/>
        </w:trPr>
        <w:tc>
          <w:tcPr>
            <w:tcW w:w="90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9A0E888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b/>
                <w:bCs/>
              </w:rPr>
              <w:t>Problems</w:t>
            </w:r>
            <w:r w:rsidRPr="2F972269">
              <w:rPr>
                <w:rFonts w:ascii="Arial" w:eastAsia="Arial" w:hAnsi="Arial" w:cs="Arial"/>
              </w:rPr>
              <w:t xml:space="preserve"> </w:t>
            </w:r>
          </w:p>
        </w:tc>
      </w:tr>
      <w:tr w:rsidR="00D55EA5" w14:paraId="55621445" w14:textId="77777777" w:rsidTr="00237F47">
        <w:trPr>
          <w:trHeight w:val="810"/>
        </w:trPr>
        <w:tc>
          <w:tcPr>
            <w:tcW w:w="901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757FBC3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1) Lack of awareness of existing sex and gender biases and how those intersect with other biases in health and medical research, policy &amp; practice </w:t>
            </w:r>
          </w:p>
        </w:tc>
      </w:tr>
      <w:tr w:rsidR="00D55EA5" w14:paraId="469AEAC0" w14:textId="77777777" w:rsidTr="00237F47">
        <w:trPr>
          <w:trHeight w:val="51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2EB09041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2) Inadequate and biased incorporation of sex and gender into health and medical research </w:t>
            </w:r>
          </w:p>
        </w:tc>
      </w:tr>
      <w:tr w:rsidR="00D55EA5" w14:paraId="09FB1E25" w14:textId="77777777" w:rsidTr="00237F47">
        <w:trPr>
          <w:trHeight w:val="79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402C991F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3) Sex and gender-based exclusion from meaningful engagement and participation in health and medical research </w:t>
            </w:r>
          </w:p>
        </w:tc>
      </w:tr>
      <w:tr w:rsidR="00D55EA5" w14:paraId="440FF4A3" w14:textId="77777777" w:rsidTr="00237F47">
        <w:trPr>
          <w:trHeight w:val="76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01C029CB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4) Lack of evidence-based interventions to address sex and gender biases in research, policy, and practice </w:t>
            </w:r>
          </w:p>
        </w:tc>
      </w:tr>
      <w:tr w:rsidR="00D55EA5" w14:paraId="43D7005F" w14:textId="77777777" w:rsidTr="00237F47">
        <w:trPr>
          <w:trHeight w:val="570"/>
        </w:trPr>
        <w:tc>
          <w:tcPr>
            <w:tcW w:w="901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328EB48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>5) Inequitable health outcomes between different populations</w:t>
            </w:r>
          </w:p>
        </w:tc>
      </w:tr>
      <w:tr w:rsidR="00D55EA5" w14:paraId="7A7CAFEA" w14:textId="77777777" w:rsidTr="00237F47">
        <w:trPr>
          <w:trHeight w:val="300"/>
        </w:trPr>
        <w:tc>
          <w:tcPr>
            <w:tcW w:w="90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A3626D6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b/>
                <w:bCs/>
              </w:rPr>
              <w:t>Activities</w:t>
            </w:r>
            <w:r w:rsidRPr="2F972269">
              <w:rPr>
                <w:rFonts w:ascii="Arial" w:eastAsia="Arial" w:hAnsi="Arial" w:cs="Arial"/>
              </w:rPr>
              <w:t xml:space="preserve"> </w:t>
            </w:r>
          </w:p>
        </w:tc>
      </w:tr>
      <w:tr w:rsidR="00D55EA5" w14:paraId="6474E80A" w14:textId="77777777" w:rsidTr="00237F47">
        <w:trPr>
          <w:trHeight w:val="825"/>
        </w:trPr>
        <w:tc>
          <w:tcPr>
            <w:tcW w:w="901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C758B7C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>1) Sector-wide discussion on conceptions of sex and gender and their relationship to intersectional factors</w:t>
            </w:r>
          </w:p>
        </w:tc>
      </w:tr>
      <w:tr w:rsidR="00D55EA5" w14:paraId="5B2CA7A2" w14:textId="77777777" w:rsidTr="00237F47">
        <w:trPr>
          <w:trHeight w:val="82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73F6B939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2) Development and delivery of education and training on sex and gender concepts, their relevance and application to health research and translation </w:t>
            </w:r>
          </w:p>
        </w:tc>
      </w:tr>
      <w:tr w:rsidR="00D55EA5" w14:paraId="20621B1D" w14:textId="77777777" w:rsidTr="00237F47">
        <w:trPr>
          <w:trHeight w:val="55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5B27C94B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3) Advocacy and awareness building around current issues and solutions </w:t>
            </w:r>
          </w:p>
        </w:tc>
      </w:tr>
      <w:tr w:rsidR="00D55EA5" w14:paraId="7A6F7791" w14:textId="77777777" w:rsidTr="00237F47">
        <w:trPr>
          <w:trHeight w:val="54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6EB6EB58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4) Mapping current knowledge,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policy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practice in relation to sex and gender </w:t>
            </w:r>
          </w:p>
        </w:tc>
      </w:tr>
      <w:tr w:rsidR="00D55EA5" w14:paraId="514F26F0" w14:textId="77777777" w:rsidTr="00237F47">
        <w:trPr>
          <w:trHeight w:val="85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214AE565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5) Diverse community and stakeholder involvement and engagement in evidence generation, translation,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implementation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evaluation </w:t>
            </w:r>
          </w:p>
        </w:tc>
      </w:tr>
      <w:tr w:rsidR="00D55EA5" w14:paraId="59E04E47" w14:textId="77777777" w:rsidTr="00237F47">
        <w:trPr>
          <w:trHeight w:val="54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64959775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6) Developing diverse and multidisciplinary networks and communities of practice </w:t>
            </w:r>
          </w:p>
        </w:tc>
      </w:tr>
      <w:tr w:rsidR="00D55EA5" w14:paraId="4B002A42" w14:textId="77777777" w:rsidTr="00237F47">
        <w:trPr>
          <w:trHeight w:val="84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0D27CD6B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lastRenderedPageBreak/>
              <w:t xml:space="preserve">7) Policy development and implementation throughout the health and medical research sector </w:t>
            </w:r>
          </w:p>
        </w:tc>
      </w:tr>
      <w:tr w:rsidR="00D55EA5" w14:paraId="2A12ECF0" w14:textId="77777777" w:rsidTr="00237F47">
        <w:trPr>
          <w:trHeight w:val="82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6061FC24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>8) Production or implementation of standards for consideration of sex and gender in research design</w:t>
            </w:r>
          </w:p>
        </w:tc>
      </w:tr>
      <w:tr w:rsidR="00D55EA5" w14:paraId="4B9A28BF" w14:textId="77777777" w:rsidTr="00237F47">
        <w:trPr>
          <w:trHeight w:val="85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33187055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9) Collection of accurate and inclusive sex and gender related and disaggregated data. </w:t>
            </w:r>
          </w:p>
        </w:tc>
      </w:tr>
      <w:tr w:rsidR="00D55EA5" w14:paraId="256E7714" w14:textId="77777777" w:rsidTr="00237F47">
        <w:trPr>
          <w:trHeight w:val="82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741A063E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10) Production of standards for consideration of sex and gender in design and regulation of medical products </w:t>
            </w:r>
          </w:p>
        </w:tc>
      </w:tr>
      <w:tr w:rsidR="00D55EA5" w14:paraId="036E6F31" w14:textId="77777777" w:rsidTr="00237F47">
        <w:trPr>
          <w:trHeight w:val="84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19DB0C2A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11) Translation of evidence into clinical guidelines and health policy that explicitly considers different populations </w:t>
            </w:r>
          </w:p>
        </w:tc>
      </w:tr>
      <w:tr w:rsidR="00D55EA5" w14:paraId="77D182A2" w14:textId="77777777" w:rsidTr="00237F47">
        <w:trPr>
          <w:trHeight w:val="960"/>
        </w:trPr>
        <w:tc>
          <w:tcPr>
            <w:tcW w:w="901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EAC6CAA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12) Monitoring, evaluation, governance and regulation of health and medical research and translation </w:t>
            </w:r>
          </w:p>
        </w:tc>
      </w:tr>
      <w:tr w:rsidR="00D55EA5" w14:paraId="3AF3B1FE" w14:textId="77777777" w:rsidTr="00237F47">
        <w:trPr>
          <w:trHeight w:val="300"/>
        </w:trPr>
        <w:tc>
          <w:tcPr>
            <w:tcW w:w="90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B8D68A1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b/>
                <w:bCs/>
              </w:rPr>
              <w:t>Outputs</w:t>
            </w:r>
            <w:r w:rsidRPr="2F972269">
              <w:rPr>
                <w:rFonts w:ascii="Arial" w:eastAsia="Arial" w:hAnsi="Arial" w:cs="Arial"/>
              </w:rPr>
              <w:t xml:space="preserve"> </w:t>
            </w:r>
          </w:p>
        </w:tc>
      </w:tr>
      <w:tr w:rsidR="00D55EA5" w14:paraId="4E65F8A9" w14:textId="77777777" w:rsidTr="00237F47">
        <w:trPr>
          <w:trHeight w:val="540"/>
        </w:trPr>
        <w:tc>
          <w:tcPr>
            <w:tcW w:w="901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2003E62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1) Shared language for discussing sex,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gender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intersectional factors </w:t>
            </w:r>
          </w:p>
        </w:tc>
      </w:tr>
      <w:tr w:rsidR="00D55EA5" w14:paraId="040E5AD7" w14:textId="77777777" w:rsidTr="00237F47">
        <w:trPr>
          <w:trHeight w:val="54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39015B0A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2) Resources, training,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curricula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advocacy material </w:t>
            </w:r>
          </w:p>
        </w:tc>
      </w:tr>
      <w:tr w:rsidR="00D55EA5" w14:paraId="117DA0C8" w14:textId="77777777" w:rsidTr="00237F47">
        <w:trPr>
          <w:trHeight w:val="82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35BF932B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3) Educated, skilled and aware health research, delivery,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policy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governance workforce </w:t>
            </w:r>
          </w:p>
        </w:tc>
      </w:tr>
      <w:tr w:rsidR="00D55EA5" w14:paraId="29672B54" w14:textId="77777777" w:rsidTr="00237F47">
        <w:trPr>
          <w:trHeight w:val="84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1B8DC910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4) Baseline reporting on current incorporation of sex and gender in health and medical research,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policy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practice </w:t>
            </w:r>
          </w:p>
        </w:tc>
      </w:tr>
      <w:tr w:rsidR="00D55EA5" w14:paraId="7839EFF3" w14:textId="77777777" w:rsidTr="00237F47">
        <w:trPr>
          <w:trHeight w:val="55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75F5F80D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5) Central hub for networking,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engagement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resources </w:t>
            </w:r>
          </w:p>
        </w:tc>
      </w:tr>
      <w:tr w:rsidR="00D55EA5" w14:paraId="4A491143" w14:textId="77777777" w:rsidTr="00237F47">
        <w:trPr>
          <w:trHeight w:val="82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61B72666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6) New or updated policies and guidelines for sex and gender incorporation into health research and practice across the sector </w:t>
            </w:r>
          </w:p>
        </w:tc>
      </w:tr>
      <w:tr w:rsidR="00D55EA5" w14:paraId="4DA07271" w14:textId="77777777" w:rsidTr="00237F47">
        <w:trPr>
          <w:trHeight w:val="55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70281AFE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7) Comprehensive and inclusive data and evidence on sex,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gender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health </w:t>
            </w:r>
          </w:p>
        </w:tc>
      </w:tr>
      <w:tr w:rsidR="00D55EA5" w14:paraId="555B6BEE" w14:textId="77777777" w:rsidTr="00237F47">
        <w:trPr>
          <w:trHeight w:val="72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1F532FBF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lastRenderedPageBreak/>
              <w:t xml:space="preserve">8) S&amp;G informed clinical guidelines, standards, regulations, public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policies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strategies</w:t>
            </w:r>
          </w:p>
        </w:tc>
      </w:tr>
      <w:tr w:rsidR="00D55EA5" w14:paraId="09F6318A" w14:textId="77777777" w:rsidTr="00237F47">
        <w:trPr>
          <w:trHeight w:val="54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2F48767C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9) Reporting on changes in research practice </w:t>
            </w:r>
          </w:p>
        </w:tc>
      </w:tr>
      <w:tr w:rsidR="00D55EA5" w14:paraId="10F28804" w14:textId="77777777" w:rsidTr="00237F47">
        <w:trPr>
          <w:trHeight w:val="54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44D74157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10) Reporting on health indicators across sex and gender domains </w:t>
            </w:r>
          </w:p>
        </w:tc>
      </w:tr>
      <w:tr w:rsidR="00D55EA5" w14:paraId="3DE55757" w14:textId="77777777" w:rsidTr="00237F47">
        <w:trPr>
          <w:trHeight w:val="825"/>
        </w:trPr>
        <w:tc>
          <w:tcPr>
            <w:tcW w:w="901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358BA06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11) Established feedback mechanisms for continuous monitoring, evaluation and improvement of health research,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policy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practice </w:t>
            </w:r>
          </w:p>
        </w:tc>
      </w:tr>
      <w:tr w:rsidR="00D55EA5" w14:paraId="1CB2020A" w14:textId="77777777" w:rsidTr="00237F47">
        <w:trPr>
          <w:trHeight w:val="300"/>
        </w:trPr>
        <w:tc>
          <w:tcPr>
            <w:tcW w:w="90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254724F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b/>
                <w:bCs/>
              </w:rPr>
              <w:t>Outcomes</w:t>
            </w:r>
            <w:r w:rsidRPr="2F972269">
              <w:rPr>
                <w:rFonts w:ascii="Arial" w:eastAsia="Arial" w:hAnsi="Arial" w:cs="Arial"/>
              </w:rPr>
              <w:t xml:space="preserve"> </w:t>
            </w:r>
          </w:p>
        </w:tc>
      </w:tr>
      <w:tr w:rsidR="00D55EA5" w14:paraId="7E4802FA" w14:textId="77777777" w:rsidTr="00237F47">
        <w:trPr>
          <w:trHeight w:val="510"/>
        </w:trPr>
        <w:tc>
          <w:tcPr>
            <w:tcW w:w="901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404FC17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1) Improved integration of sex and gender in research design </w:t>
            </w:r>
          </w:p>
        </w:tc>
      </w:tr>
      <w:tr w:rsidR="00D55EA5" w14:paraId="453C2584" w14:textId="77777777" w:rsidTr="00237F47">
        <w:trPr>
          <w:trHeight w:val="54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2BA71E24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2) Meaningful, accurate and inclusive data collection and reporting </w:t>
            </w:r>
          </w:p>
        </w:tc>
      </w:tr>
      <w:tr w:rsidR="00D55EA5" w14:paraId="2DD75783" w14:textId="77777777" w:rsidTr="00237F47">
        <w:trPr>
          <w:trHeight w:val="60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2F781C02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3) Greater inclusion and participation in health and medical research </w:t>
            </w:r>
          </w:p>
        </w:tc>
      </w:tr>
      <w:tr w:rsidR="00D55EA5" w14:paraId="292FBA82" w14:textId="77777777" w:rsidTr="00237F47">
        <w:trPr>
          <w:trHeight w:val="82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39450DD0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4) Recognition and application of sex and gender as nuanced, evolving concepts that intersect with other factors that impact health </w:t>
            </w:r>
          </w:p>
        </w:tc>
      </w:tr>
      <w:tr w:rsidR="00D55EA5" w14:paraId="176E946F" w14:textId="77777777" w:rsidTr="00237F47">
        <w:trPr>
          <w:trHeight w:val="55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2712CDD1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5) Multidisciplinary sex and gender networks and communities of practice </w:t>
            </w:r>
          </w:p>
        </w:tc>
      </w:tr>
      <w:tr w:rsidR="00D55EA5" w14:paraId="459E729A" w14:textId="77777777" w:rsidTr="00237F47">
        <w:trPr>
          <w:trHeight w:val="82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08412112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6) Improved skills, knowledge and understanding of importance of sex and gender in health/medical research, policy, and practice </w:t>
            </w:r>
          </w:p>
        </w:tc>
      </w:tr>
      <w:tr w:rsidR="00D55EA5" w14:paraId="7B7C4845" w14:textId="77777777" w:rsidTr="00237F47">
        <w:trPr>
          <w:trHeight w:val="55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6A9F4739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7) Increased awareness and use of best practice standards and guidelines </w:t>
            </w:r>
          </w:p>
        </w:tc>
      </w:tr>
      <w:tr w:rsidR="00D55EA5" w14:paraId="55A8BDB7" w14:textId="77777777" w:rsidTr="00237F47">
        <w:trPr>
          <w:trHeight w:val="70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69ED74DA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8) Presence, implementation and monitoring of sex and gender research policies in the sector </w:t>
            </w:r>
          </w:p>
        </w:tc>
      </w:tr>
      <w:tr w:rsidR="00D55EA5" w14:paraId="4AAE13C3" w14:textId="77777777" w:rsidTr="00237F47">
        <w:trPr>
          <w:trHeight w:val="49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4582EC3F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9) Efficient,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inclusive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fit for purpose health interventions and services</w:t>
            </w:r>
          </w:p>
        </w:tc>
      </w:tr>
      <w:tr w:rsidR="00D55EA5" w14:paraId="0E111FE4" w14:textId="77777777" w:rsidTr="00237F47">
        <w:trPr>
          <w:trHeight w:val="840"/>
        </w:trPr>
        <w:tc>
          <w:tcPr>
            <w:tcW w:w="901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33908BE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10) Health sector held accountable for ongoing action to address gender disparities in health outcomes </w:t>
            </w:r>
          </w:p>
        </w:tc>
      </w:tr>
      <w:tr w:rsidR="00D55EA5" w14:paraId="42AF04C1" w14:textId="77777777" w:rsidTr="00237F47">
        <w:trPr>
          <w:trHeight w:val="300"/>
        </w:trPr>
        <w:tc>
          <w:tcPr>
            <w:tcW w:w="90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2013084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b/>
                <w:bCs/>
                <w:color w:val="000000" w:themeColor="text1"/>
              </w:rPr>
              <w:t>Impacts</w:t>
            </w: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</w:p>
        </w:tc>
      </w:tr>
      <w:tr w:rsidR="00D55EA5" w14:paraId="3B056B49" w14:textId="77777777" w:rsidTr="00237F47">
        <w:trPr>
          <w:trHeight w:val="525"/>
        </w:trPr>
        <w:tc>
          <w:tcPr>
            <w:tcW w:w="901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F5640EC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lastRenderedPageBreak/>
              <w:t xml:space="preserve">1) Better quality, nuanced, and new health data and information </w:t>
            </w:r>
          </w:p>
        </w:tc>
      </w:tr>
      <w:tr w:rsidR="00D55EA5" w14:paraId="26F8203A" w14:textId="77777777" w:rsidTr="00237F47">
        <w:trPr>
          <w:trHeight w:val="840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59F1A948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2) Safe, meaningful, and representative participation and experience of diverse groups in health research, policy,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practice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care</w:t>
            </w:r>
          </w:p>
        </w:tc>
      </w:tr>
      <w:tr w:rsidR="00D55EA5" w14:paraId="47BD1A32" w14:textId="77777777" w:rsidTr="00237F47">
        <w:trPr>
          <w:trHeight w:val="825"/>
        </w:trPr>
        <w:tc>
          <w:tcPr>
            <w:tcW w:w="9015" w:type="dxa"/>
            <w:tcBorders>
              <w:top w:val="nil"/>
              <w:left w:val="nil"/>
              <w:bottom w:val="nil"/>
              <w:right w:val="nil"/>
            </w:tcBorders>
          </w:tcPr>
          <w:p w14:paraId="17F90838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3) Health and medical sector-wide commitment to reform towards fairer, more </w:t>
            </w:r>
            <w:proofErr w:type="gramStart"/>
            <w:r w:rsidRPr="2F972269">
              <w:rPr>
                <w:rFonts w:ascii="Arial" w:eastAsia="Arial" w:hAnsi="Arial" w:cs="Arial"/>
                <w:color w:val="000000" w:themeColor="text1"/>
              </w:rPr>
              <w:t>inclusive</w:t>
            </w:r>
            <w:proofErr w:type="gramEnd"/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 and representative policy and practice </w:t>
            </w:r>
          </w:p>
        </w:tc>
      </w:tr>
      <w:tr w:rsidR="00D55EA5" w14:paraId="4A970C45" w14:textId="77777777" w:rsidTr="00237F47">
        <w:trPr>
          <w:trHeight w:val="420"/>
        </w:trPr>
        <w:tc>
          <w:tcPr>
            <w:tcW w:w="901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CA2BF70" w14:textId="77777777" w:rsidR="00D55EA5" w:rsidRDefault="00D55EA5" w:rsidP="00237F47">
            <w:pPr>
              <w:spacing w:line="480" w:lineRule="auto"/>
            </w:pPr>
            <w:r w:rsidRPr="2F972269">
              <w:rPr>
                <w:rFonts w:ascii="Arial" w:eastAsia="Arial" w:hAnsi="Arial" w:cs="Arial"/>
                <w:color w:val="000000" w:themeColor="text1"/>
              </w:rPr>
              <w:t xml:space="preserve">4) Better and more equitable health and economic outcomes </w:t>
            </w:r>
          </w:p>
        </w:tc>
      </w:tr>
    </w:tbl>
    <w:p w14:paraId="1FBE9214" w14:textId="77777777" w:rsidR="00D55EA5" w:rsidRDefault="00D55EA5" w:rsidP="00D55EA5">
      <w:pPr>
        <w:spacing w:line="480" w:lineRule="auto"/>
      </w:pPr>
      <w:r w:rsidRPr="2F972269">
        <w:rPr>
          <w:rFonts w:ascii="Arial" w:eastAsia="Arial" w:hAnsi="Arial" w:cs="Arial"/>
        </w:rPr>
        <w:t xml:space="preserve"> </w:t>
      </w:r>
    </w:p>
    <w:p w14:paraId="6CF6C907" w14:textId="77777777" w:rsidR="00D55EA5" w:rsidRDefault="00D55EA5" w:rsidP="00D55EA5">
      <w:pPr>
        <w:spacing w:line="480" w:lineRule="auto"/>
      </w:pPr>
    </w:p>
    <w:p w14:paraId="528B017C" w14:textId="3333C1FA" w:rsidR="00D55EA5" w:rsidRDefault="00D55EA5" w:rsidP="00D55EA5">
      <w:r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63A56288" wp14:editId="5BB1B16E">
                <wp:simplePos x="0" y="0"/>
                <wp:positionH relativeFrom="column">
                  <wp:posOffset>2641540</wp:posOffset>
                </wp:positionH>
                <wp:positionV relativeFrom="paragraph">
                  <wp:posOffset>1008950</wp:posOffset>
                </wp:positionV>
                <wp:extent cx="360" cy="360"/>
                <wp:effectExtent l="38100" t="38100" r="57150" b="5715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42443B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207.3pt;margin-top:78.75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">
                <v:imagedata r:id="rId6" o:title=""/>
              </v:shape>
            </w:pict>
          </mc:Fallback>
        </mc:AlternateContent>
      </w:r>
      <w:r>
        <w:br w:type="page"/>
      </w:r>
    </w:p>
    <w:p w14:paraId="39C4DA46" w14:textId="77777777" w:rsidR="00D55EA5" w:rsidRPr="00F6279C" w:rsidRDefault="00D55EA5" w:rsidP="00D55EA5">
      <w:pPr>
        <w:rPr>
          <w:rFonts w:ascii="Arial" w:hAnsi="Arial" w:cs="Arial"/>
          <w:i/>
          <w:iCs/>
        </w:rPr>
      </w:pPr>
      <w:r w:rsidRPr="00F6279C">
        <w:rPr>
          <w:rFonts w:ascii="Arial" w:hAnsi="Arial" w:cs="Arial"/>
          <w:i/>
          <w:iCs/>
        </w:rPr>
        <w:lastRenderedPageBreak/>
        <w:t>Supplementary File 2: SRQR reporting checklist.</w:t>
      </w:r>
    </w:p>
    <w:p w14:paraId="4FF67C4E" w14:textId="77777777" w:rsidR="00D55EA5" w:rsidRDefault="00D55EA5" w:rsidP="00D55EA5">
      <w:r w:rsidRPr="000766E9">
        <w:rPr>
          <w:noProof/>
        </w:rPr>
        <w:drawing>
          <wp:inline distT="0" distB="0" distL="0" distR="0" wp14:anchorId="56327F11" wp14:editId="572C5225">
            <wp:extent cx="5731510" cy="50996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9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BA41D" w14:textId="77777777" w:rsidR="00D55EA5" w:rsidRDefault="00D55EA5" w:rsidP="00D55EA5"/>
    <w:p w14:paraId="5FA3B5F7" w14:textId="77777777" w:rsidR="00D55EA5" w:rsidRDefault="00D55EA5" w:rsidP="00D55EA5"/>
    <w:p w14:paraId="26889EDF" w14:textId="5AF6C63B" w:rsidR="00D55EA5" w:rsidRDefault="00D55EA5" w:rsidP="00D55EA5">
      <w:pPr>
        <w:spacing w:line="480" w:lineRule="auto"/>
      </w:pPr>
      <w:r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81F9E60" wp14:editId="006DD666">
                <wp:simplePos x="0" y="0"/>
                <wp:positionH relativeFrom="column">
                  <wp:posOffset>2552660</wp:posOffset>
                </wp:positionH>
                <wp:positionV relativeFrom="paragraph">
                  <wp:posOffset>402405</wp:posOffset>
                </wp:positionV>
                <wp:extent cx="360" cy="360"/>
                <wp:effectExtent l="38100" t="38100" r="57150" b="57150"/>
                <wp:wrapNone/>
                <wp:docPr id="1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1ABC74" id="Ink 1" o:spid="_x0000_s1026" type="#_x0000_t75" style="position:absolute;margin-left:200.3pt;margin-top:31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">
                <v:imagedata r:id="rId6" o:title=""/>
              </v:shape>
            </w:pict>
          </mc:Fallback>
        </mc:AlternateContent>
      </w:r>
      <w:r>
        <w:br/>
      </w:r>
    </w:p>
    <w:p w14:paraId="62439831" w14:textId="77777777" w:rsidR="00D55EA5" w:rsidRDefault="00D55EA5" w:rsidP="00D55EA5">
      <w:pPr>
        <w:spacing w:line="480" w:lineRule="auto"/>
      </w:pPr>
      <w:r>
        <w:br w:type="page"/>
      </w:r>
    </w:p>
    <w:p w14:paraId="163F35D7" w14:textId="77777777" w:rsidR="00361812" w:rsidRDefault="00D55EA5"/>
    <w:sectPr w:rsidR="003618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EA5"/>
    <w:rsid w:val="00116D62"/>
    <w:rsid w:val="00641ABB"/>
    <w:rsid w:val="00894E96"/>
    <w:rsid w:val="00D40428"/>
    <w:rsid w:val="00D5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B528A"/>
  <w15:chartTrackingRefBased/>
  <w15:docId w15:val="{D6E4BEF6-CE34-4B87-A21A-732CC47FA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5EA5"/>
    <w:rPr>
      <w:rFonts w:eastAsiaTheme="minorHAnsi"/>
      <w:kern w:val="0"/>
      <w:lang w:val="en-GB"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7-21T06:37:29.90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7-21T06:37:18.70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758CD8-3732-46DE-8A97-6DA23BA14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628</Words>
  <Characters>3582</Characters>
  <Application>Microsoft Office Word</Application>
  <DocSecurity>0</DocSecurity>
  <Lines>29</Lines>
  <Paragraphs>8</Paragraphs>
  <ScaleCrop>false</ScaleCrop>
  <Company/>
  <LinksUpToDate>false</LinksUpToDate>
  <CharactersWithSpaces>4202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Downey</dc:creator>
  <cp:keywords/>
  <dc:description/>
  <cp:lastModifiedBy>Laura Downey</cp:lastModifiedBy>
  <cp:revision>1</cp:revision>
  <dcterms:created xsi:type="dcterms:W3CDTF">2023-07-21T06:36:00Z</dcterms:created>
  <dcterms:modified xsi:type="dcterms:W3CDTF">2023-07-21T06:37:00Z</dcterms:modified>
</cp:coreProperties>
</file>