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5D991" w14:textId="77777777" w:rsidR="00E85E69" w:rsidRPr="00B92332" w:rsidRDefault="00E85E69" w:rsidP="00E85E69">
      <w:pPr>
        <w:spacing w:line="240" w:lineRule="auto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</w:rPr>
        <w:t>Supplementary Table</w:t>
      </w:r>
      <w:r w:rsidRPr="004E53B6">
        <w:rPr>
          <w:rFonts w:ascii="Calibri" w:hAnsi="Calibri" w:cs="Calibri"/>
          <w:sz w:val="24"/>
          <w:szCs w:val="24"/>
        </w:rPr>
        <w:t xml:space="preserve"> 1: International Classification of Disease (ICD) and Current Procedural Terminology codes and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469"/>
        <w:gridCol w:w="4765"/>
      </w:tblGrid>
      <w:tr w:rsidR="00E85E69" w:rsidRPr="004E53B6" w14:paraId="242E6A34" w14:textId="77777777" w:rsidTr="00EE2548">
        <w:tc>
          <w:tcPr>
            <w:tcW w:w="3116" w:type="dxa"/>
          </w:tcPr>
          <w:p w14:paraId="0EC833F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Code</w:t>
            </w:r>
          </w:p>
        </w:tc>
        <w:tc>
          <w:tcPr>
            <w:tcW w:w="1469" w:type="dxa"/>
          </w:tcPr>
          <w:p w14:paraId="317D7B18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 or CPT</w:t>
            </w:r>
          </w:p>
        </w:tc>
        <w:tc>
          <w:tcPr>
            <w:tcW w:w="4765" w:type="dxa"/>
          </w:tcPr>
          <w:p w14:paraId="35E819B1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Definition</w:t>
            </w:r>
          </w:p>
        </w:tc>
      </w:tr>
      <w:tr w:rsidR="00E85E69" w:rsidRPr="004E53B6" w14:paraId="2A289937" w14:textId="77777777" w:rsidTr="00EE2548">
        <w:tc>
          <w:tcPr>
            <w:tcW w:w="3116" w:type="dxa"/>
          </w:tcPr>
          <w:p w14:paraId="23AD0AA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I10-I16</w:t>
            </w:r>
          </w:p>
        </w:tc>
        <w:tc>
          <w:tcPr>
            <w:tcW w:w="1469" w:type="dxa"/>
          </w:tcPr>
          <w:p w14:paraId="407DB61A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31BFE7B3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Hypertensive diseases</w:t>
            </w:r>
          </w:p>
        </w:tc>
      </w:tr>
      <w:tr w:rsidR="00E85E69" w:rsidRPr="004E53B6" w14:paraId="12A4A175" w14:textId="77777777" w:rsidTr="00EE2548">
        <w:tc>
          <w:tcPr>
            <w:tcW w:w="3116" w:type="dxa"/>
          </w:tcPr>
          <w:p w14:paraId="728AAEFD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E08-E13</w:t>
            </w:r>
          </w:p>
        </w:tc>
        <w:tc>
          <w:tcPr>
            <w:tcW w:w="1469" w:type="dxa"/>
          </w:tcPr>
          <w:p w14:paraId="4D682236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2EF546AA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Diabetes Mellitus</w:t>
            </w:r>
          </w:p>
        </w:tc>
      </w:tr>
      <w:tr w:rsidR="00E85E69" w:rsidRPr="004E53B6" w14:paraId="5ED2024F" w14:textId="77777777" w:rsidTr="00EE2548">
        <w:tc>
          <w:tcPr>
            <w:tcW w:w="3116" w:type="dxa"/>
          </w:tcPr>
          <w:p w14:paraId="50D2B3BC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F10-F19</w:t>
            </w:r>
          </w:p>
        </w:tc>
        <w:tc>
          <w:tcPr>
            <w:tcW w:w="1469" w:type="dxa"/>
          </w:tcPr>
          <w:p w14:paraId="3E460FE9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20DD249B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Mental and behavioral disorders due to psychoactive substance use</w:t>
            </w:r>
          </w:p>
        </w:tc>
      </w:tr>
      <w:tr w:rsidR="00E85E69" w:rsidRPr="004E53B6" w14:paraId="2C858661" w14:textId="77777777" w:rsidTr="00EE2548">
        <w:tc>
          <w:tcPr>
            <w:tcW w:w="3116" w:type="dxa"/>
          </w:tcPr>
          <w:p w14:paraId="39AF6CC9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F30-F39</w:t>
            </w:r>
          </w:p>
        </w:tc>
        <w:tc>
          <w:tcPr>
            <w:tcW w:w="1469" w:type="dxa"/>
          </w:tcPr>
          <w:p w14:paraId="19ED3DED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3D6D7DF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Mood (affective) disorders</w:t>
            </w:r>
          </w:p>
        </w:tc>
      </w:tr>
      <w:tr w:rsidR="00E85E69" w:rsidRPr="004E53B6" w14:paraId="620AC46B" w14:textId="77777777" w:rsidTr="00EE2548">
        <w:tc>
          <w:tcPr>
            <w:tcW w:w="3116" w:type="dxa"/>
          </w:tcPr>
          <w:p w14:paraId="19810C6F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F90-F98</w:t>
            </w:r>
          </w:p>
        </w:tc>
        <w:tc>
          <w:tcPr>
            <w:tcW w:w="1469" w:type="dxa"/>
          </w:tcPr>
          <w:p w14:paraId="06C6C5F6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12A5145C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Behavioral and emotional disorders with onset usually occurring in childhood and adolescence</w:t>
            </w:r>
          </w:p>
        </w:tc>
      </w:tr>
      <w:tr w:rsidR="00E85E69" w:rsidRPr="004E53B6" w14:paraId="55FFDED0" w14:textId="77777777" w:rsidTr="00EE2548">
        <w:tc>
          <w:tcPr>
            <w:tcW w:w="3116" w:type="dxa"/>
          </w:tcPr>
          <w:p w14:paraId="521E2326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D57</w:t>
            </w:r>
          </w:p>
        </w:tc>
        <w:tc>
          <w:tcPr>
            <w:tcW w:w="1469" w:type="dxa"/>
          </w:tcPr>
          <w:p w14:paraId="6937405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ICD</w:t>
            </w:r>
          </w:p>
        </w:tc>
        <w:tc>
          <w:tcPr>
            <w:tcW w:w="4765" w:type="dxa"/>
          </w:tcPr>
          <w:p w14:paraId="07AB69A0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Sickle-cell disorders</w:t>
            </w:r>
          </w:p>
        </w:tc>
      </w:tr>
      <w:tr w:rsidR="00E85E69" w:rsidRPr="004E53B6" w14:paraId="0C945593" w14:textId="77777777" w:rsidTr="00EE2548">
        <w:tc>
          <w:tcPr>
            <w:tcW w:w="3116" w:type="dxa"/>
          </w:tcPr>
          <w:p w14:paraId="5413BA89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54220</w:t>
            </w:r>
          </w:p>
        </w:tc>
        <w:tc>
          <w:tcPr>
            <w:tcW w:w="1469" w:type="dxa"/>
          </w:tcPr>
          <w:p w14:paraId="13E805F8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4739B9A9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Irrigation of corpora cavernosa for priapism</w:t>
            </w:r>
          </w:p>
        </w:tc>
      </w:tr>
      <w:tr w:rsidR="00E85E69" w:rsidRPr="004E53B6" w14:paraId="3E507866" w14:textId="77777777" w:rsidTr="00EE2548">
        <w:tc>
          <w:tcPr>
            <w:tcW w:w="3116" w:type="dxa"/>
          </w:tcPr>
          <w:p w14:paraId="31A39F53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54235</w:t>
            </w:r>
          </w:p>
        </w:tc>
        <w:tc>
          <w:tcPr>
            <w:tcW w:w="1469" w:type="dxa"/>
          </w:tcPr>
          <w:p w14:paraId="6D241275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1BE5148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Injection of corpora cavernosa with pharmacologic agent(s) (eg, papaverine, phentolamine)</w:t>
            </w:r>
          </w:p>
        </w:tc>
      </w:tr>
      <w:tr w:rsidR="00E85E69" w:rsidRPr="004E53B6" w14:paraId="66684FB1" w14:textId="77777777" w:rsidTr="00EE2548">
        <w:tc>
          <w:tcPr>
            <w:tcW w:w="3116" w:type="dxa"/>
          </w:tcPr>
          <w:p w14:paraId="3027AB3C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54420</w:t>
            </w:r>
          </w:p>
        </w:tc>
        <w:tc>
          <w:tcPr>
            <w:tcW w:w="1469" w:type="dxa"/>
          </w:tcPr>
          <w:p w14:paraId="7CE0EFE4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5C5FE886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Corpora cavernosa-saphenous vein shunt (priapism operation), unilateral or bilateral</w:t>
            </w:r>
          </w:p>
        </w:tc>
      </w:tr>
      <w:tr w:rsidR="00E85E69" w:rsidRPr="004E53B6" w14:paraId="67930043" w14:textId="77777777" w:rsidTr="00EE2548">
        <w:tc>
          <w:tcPr>
            <w:tcW w:w="3116" w:type="dxa"/>
          </w:tcPr>
          <w:p w14:paraId="4AC63289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54430</w:t>
            </w:r>
          </w:p>
        </w:tc>
        <w:tc>
          <w:tcPr>
            <w:tcW w:w="1469" w:type="dxa"/>
          </w:tcPr>
          <w:p w14:paraId="308D8790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40967854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Corpora cavernosa-corpus spongiosum shunt (priapism operation), unilateral or bilateral</w:t>
            </w:r>
          </w:p>
        </w:tc>
      </w:tr>
      <w:tr w:rsidR="00E85E69" w:rsidRPr="004E53B6" w14:paraId="4CBFE224" w14:textId="77777777" w:rsidTr="00EE2548">
        <w:tc>
          <w:tcPr>
            <w:tcW w:w="3116" w:type="dxa"/>
          </w:tcPr>
          <w:p w14:paraId="0D7DEAB3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54435</w:t>
            </w:r>
          </w:p>
        </w:tc>
        <w:tc>
          <w:tcPr>
            <w:tcW w:w="1469" w:type="dxa"/>
          </w:tcPr>
          <w:p w14:paraId="32A19F2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7D62A77A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Corpora cavernosa-glans penis fistulization (eg, biopsy needle, Winter procedure, rongeur, or punch) for priapism</w:t>
            </w:r>
          </w:p>
        </w:tc>
      </w:tr>
      <w:tr w:rsidR="00E85E69" w:rsidRPr="004E53B6" w14:paraId="4953EB6F" w14:textId="77777777" w:rsidTr="00EE2548">
        <w:tc>
          <w:tcPr>
            <w:tcW w:w="3116" w:type="dxa"/>
          </w:tcPr>
          <w:p w14:paraId="78534B6D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54400</w:t>
            </w:r>
          </w:p>
        </w:tc>
        <w:tc>
          <w:tcPr>
            <w:tcW w:w="1469" w:type="dxa"/>
          </w:tcPr>
          <w:p w14:paraId="2E819853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3CBD6837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Insertion of penile prosthesis; non-inflatable (semi-rigid)</w:t>
            </w:r>
          </w:p>
        </w:tc>
      </w:tr>
      <w:tr w:rsidR="00E85E69" w:rsidRPr="004E53B6" w14:paraId="537DED56" w14:textId="77777777" w:rsidTr="00EE2548">
        <w:tc>
          <w:tcPr>
            <w:tcW w:w="3116" w:type="dxa"/>
          </w:tcPr>
          <w:p w14:paraId="337BD8EB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54405</w:t>
            </w:r>
          </w:p>
        </w:tc>
        <w:tc>
          <w:tcPr>
            <w:tcW w:w="1469" w:type="dxa"/>
          </w:tcPr>
          <w:p w14:paraId="313D6FD0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1CF73A2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4E53B6">
              <w:rPr>
                <w:rFonts w:ascii="Calibri" w:hAnsi="Calibri" w:cs="Calibri"/>
                <w:sz w:val="24"/>
                <w:szCs w:val="24"/>
                <w:highlight w:val="white"/>
              </w:rPr>
              <w:t>Insertion of multi-component, inflatable penile prosthesis, including placement of pump, cylinders, and reservoir</w:t>
            </w:r>
          </w:p>
        </w:tc>
      </w:tr>
      <w:tr w:rsidR="00E85E69" w:rsidRPr="004E53B6" w14:paraId="4EE4DA28" w14:textId="77777777" w:rsidTr="00EE2548">
        <w:tc>
          <w:tcPr>
            <w:tcW w:w="3116" w:type="dxa"/>
          </w:tcPr>
          <w:p w14:paraId="2106E4EB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55840</w:t>
            </w:r>
          </w:p>
        </w:tc>
        <w:tc>
          <w:tcPr>
            <w:tcW w:w="1469" w:type="dxa"/>
          </w:tcPr>
          <w:p w14:paraId="2088DBB2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3D610AB7" w14:textId="77777777" w:rsidR="00E85E69" w:rsidRPr="00A4757C" w:rsidRDefault="00E85E69" w:rsidP="00EE2548">
            <w:pPr>
              <w:rPr>
                <w:rFonts w:ascii="Calibri" w:hAnsi="Calibri" w:cs="Calibri"/>
                <w:color w:val="000000" w:themeColor="text1"/>
                <w:sz w:val="24"/>
                <w:szCs w:val="24"/>
                <w:highlight w:val="white"/>
              </w:rPr>
            </w:pPr>
            <w:r w:rsidRPr="00A4757C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Prostatectomy, retropubic radical, with or without nerve sparing</w:t>
            </w:r>
          </w:p>
        </w:tc>
      </w:tr>
      <w:tr w:rsidR="00E85E69" w:rsidRPr="004E53B6" w14:paraId="212FF6E8" w14:textId="77777777" w:rsidTr="00EE2548">
        <w:tc>
          <w:tcPr>
            <w:tcW w:w="3116" w:type="dxa"/>
          </w:tcPr>
          <w:p w14:paraId="3C921BE7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55845</w:t>
            </w:r>
          </w:p>
        </w:tc>
        <w:tc>
          <w:tcPr>
            <w:tcW w:w="1469" w:type="dxa"/>
          </w:tcPr>
          <w:p w14:paraId="4C4551EC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1A649EE2" w14:textId="77777777" w:rsidR="00E85E69" w:rsidRPr="00A4757C" w:rsidRDefault="00E85E69" w:rsidP="00EE2548">
            <w:pPr>
              <w:rPr>
                <w:rFonts w:ascii="Calibri" w:hAnsi="Calibri" w:cs="Calibri"/>
                <w:color w:val="000000" w:themeColor="text1"/>
                <w:sz w:val="24"/>
                <w:szCs w:val="24"/>
                <w:highlight w:val="white"/>
              </w:rPr>
            </w:pPr>
            <w:r w:rsidRPr="00A4757C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Prostatectomy, retropubic radical, with or without nerve sparing; with bilateral pelvic lymphadenectomy, including external iliac, hypogastric, and obturator nodes</w:t>
            </w:r>
          </w:p>
        </w:tc>
      </w:tr>
      <w:tr w:rsidR="00E85E69" w:rsidRPr="004E53B6" w14:paraId="65F26834" w14:textId="77777777" w:rsidTr="00EE2548">
        <w:tc>
          <w:tcPr>
            <w:tcW w:w="3116" w:type="dxa"/>
          </w:tcPr>
          <w:p w14:paraId="481FDB9A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55866</w:t>
            </w:r>
          </w:p>
        </w:tc>
        <w:tc>
          <w:tcPr>
            <w:tcW w:w="1469" w:type="dxa"/>
          </w:tcPr>
          <w:p w14:paraId="09387B11" w14:textId="77777777" w:rsidR="00E85E69" w:rsidRPr="004E53B6" w:rsidRDefault="00E85E69" w:rsidP="00EE2548">
            <w:pPr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CPT</w:t>
            </w:r>
          </w:p>
        </w:tc>
        <w:tc>
          <w:tcPr>
            <w:tcW w:w="4765" w:type="dxa"/>
          </w:tcPr>
          <w:p w14:paraId="56D5DFAA" w14:textId="77777777" w:rsidR="00E85E69" w:rsidRPr="00A4757C" w:rsidRDefault="00E85E69" w:rsidP="00EE2548">
            <w:pPr>
              <w:rPr>
                <w:rFonts w:ascii="Calibri" w:hAnsi="Calibri" w:cs="Calibri"/>
                <w:color w:val="000000" w:themeColor="text1"/>
                <w:sz w:val="24"/>
                <w:szCs w:val="24"/>
                <w:highlight w:val="white"/>
              </w:rPr>
            </w:pPr>
            <w:r w:rsidRPr="00A4757C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Laparoscopy, surgical prostatectomy, retropubic radical, including nerve sparing, includes robotic assistance, when performed</w:t>
            </w:r>
          </w:p>
        </w:tc>
      </w:tr>
    </w:tbl>
    <w:p w14:paraId="230B4049" w14:textId="77777777" w:rsidR="002F0F5E" w:rsidRDefault="00E85E69"/>
    <w:sectPr w:rsidR="002F0F5E" w:rsidSect="006709A7">
      <w:footerReference w:type="even" r:id="rId4"/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1101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3B450" w14:textId="77777777" w:rsidR="00D722E3" w:rsidRDefault="00E85E69" w:rsidP="000D71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3AB9143D" w14:textId="77777777" w:rsidR="00D722E3" w:rsidRDefault="00E85E69" w:rsidP="00B51A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98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2BE7A9" w14:textId="77777777" w:rsidR="00D722E3" w:rsidRDefault="00E85E69" w:rsidP="000D71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63317B" w14:textId="77777777" w:rsidR="00D722E3" w:rsidRDefault="00E85E69" w:rsidP="00B51A4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69"/>
    <w:rsid w:val="0021090F"/>
    <w:rsid w:val="003A76DF"/>
    <w:rsid w:val="00C52827"/>
    <w:rsid w:val="00DB1091"/>
    <w:rsid w:val="00E85E69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EA29"/>
  <w15:chartTrackingRefBased/>
  <w15:docId w15:val="{496A3AF8-F462-4CC4-8486-65EA4611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E6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5E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E69"/>
    <w:rPr>
      <w:rFonts w:ascii="Arial" w:eastAsia="Arial" w:hAnsi="Arial" w:cs="Arial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E85E69"/>
  </w:style>
  <w:style w:type="table" w:styleId="TableGrid">
    <w:name w:val="Table Grid"/>
    <w:basedOn w:val="TableNormal"/>
    <w:uiPriority w:val="39"/>
    <w:rsid w:val="00E85E69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>Springer Nature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2023-08-23T06:55:00Z</dcterms:created>
  <dcterms:modified xsi:type="dcterms:W3CDTF">2023-08-23T06:55:00Z</dcterms:modified>
</cp:coreProperties>
</file>