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4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9"/>
        <w:gridCol w:w="2608"/>
        <w:gridCol w:w="907"/>
        <w:gridCol w:w="2608"/>
        <w:gridCol w:w="9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9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1"/>
                <w:szCs w:val="21"/>
              </w:rPr>
              <w:t xml:space="preserve">Table </w:t>
            </w: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1"/>
                <w:szCs w:val="21"/>
                <w:lang w:val="en-US" w:eastAsia="zh-CN"/>
              </w:rPr>
              <w:t>S1.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1"/>
                <w:szCs w:val="21"/>
              </w:rPr>
              <w:t xml:space="preserve"> The 2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1"/>
                <w:szCs w:val="21"/>
                <w:vertAlign w:val="superscript"/>
              </w:rPr>
              <w:t>nd</w:t>
            </w: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1"/>
                <w:szCs w:val="21"/>
                <w:vertAlign w:val="superscript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1"/>
                <w:szCs w:val="21"/>
              </w:rPr>
              <w:t>and the 3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1"/>
                <w:szCs w:val="21"/>
                <w:vertAlign w:val="superscript"/>
              </w:rPr>
              <w:t>rd</w:t>
            </w:r>
            <w:r>
              <w:rPr>
                <w:rFonts w:hint="eastAsia" w:ascii="Times New Roman" w:hAnsi="Times New Roman" w:cs="Times New Roman"/>
                <w:b/>
                <w:bCs w:val="0"/>
                <w:color w:val="auto"/>
                <w:sz w:val="21"/>
                <w:szCs w:val="21"/>
                <w:vertAlign w:val="superscript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color w:val="auto"/>
                <w:sz w:val="21"/>
                <w:szCs w:val="21"/>
              </w:rPr>
              <w:t xml:space="preserve">multivariate analysis of postoperative survival in ICC patients with stones 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tcBorders>
              <w:top w:val="single" w:color="auto" w:sz="4" w:space="0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351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ultivariate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 xml:space="preserve"> (2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superscript"/>
                <w:lang w:val="en-US" w:eastAsia="zh-CN"/>
              </w:rPr>
              <w:t>nd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3515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ultivariate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 xml:space="preserve"> (3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superscript"/>
                <w:lang w:val="en-US" w:eastAsia="zh-CN"/>
              </w:rPr>
              <w:t>rdt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tcBorders>
              <w:bottom w:val="single" w:color="auto" w:sz="4" w:space="0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Variable</w:t>
            </w:r>
          </w:p>
        </w:tc>
        <w:tc>
          <w:tcPr>
            <w:tcW w:w="260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OR (95%CI)</w:t>
            </w:r>
          </w:p>
        </w:tc>
        <w:tc>
          <w:tcPr>
            <w:tcW w:w="90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18"/>
                <w:szCs w:val="18"/>
              </w:rPr>
              <w:t>p-value</w:t>
            </w:r>
          </w:p>
        </w:tc>
        <w:tc>
          <w:tcPr>
            <w:tcW w:w="260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OR (95%CI)</w:t>
            </w:r>
          </w:p>
        </w:tc>
        <w:tc>
          <w:tcPr>
            <w:tcW w:w="90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18"/>
                <w:szCs w:val="18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Histological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 xml:space="preserve">grade </w:t>
            </w: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80" w:firstLineChars="10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Well-Moderate</w:t>
            </w: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1 (reference)</w:t>
            </w: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1 (reference)</w:t>
            </w: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80" w:firstLineChars="10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Poor or Undifferentiated</w:t>
            </w: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760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300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- 2.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382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1.934 (1.419 - 2.635)</w:t>
            </w: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 xml:space="preserve">ATCC 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TNM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 xml:space="preserve"> staging</w:t>
            </w: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80" w:firstLineChars="10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IA</w:t>
            </w: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1 (reference)</w:t>
            </w: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80" w:firstLineChars="10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IB</w:t>
            </w: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2.652 (1.089 - 6.460)</w:t>
            </w: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032</w:t>
            </w: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80" w:firstLineChars="10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II</w:t>
            </w: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3.363 (1.477 - 7.661)</w:t>
            </w: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04</w:t>
            </w: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80" w:firstLineChars="10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IIIA</w:t>
            </w: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5.807 (2.450 - 13.768)</w:t>
            </w: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80" w:firstLineChars="10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IIIB</w:t>
            </w: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7.807 (3.832 - 15.907)</w:t>
            </w: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80" w:firstLineChars="10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  <w:t>IV</w:t>
            </w: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14.853 (6.757 - 32.647)</w:t>
            </w: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hlTNM staging</w:t>
            </w: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80" w:firstLineChars="10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I</w:t>
            </w: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1 (reference)</w:t>
            </w: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80" w:firstLineChars="10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II</w:t>
            </w: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2.852 (1.168 - 6.967)</w:t>
            </w: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0.02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80" w:firstLineChars="10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IIIA</w:t>
            </w: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3.612 (1.581 - 8.252)</w:t>
            </w: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80" w:firstLineChars="10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IIIB</w:t>
            </w: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6.212 (2.608 - 14.798)</w:t>
            </w: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242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80" w:firstLineChars="10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IIIC</w:t>
            </w: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608" w:type="dxa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6.376 (3.063 - 13.270)</w:t>
            </w:r>
          </w:p>
        </w:tc>
        <w:tc>
          <w:tcPr>
            <w:tcW w:w="907" w:type="dxa"/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80" w:firstLineChars="100"/>
              <w:jc w:val="left"/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val="en-US" w:eastAsia="zh-CN"/>
              </w:rPr>
              <w:t>IIID + IV</w:t>
            </w:r>
          </w:p>
        </w:tc>
        <w:tc>
          <w:tcPr>
            <w:tcW w:w="2608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07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</w:p>
        </w:tc>
        <w:tc>
          <w:tcPr>
            <w:tcW w:w="2608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13.043 (6.183 - 27.512)</w:t>
            </w:r>
          </w:p>
        </w:tc>
        <w:tc>
          <w:tcPr>
            <w:tcW w:w="907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59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ll significantly important prognostic factors from the univariate analysis except for hlTNM staging</w:t>
            </w:r>
            <w:r>
              <w:rPr>
                <w:rFonts w:hint="eastAsia" w:ascii="Times New Roman" w:hAnsi="Times New Roman" w:eastAsia="等线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 xml:space="preserve"> were included in the </w:t>
            </w:r>
            <w: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2nd</w:t>
            </w:r>
            <w:r>
              <w:rPr>
                <w:rFonts w:hint="eastAsia" w:ascii="Times New Roman" w:hAnsi="Times New Roman" w:eastAsia="等线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 xml:space="preserve"> multivariate analyses.</w:t>
            </w:r>
            <w: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  <w:p>
            <w:pPr>
              <w:numPr>
                <w:ilvl w:val="0"/>
                <w:numId w:val="1"/>
              </w:numP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A</w:t>
            </w:r>
            <w: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ll significantly important prognostic factors from the univariate analysis except for the 8th edition AJCC TNM staging</w:t>
            </w:r>
            <w:r>
              <w:rPr>
                <w:rFonts w:hint="eastAsia" w:ascii="Times New Roman" w:hAnsi="Times New Roman" w:eastAsia="等线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 xml:space="preserve"> were included in the </w:t>
            </w:r>
            <w: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3rd</w:t>
            </w:r>
            <w:r>
              <w:rPr>
                <w:rFonts w:hint="eastAsia" w:ascii="Times New Roman" w:hAnsi="Times New Roman" w:eastAsia="等线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 xml:space="preserve"> multivariate analyses.</w:t>
            </w:r>
            <w: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Abbreviations:</w:t>
            </w:r>
            <w:r>
              <w:rPr>
                <w:rFonts w:hint="eastAsia" w:ascii="Times New Roman" w:hAnsi="Times New Roman" w:eastAsia="等线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 xml:space="preserve"> ICC, i</w:t>
            </w:r>
            <w: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ntrahepatic cholangiocarcinoma</w:t>
            </w:r>
            <w:r>
              <w:rPr>
                <w:rFonts w:hint="eastAsia" w:ascii="Times New Roman" w:hAnsi="Times New Roman" w:eastAsia="等线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; OR, odds ratio;</w:t>
            </w:r>
            <w: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18"/>
                <w:szCs w:val="18"/>
              </w:rPr>
              <w:t xml:space="preserve"> AJCC, American Joint Committee Cancer</w:t>
            </w:r>
            <w:r>
              <w:rPr>
                <w:rFonts w:hint="default" w:ascii="Times New Roman" w:hAnsi="Times New Roman" w:eastAsia="等线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>;</w:t>
            </w:r>
            <w:r>
              <w:rPr>
                <w:rFonts w:hint="eastAsia" w:ascii="Times New Roman" w:hAnsi="Times New Roman" w:eastAsia="等线" w:cs="Times New Roman"/>
                <w:b w:val="0"/>
                <w:bCs/>
                <w:color w:val="auto"/>
                <w:kern w:val="0"/>
                <w:sz w:val="18"/>
                <w:szCs w:val="18"/>
                <w:lang w:val="en-US" w:eastAsia="zh-CN"/>
              </w:rPr>
              <w:t xml:space="preserve"> hlTNM, hepatolithiasis TNM.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833D56"/>
    <w:multiLevelType w:val="singleLevel"/>
    <w:tmpl w:val="4C833D56"/>
    <w:lvl w:ilvl="0" w:tentative="0">
      <w:start w:val="1"/>
      <w:numFmt w:val="low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3MTkwYjUyYjEzMmYxZGU2OTQ4NTNkYzhkMTJlODQifQ=="/>
  </w:docVars>
  <w:rsids>
    <w:rsidRoot w:val="00000000"/>
    <w:rsid w:val="101774DC"/>
    <w:rsid w:val="1071419F"/>
    <w:rsid w:val="27FF0F70"/>
    <w:rsid w:val="6B74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/>
      <w:color w:val="FF0000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995</Characters>
  <Lines>0</Lines>
  <Paragraphs>0</Paragraphs>
  <TotalTime>1</TotalTime>
  <ScaleCrop>false</ScaleCrop>
  <LinksUpToDate>false</LinksUpToDate>
  <CharactersWithSpaces>1112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我爱这哭不出的浪漫</cp:lastModifiedBy>
  <dcterms:modified xsi:type="dcterms:W3CDTF">2023-06-07T16:58:02Z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FAA9A2AD18E34DE0ADB96221B58160A1_12</vt:lpwstr>
  </property>
</Properties>
</file>