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D3FD8" w14:textId="005EECA3" w:rsidR="008D4224" w:rsidRDefault="008D4224" w:rsidP="008D422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4224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43830DA6" w14:textId="4CD66C80" w:rsidR="00673F4F" w:rsidRDefault="0074523C" w:rsidP="00630137"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E4F62A5" wp14:editId="129B74BB">
            <wp:extent cx="5274310" cy="1978660"/>
            <wp:effectExtent l="0" t="0" r="2540" b="2540"/>
            <wp:docPr id="11713238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323888" name="图片 1171323888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839"/>
                    <a:stretch/>
                  </pic:blipFill>
                  <pic:spPr bwMode="auto">
                    <a:xfrm>
                      <a:off x="0" y="0"/>
                      <a:ext cx="5274310" cy="1978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DB071F" w14:textId="1F133203" w:rsidR="0074523C" w:rsidRPr="0086673E" w:rsidRDefault="0074523C" w:rsidP="00630137">
      <w:pPr>
        <w:spacing w:line="44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86673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863F9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DB43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Purification and characterization of FMDV capsids.</w:t>
      </w:r>
    </w:p>
    <w:p w14:paraId="1EAD0EE6" w14:textId="5AC00BCF" w:rsidR="0074523C" w:rsidRPr="0086673E" w:rsidRDefault="0074523C" w:rsidP="00630137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86673E">
        <w:rPr>
          <w:rFonts w:ascii="Times New Roman" w:hAnsi="Times New Roman" w:cs="Times New Roman"/>
          <w:sz w:val="24"/>
          <w:szCs w:val="24"/>
        </w:rPr>
        <w:t>(A</w:t>
      </w:r>
      <w:r>
        <w:rPr>
          <w:rFonts w:ascii="Times New Roman" w:hAnsi="Times New Roman" w:cs="Times New Roman"/>
          <w:sz w:val="24"/>
          <w:szCs w:val="24"/>
        </w:rPr>
        <w:t xml:space="preserve"> and B</w:t>
      </w:r>
      <w:r w:rsidRPr="0086673E">
        <w:rPr>
          <w:rFonts w:ascii="Times New Roman" w:hAnsi="Times New Roman" w:cs="Times New Roman"/>
          <w:sz w:val="24"/>
          <w:szCs w:val="24"/>
        </w:rPr>
        <w:t>)</w:t>
      </w:r>
      <w:r w:rsidRPr="00B64B73">
        <w:t xml:space="preserve"> </w:t>
      </w:r>
      <w:r w:rsidRPr="00B64B73">
        <w:rPr>
          <w:rFonts w:ascii="Times New Roman" w:hAnsi="Times New Roman" w:cs="Times New Roman"/>
          <w:sz w:val="24"/>
          <w:szCs w:val="24"/>
        </w:rPr>
        <w:t xml:space="preserve">A negatively stained electron micrograph of the </w:t>
      </w:r>
      <w:r w:rsidRPr="00DC77C3">
        <w:rPr>
          <w:rFonts w:ascii="Times New Roman" w:hAnsi="Times New Roman" w:cs="Times New Roman"/>
          <w:i/>
          <w:iCs/>
          <w:sz w:val="24"/>
          <w:szCs w:val="24"/>
        </w:rPr>
        <w:t>OD</w:t>
      </w:r>
      <w:r w:rsidRPr="00DC77C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260/280</w:t>
      </w:r>
      <w:r w:rsidRPr="008667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peak </w:t>
      </w:r>
      <w:r w:rsidRPr="0086673E">
        <w:rPr>
          <w:rFonts w:ascii="Times New Roman" w:hAnsi="Times New Roman" w:cs="Times New Roman"/>
          <w:sz w:val="24"/>
          <w:szCs w:val="24"/>
        </w:rPr>
        <w:t>values</w:t>
      </w:r>
      <w:r>
        <w:rPr>
          <w:rFonts w:ascii="Times New Roman" w:hAnsi="Times New Roman" w:cs="Times New Roman"/>
          <w:sz w:val="24"/>
          <w:szCs w:val="24"/>
        </w:rPr>
        <w:t>(A)</w:t>
      </w:r>
      <w:r w:rsidRPr="00B64B73">
        <w:rPr>
          <w:rFonts w:ascii="Times New Roman" w:hAnsi="Times New Roman" w:cs="Times New Roman"/>
          <w:sz w:val="24"/>
          <w:szCs w:val="24"/>
        </w:rPr>
        <w:t xml:space="preserve"> collected from a 10 to 50% </w:t>
      </w:r>
      <w:r w:rsidRPr="0086673E">
        <w:rPr>
          <w:rFonts w:ascii="Times New Roman" w:hAnsi="Times New Roman" w:cs="Times New Roman"/>
          <w:sz w:val="24"/>
          <w:szCs w:val="24"/>
        </w:rPr>
        <w:t>sucrose density gradient</w:t>
      </w:r>
      <w:r w:rsidRPr="00B64B73">
        <w:rPr>
          <w:rFonts w:ascii="Times New Roman" w:hAnsi="Times New Roman" w:cs="Times New Roman"/>
          <w:sz w:val="24"/>
          <w:szCs w:val="24"/>
        </w:rPr>
        <w:t xml:space="preserve"> demonstrates the presence of full capsids</w:t>
      </w:r>
      <w:r>
        <w:rPr>
          <w:rFonts w:ascii="Times New Roman" w:hAnsi="Times New Roman" w:cs="Times New Roman"/>
          <w:sz w:val="24"/>
          <w:szCs w:val="24"/>
        </w:rPr>
        <w:t xml:space="preserve">(B), </w:t>
      </w:r>
      <w:r w:rsidRPr="0086673E">
        <w:rPr>
          <w:rFonts w:ascii="Times New Roman" w:hAnsi="Times New Roman" w:cs="Times New Roman"/>
          <w:sz w:val="24"/>
          <w:szCs w:val="24"/>
        </w:rPr>
        <w:t>bar=50 nm</w:t>
      </w:r>
      <w:r w:rsidRPr="00B64B73">
        <w:rPr>
          <w:rFonts w:ascii="Times New Roman" w:hAnsi="Times New Roman" w:cs="Times New Roman"/>
          <w:sz w:val="24"/>
          <w:szCs w:val="24"/>
        </w:rPr>
        <w:t>.</w:t>
      </w:r>
      <w:r w:rsidRPr="0086673E">
        <w:rPr>
          <w:rFonts w:ascii="Times New Roman" w:hAnsi="Times New Roman" w:cs="Times New Roman"/>
          <w:sz w:val="24"/>
          <w:szCs w:val="24"/>
        </w:rPr>
        <w:t xml:space="preserve"> (C) VP1 (27 </w:t>
      </w:r>
      <w:proofErr w:type="spellStart"/>
      <w:r w:rsidRPr="0086673E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86673E">
        <w:rPr>
          <w:rFonts w:ascii="Times New Roman" w:hAnsi="Times New Roman" w:cs="Times New Roman"/>
          <w:sz w:val="24"/>
          <w:szCs w:val="24"/>
        </w:rPr>
        <w:t xml:space="preserve">), VP2 (36 </w:t>
      </w:r>
      <w:proofErr w:type="spellStart"/>
      <w:r w:rsidRPr="0086673E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86673E">
        <w:rPr>
          <w:rFonts w:ascii="Times New Roman" w:hAnsi="Times New Roman" w:cs="Times New Roman"/>
          <w:sz w:val="24"/>
          <w:szCs w:val="24"/>
        </w:rPr>
        <w:t>)</w:t>
      </w:r>
      <w:r w:rsidR="00DB43BD">
        <w:rPr>
          <w:rFonts w:ascii="Times New Roman" w:hAnsi="Times New Roman" w:cs="Times New Roman"/>
          <w:sz w:val="24"/>
          <w:szCs w:val="24"/>
        </w:rPr>
        <w:t>,</w:t>
      </w:r>
      <w:r w:rsidRPr="0086673E">
        <w:rPr>
          <w:rFonts w:ascii="Times New Roman" w:hAnsi="Times New Roman" w:cs="Times New Roman"/>
          <w:sz w:val="24"/>
          <w:szCs w:val="24"/>
        </w:rPr>
        <w:t xml:space="preserve"> and VP3 (31 </w:t>
      </w:r>
      <w:proofErr w:type="spellStart"/>
      <w:r w:rsidRPr="0086673E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86673E">
        <w:rPr>
          <w:rFonts w:ascii="Times New Roman" w:hAnsi="Times New Roman" w:cs="Times New Roman"/>
          <w:sz w:val="24"/>
          <w:szCs w:val="24"/>
        </w:rPr>
        <w:t>) bands were observed in the whole protein analyzed by SDS-PAGE. Lane M, molecular mass marker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4648D9" w14:textId="4927264A" w:rsidR="0074523C" w:rsidRDefault="0074523C" w:rsidP="00630137">
      <w:r>
        <w:rPr>
          <w:rFonts w:hint="eastAsia"/>
          <w:noProof/>
        </w:rPr>
        <w:drawing>
          <wp:inline distT="0" distB="0" distL="0" distR="0" wp14:anchorId="7DF4CB28" wp14:editId="2541A8F5">
            <wp:extent cx="5274310" cy="2825087"/>
            <wp:effectExtent l="0" t="0" r="2540" b="0"/>
            <wp:docPr id="3232806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280639" name="图片 323280639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087"/>
                    <a:stretch/>
                  </pic:blipFill>
                  <pic:spPr bwMode="auto">
                    <a:xfrm>
                      <a:off x="0" y="0"/>
                      <a:ext cx="5274310" cy="2825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4B7FDB" w14:textId="20BC543D" w:rsidR="0074523C" w:rsidRPr="0086673E" w:rsidRDefault="0074523C" w:rsidP="00630137">
      <w:pPr>
        <w:spacing w:line="440" w:lineRule="exac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86673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863F9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 w:rsidR="00DB43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6673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Gating strategy of </w:t>
      </w:r>
      <w:r w:rsidRPr="0086673E">
        <w:rPr>
          <w:rFonts w:ascii="Times New Roman" w:eastAsia="仿宋" w:hAnsi="Times New Roman" w:cs="Times New Roman"/>
          <w:b/>
          <w:bCs/>
          <w:sz w:val="24"/>
          <w:szCs w:val="28"/>
        </w:rPr>
        <w:t>autologous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6673E">
        <w:rPr>
          <w:rFonts w:ascii="Times New Roman" w:eastAsia="仿宋" w:hAnsi="Times New Roman" w:cs="Times New Roman"/>
          <w:b/>
          <w:bCs/>
          <w:sz w:val="24"/>
          <w:szCs w:val="28"/>
        </w:rPr>
        <w:t>monocyte-derived DCs</w:t>
      </w:r>
      <w:r w:rsidR="00DB43BD">
        <w:rPr>
          <w:rFonts w:ascii="Times New Roman" w:eastAsia="仿宋" w:hAnsi="Times New Roman" w:cs="Times New Roman" w:hint="eastAsia"/>
          <w:b/>
          <w:bCs/>
          <w:sz w:val="24"/>
          <w:szCs w:val="28"/>
        </w:rPr>
        <w:t>.</w:t>
      </w:r>
    </w:p>
    <w:p w14:paraId="6A74ABEE" w14:textId="102A4A5C" w:rsidR="0074523C" w:rsidRPr="0086673E" w:rsidRDefault="0074523C" w:rsidP="00630137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86673E">
        <w:rPr>
          <w:rFonts w:ascii="Times New Roman" w:hAnsi="Times New Roman" w:cs="Times New Roman"/>
          <w:sz w:val="24"/>
          <w:szCs w:val="24"/>
        </w:rPr>
        <w:t>(A)</w:t>
      </w:r>
      <w:r w:rsidRPr="00B70A68">
        <w:rPr>
          <w:rFonts w:ascii="Times New Roman" w:hAnsi="Times New Roman" w:cs="Times New Roman"/>
          <w:sz w:val="24"/>
          <w:szCs w:val="24"/>
        </w:rPr>
        <w:t xml:space="preserve"> </w:t>
      </w:r>
      <w:r w:rsidRPr="00C83F43">
        <w:rPr>
          <w:rFonts w:ascii="Times New Roman" w:hAnsi="Times New Roman" w:cs="Times New Roman"/>
          <w:sz w:val="24"/>
          <w:szCs w:val="24"/>
        </w:rPr>
        <w:t xml:space="preserve">Gating strategy for porcine </w:t>
      </w:r>
      <w:proofErr w:type="spellStart"/>
      <w:r w:rsidRPr="00C83F43">
        <w:rPr>
          <w:rFonts w:ascii="Times New Roman" w:hAnsi="Times New Roman" w:cs="Times New Roman"/>
          <w:sz w:val="24"/>
          <w:szCs w:val="24"/>
        </w:rPr>
        <w:t>MoDCs</w:t>
      </w:r>
      <w:proofErr w:type="spellEnd"/>
      <w:r w:rsidRPr="00C83F43">
        <w:rPr>
          <w:rFonts w:ascii="Times New Roman" w:hAnsi="Times New Roman" w:cs="Times New Roman"/>
          <w:sz w:val="24"/>
          <w:szCs w:val="24"/>
        </w:rPr>
        <w:t>. Monocyte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blue)</w:t>
      </w:r>
      <w:r w:rsidRPr="00C83F43">
        <w:rPr>
          <w:rFonts w:ascii="Times New Roman" w:hAnsi="Times New Roman" w:cs="Times New Roman"/>
          <w:sz w:val="24"/>
          <w:szCs w:val="24"/>
        </w:rPr>
        <w:t xml:space="preserve"> was gated according to FSC-A/SSC-A properties</w:t>
      </w:r>
      <w:r w:rsidR="00DB43BD">
        <w:rPr>
          <w:rFonts w:ascii="Times New Roman" w:hAnsi="Times New Roman" w:cs="Times New Roman"/>
          <w:sz w:val="24"/>
          <w:szCs w:val="24"/>
        </w:rPr>
        <w:t>,</w:t>
      </w:r>
      <w:r w:rsidRPr="00C83F43">
        <w:rPr>
          <w:rFonts w:ascii="Times New Roman" w:hAnsi="Times New Roman" w:cs="Times New Roman"/>
          <w:sz w:val="24"/>
          <w:szCs w:val="24"/>
        </w:rPr>
        <w:t xml:space="preserve"> and dead cells </w:t>
      </w:r>
      <w:r w:rsidR="00DB43BD">
        <w:rPr>
          <w:rFonts w:ascii="Times New Roman" w:hAnsi="Times New Roman" w:cs="Times New Roman"/>
          <w:sz w:val="24"/>
          <w:szCs w:val="24"/>
        </w:rPr>
        <w:t xml:space="preserve">were </w:t>
      </w:r>
      <w:r w:rsidRPr="00C83F43">
        <w:rPr>
          <w:rFonts w:ascii="Times New Roman" w:hAnsi="Times New Roman" w:cs="Times New Roman"/>
          <w:sz w:val="24"/>
          <w:szCs w:val="24"/>
        </w:rPr>
        <w:t>excluded (</w:t>
      </w:r>
      <w:r>
        <w:rPr>
          <w:rFonts w:ascii="Times New Roman" w:hAnsi="Times New Roman" w:cs="Times New Roman"/>
          <w:sz w:val="24"/>
          <w:szCs w:val="24"/>
        </w:rPr>
        <w:t>red</w:t>
      </w:r>
      <w:r w:rsidRPr="00C83F43">
        <w:rPr>
          <w:rFonts w:ascii="Times New Roman" w:hAnsi="Times New Roman" w:cs="Times New Roman"/>
          <w:sz w:val="24"/>
          <w:szCs w:val="24"/>
        </w:rPr>
        <w:t xml:space="preserve">). DC cells were identified by co-expression of </w:t>
      </w:r>
      <w:r w:rsidRPr="0086673E">
        <w:rPr>
          <w:rFonts w:ascii="Times New Roman" w:hAnsi="Times New Roman" w:cs="Times New Roman"/>
          <w:sz w:val="24"/>
          <w:szCs w:val="24"/>
        </w:rPr>
        <w:t xml:space="preserve">MHC </w:t>
      </w:r>
      <w:proofErr w:type="spellStart"/>
      <w:r w:rsidRPr="0086673E">
        <w:rPr>
          <w:rFonts w:ascii="Times New Roman" w:hAnsi="Times New Roman" w:cs="Times New Roman"/>
          <w:sz w:val="24"/>
          <w:szCs w:val="24"/>
        </w:rPr>
        <w:t>II</w:t>
      </w:r>
      <w:r w:rsidRPr="005C5F2B">
        <w:rPr>
          <w:rFonts w:ascii="Times New Roman" w:hAnsi="Times New Roman" w:cs="Times New Roman"/>
          <w:sz w:val="24"/>
          <w:szCs w:val="24"/>
          <w:vertAlign w:val="superscript"/>
        </w:rPr>
        <w:t>hi</w:t>
      </w:r>
      <w:proofErr w:type="spellEnd"/>
      <w:r w:rsidRPr="00C83F43">
        <w:rPr>
          <w:rFonts w:ascii="Times New Roman" w:hAnsi="Times New Roman" w:cs="Times New Roman"/>
          <w:sz w:val="24"/>
          <w:szCs w:val="24"/>
        </w:rPr>
        <w:t xml:space="preserve"> and </w:t>
      </w:r>
      <w:r w:rsidRPr="0086673E">
        <w:rPr>
          <w:rFonts w:ascii="Times New Roman" w:hAnsi="Times New Roman" w:cs="Times New Roman"/>
          <w:sz w:val="24"/>
          <w:szCs w:val="24"/>
        </w:rPr>
        <w:t>CD172a</w:t>
      </w:r>
      <w:r w:rsidRPr="00C83F43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orange</w:t>
      </w:r>
      <w:r w:rsidRPr="00C83F4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3F43">
        <w:rPr>
          <w:rFonts w:ascii="Times New Roman" w:hAnsi="Times New Roman" w:cs="Times New Roman"/>
          <w:sz w:val="24"/>
          <w:szCs w:val="24"/>
        </w:rPr>
        <w:t xml:space="preserve">and further sub-gated. </w:t>
      </w:r>
      <w:r w:rsidRPr="0086673E">
        <w:rPr>
          <w:rFonts w:ascii="Times New Roman" w:hAnsi="Times New Roman" w:cs="Times New Roman"/>
          <w:sz w:val="24"/>
          <w:szCs w:val="24"/>
        </w:rPr>
        <w:t>Representative histograms show CD1, CD80, CD14</w:t>
      </w:r>
      <w:r w:rsidR="00DB43BD">
        <w:rPr>
          <w:rFonts w:ascii="Times New Roman" w:hAnsi="Times New Roman" w:cs="Times New Roman"/>
          <w:sz w:val="24"/>
          <w:szCs w:val="24"/>
        </w:rPr>
        <w:t>,</w:t>
      </w:r>
      <w:r w:rsidRPr="0086673E">
        <w:rPr>
          <w:rFonts w:ascii="Times New Roman" w:hAnsi="Times New Roman" w:cs="Times New Roman"/>
          <w:sz w:val="24"/>
          <w:szCs w:val="24"/>
        </w:rPr>
        <w:t xml:space="preserve"> and CD163 expression on </w:t>
      </w:r>
      <w:proofErr w:type="spellStart"/>
      <w:r w:rsidRPr="0086673E">
        <w:rPr>
          <w:rFonts w:ascii="Times New Roman" w:hAnsi="Times New Roman" w:cs="Times New Roman"/>
          <w:sz w:val="24"/>
          <w:szCs w:val="24"/>
        </w:rPr>
        <w:t>MoDCs</w:t>
      </w:r>
      <w:proofErr w:type="spellEnd"/>
      <w:r w:rsidRPr="0086673E">
        <w:rPr>
          <w:rFonts w:ascii="Times New Roman" w:hAnsi="Times New Roman" w:cs="Times New Roman"/>
          <w:sz w:val="24"/>
          <w:szCs w:val="24"/>
        </w:rPr>
        <w:t>. Gray solid areas indicate fluorescence minus one control (FMO).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73E">
        <w:rPr>
          <w:rFonts w:ascii="Times New Roman" w:hAnsi="Times New Roman" w:cs="Times New Roman"/>
          <w:sz w:val="24"/>
          <w:szCs w:val="24"/>
        </w:rPr>
        <w:t xml:space="preserve">(B and C) </w:t>
      </w:r>
      <w:r w:rsidRPr="0086673E">
        <w:rPr>
          <w:rFonts w:ascii="Times New Roman" w:hAnsi="Times New Roman" w:cs="Times New Roman"/>
          <w:sz w:val="24"/>
          <w:szCs w:val="24"/>
        </w:rPr>
        <w:lastRenderedPageBreak/>
        <w:t xml:space="preserve">the percentage of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86673E">
        <w:rPr>
          <w:rFonts w:ascii="Times New Roman" w:hAnsi="Times New Roman" w:cs="Times New Roman"/>
          <w:sz w:val="24"/>
          <w:szCs w:val="24"/>
        </w:rPr>
        <w:t xml:space="preserve">ive cells and </w:t>
      </w:r>
      <w:r>
        <w:rPr>
          <w:rFonts w:ascii="Times New Roman" w:hAnsi="Times New Roman" w:cs="Times New Roman"/>
          <w:sz w:val="24"/>
          <w:szCs w:val="24"/>
        </w:rPr>
        <w:t>DCs</w:t>
      </w:r>
      <w:r w:rsidRPr="0086673E">
        <w:rPr>
          <w:rFonts w:ascii="Times New Roman" w:hAnsi="Times New Roman" w:cs="Times New Roman"/>
          <w:sz w:val="24"/>
          <w:szCs w:val="24"/>
        </w:rPr>
        <w:t xml:space="preserve"> treated with </w:t>
      </w:r>
      <w:proofErr w:type="spellStart"/>
      <w:r w:rsidRPr="0086673E">
        <w:rPr>
          <w:rFonts w:ascii="Times New Roman" w:hAnsi="Times New Roman" w:cs="Times New Roman"/>
          <w:sz w:val="24"/>
          <w:szCs w:val="24"/>
        </w:rPr>
        <w:t>iFMDV+LPS</w:t>
      </w:r>
      <w:proofErr w:type="spellEnd"/>
      <w:r w:rsidRPr="0086673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673E">
        <w:rPr>
          <w:rFonts w:ascii="Times New Roman" w:hAnsi="Times New Roman" w:cs="Times New Roman"/>
          <w:sz w:val="24"/>
          <w:szCs w:val="24"/>
        </w:rPr>
        <w:t>iFMDV</w:t>
      </w:r>
      <w:proofErr w:type="spellEnd"/>
      <w:r w:rsidR="00DB43BD">
        <w:rPr>
          <w:rFonts w:ascii="Times New Roman" w:hAnsi="Times New Roman" w:cs="Times New Roman"/>
          <w:sz w:val="24"/>
          <w:szCs w:val="24"/>
        </w:rPr>
        <w:t>,</w:t>
      </w:r>
      <w:r w:rsidRPr="008667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86673E">
        <w:rPr>
          <w:rFonts w:ascii="Times New Roman" w:hAnsi="Times New Roman" w:cs="Times New Roman"/>
          <w:sz w:val="24"/>
          <w:szCs w:val="24"/>
        </w:rPr>
        <w:t xml:space="preserve"> medium.</w:t>
      </w:r>
    </w:p>
    <w:p w14:paraId="0048FE2C" w14:textId="7FA72E69" w:rsidR="0074523C" w:rsidRDefault="0074523C" w:rsidP="00BA3F80">
      <w:pPr>
        <w:jc w:val="center"/>
      </w:pPr>
      <w:r>
        <w:rPr>
          <w:rFonts w:hint="eastAsia"/>
          <w:noProof/>
        </w:rPr>
        <w:drawing>
          <wp:inline distT="0" distB="0" distL="0" distR="0" wp14:anchorId="4BAC6024" wp14:editId="5CEAAAF5">
            <wp:extent cx="2893325" cy="6153150"/>
            <wp:effectExtent l="0" t="0" r="2540" b="0"/>
            <wp:docPr id="16992658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265812" name="图片 1699265812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143"/>
                    <a:stretch/>
                  </pic:blipFill>
                  <pic:spPr bwMode="auto">
                    <a:xfrm>
                      <a:off x="0" y="0"/>
                      <a:ext cx="2893325" cy="6153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A86BCC" w14:textId="39FC528E" w:rsidR="0074523C" w:rsidRPr="0086673E" w:rsidRDefault="0074523C" w:rsidP="00630137">
      <w:pPr>
        <w:autoSpaceDE w:val="0"/>
        <w:autoSpaceDN w:val="0"/>
        <w:adjustRightInd w:val="0"/>
        <w:spacing w:line="44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86673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863F9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="00DB43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Gating strategy of memory T cell, Intracellular cytokine, CD107a and Ki67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expression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in flow cytometr</w:t>
      </w:r>
      <w:r>
        <w:rPr>
          <w:rFonts w:ascii="Times New Roman" w:hAnsi="Times New Roman" w:cs="Times New Roman"/>
          <w:b/>
          <w:bCs/>
          <w:sz w:val="24"/>
          <w:szCs w:val="24"/>
        </w:rPr>
        <w:t>ic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analysis.</w:t>
      </w:r>
    </w:p>
    <w:p w14:paraId="15409084" w14:textId="04AAEEFB" w:rsidR="0074523C" w:rsidRPr="0074523C" w:rsidRDefault="0074523C" w:rsidP="00630137">
      <w:pPr>
        <w:pStyle w:val="a7"/>
        <w:numPr>
          <w:ilvl w:val="0"/>
          <w:numId w:val="1"/>
        </w:numPr>
        <w:spacing w:line="440" w:lineRule="exact"/>
        <w:ind w:firstLineChars="0"/>
        <w:rPr>
          <w:rFonts w:ascii="Times New Roman" w:hAnsi="Times New Roman" w:cs="Times New Roman"/>
          <w:sz w:val="24"/>
          <w:szCs w:val="24"/>
        </w:rPr>
      </w:pPr>
      <w:r w:rsidRPr="0074523C">
        <w:rPr>
          <w:rFonts w:ascii="Times New Roman" w:hAnsi="Times New Roman" w:cs="Times New Roman"/>
          <w:sz w:val="24"/>
          <w:szCs w:val="24"/>
        </w:rPr>
        <w:t>Gating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 strategy for distinct T cell subsets</w:t>
      </w:r>
      <w:r w:rsidRPr="0074523C">
        <w:rPr>
          <w:rFonts w:ascii="Times New Roman" w:hAnsi="Times New Roman" w:cs="Times New Roman"/>
          <w:sz w:val="24"/>
          <w:szCs w:val="24"/>
        </w:rPr>
        <w:t xml:space="preserve"> and NK cells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>. Lymphocytes were gated according to FSC-A/SSC-A properties</w:t>
      </w:r>
      <w:r w:rsidR="00DB43BD">
        <w:rPr>
          <w:rFonts w:ascii="Times New Roman" w:hAnsi="Times New Roman" w:cs="Times New Roman"/>
          <w:color w:val="282828"/>
          <w:sz w:val="24"/>
          <w:szCs w:val="24"/>
        </w:rPr>
        <w:t>;</w:t>
      </w:r>
      <w:r w:rsidR="00DB43BD"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 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doublets and dead cells were excluded (Fixable Viability Dye </w:t>
      </w:r>
      <w:proofErr w:type="spellStart"/>
      <w:r w:rsidRPr="0074523C">
        <w:rPr>
          <w:rFonts w:ascii="Times New Roman" w:hAnsi="Times New Roman" w:cs="Times New Roman"/>
          <w:color w:val="282828"/>
          <w:sz w:val="24"/>
          <w:szCs w:val="24"/>
        </w:rPr>
        <w:t>eFluor</w:t>
      </w:r>
      <w:proofErr w:type="spellEnd"/>
      <w:r w:rsidRPr="0074523C">
        <w:rPr>
          <w:rFonts w:ascii="Times New Roman" w:hAnsi="Times New Roman" w:cs="Times New Roman"/>
          <w:color w:val="282828"/>
          <w:sz w:val="24"/>
          <w:szCs w:val="24"/>
        </w:rPr>
        <w:t>™ 780).</w:t>
      </w:r>
      <w:r w:rsidRPr="007452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523C">
        <w:rPr>
          <w:rFonts w:ascii="Times New Roman" w:hAnsi="Times New Roman" w:cs="Times New Roman"/>
          <w:sz w:val="24"/>
          <w:szCs w:val="24"/>
        </w:rPr>
        <w:t>γδ</w:t>
      </w:r>
      <w:proofErr w:type="spellEnd"/>
      <w:r w:rsidRPr="0074523C">
        <w:rPr>
          <w:rFonts w:ascii="Times New Roman" w:hAnsi="Times New Roman" w:cs="Times New Roman"/>
          <w:sz w:val="24"/>
          <w:szCs w:val="24"/>
        </w:rPr>
        <w:t xml:space="preserve"> T cells 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were identified </w:t>
      </w:r>
      <w:r w:rsidRPr="0074523C">
        <w:rPr>
          <w:rFonts w:ascii="Times New Roman" w:hAnsi="Times New Roman" w:cs="Times New Roman"/>
          <w:sz w:val="24"/>
          <w:szCs w:val="24"/>
        </w:rPr>
        <w:t xml:space="preserve">on lymphocytes and 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excluded. </w:t>
      </w:r>
      <w:r w:rsidRPr="0074523C">
        <w:rPr>
          <w:rFonts w:ascii="Times New Roman" w:hAnsi="Times New Roman" w:cs="Times New Roman"/>
          <w:sz w:val="24"/>
          <w:szCs w:val="24"/>
        </w:rPr>
        <w:t xml:space="preserve">NK cells 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>were identified</w:t>
      </w:r>
      <w:r w:rsidRPr="0074523C">
        <w:rPr>
          <w:rFonts w:ascii="Times New Roman" w:hAnsi="Times New Roman" w:cs="Times New Roman"/>
          <w:sz w:val="24"/>
          <w:szCs w:val="24"/>
        </w:rPr>
        <w:t xml:space="preserve"> by TCRγδ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hAnsi="Times New Roman" w:cs="Times New Roman"/>
          <w:sz w:val="24"/>
          <w:szCs w:val="24"/>
        </w:rPr>
        <w:t>CD3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hAnsi="Times New Roman" w:cs="Times New Roman"/>
          <w:sz w:val="24"/>
          <w:szCs w:val="24"/>
        </w:rPr>
        <w:t>CD4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hAnsi="Times New Roman" w:cs="Times New Roman"/>
          <w:sz w:val="24"/>
          <w:szCs w:val="24"/>
        </w:rPr>
        <w:t>CD8α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hAnsi="Times New Roman" w:cs="Times New Roman"/>
          <w:sz w:val="24"/>
          <w:szCs w:val="24"/>
        </w:rPr>
        <w:t>. CD4</w:t>
      </w:r>
      <w:r w:rsidRPr="0074523C">
        <w:rPr>
          <w:rFonts w:ascii="Times New Roman" w:hAnsi="Times New Roman" w:cs="Times New Roman"/>
          <w:color w:val="282828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and </w:t>
      </w:r>
      <w:r w:rsidRPr="0074523C">
        <w:rPr>
          <w:rFonts w:ascii="Times New Roman" w:hAnsi="Times New Roman" w:cs="Times New Roman"/>
          <w:sz w:val="24"/>
          <w:szCs w:val="24"/>
        </w:rPr>
        <w:t>CD8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T cells were identified as </w:t>
      </w:r>
      <w:r w:rsidRPr="0074523C">
        <w:rPr>
          <w:rFonts w:ascii="Times New Roman" w:hAnsi="Times New Roman" w:cs="Times New Roman"/>
          <w:sz w:val="24"/>
          <w:szCs w:val="24"/>
        </w:rPr>
        <w:t>TCRγδ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hAnsi="Times New Roman" w:cs="Times New Roman"/>
          <w:sz w:val="24"/>
          <w:szCs w:val="24"/>
        </w:rPr>
        <w:t>CD3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hAnsi="Times New Roman" w:cs="Times New Roman"/>
          <w:sz w:val="24"/>
          <w:szCs w:val="24"/>
        </w:rPr>
        <w:t>CD4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sz w:val="24"/>
          <w:szCs w:val="24"/>
        </w:rPr>
        <w:t>and TCRγδ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hAnsi="Times New Roman" w:cs="Times New Roman"/>
          <w:sz w:val="24"/>
          <w:szCs w:val="24"/>
        </w:rPr>
        <w:t>CD3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hAnsi="Times New Roman" w:cs="Times New Roman"/>
          <w:sz w:val="24"/>
          <w:szCs w:val="24"/>
        </w:rPr>
        <w:t>CD4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hAnsi="Times New Roman" w:cs="Times New Roman"/>
          <w:sz w:val="24"/>
          <w:szCs w:val="24"/>
        </w:rPr>
        <w:t>CD8α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hAnsi="Times New Roman" w:cs="Times New Roman"/>
          <w:sz w:val="24"/>
          <w:szCs w:val="24"/>
        </w:rPr>
        <w:t xml:space="preserve">, respectively. 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Furthermore, </w:t>
      </w:r>
      <w:r w:rsidRPr="0074523C">
        <w:rPr>
          <w:rFonts w:ascii="Times New Roman" w:hAnsi="Times New Roman" w:cs="Times New Roman"/>
          <w:sz w:val="24"/>
          <w:szCs w:val="24"/>
        </w:rPr>
        <w:t>CD4 T</w:t>
      </w:r>
      <w:r w:rsidRPr="0074523C">
        <w:rPr>
          <w:rFonts w:ascii="Times New Roman" w:hAnsi="Times New Roman" w:cs="Times New Roman"/>
          <w:sz w:val="24"/>
          <w:szCs w:val="24"/>
          <w:vertAlign w:val="subscript"/>
        </w:rPr>
        <w:t xml:space="preserve">CM </w:t>
      </w:r>
      <w:r w:rsidRPr="0074523C">
        <w:rPr>
          <w:rFonts w:ascii="Times New Roman" w:eastAsia="仿宋" w:hAnsi="Times New Roman" w:cs="Times New Roman"/>
          <w:sz w:val="24"/>
          <w:szCs w:val="24"/>
        </w:rPr>
        <w:t>(CD4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>CD27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>CD8α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 xml:space="preserve">), </w:t>
      </w:r>
      <w:r w:rsidRPr="0074523C">
        <w:rPr>
          <w:rFonts w:ascii="Times New Roman" w:hAnsi="Times New Roman" w:cs="Times New Roman"/>
          <w:sz w:val="24"/>
          <w:szCs w:val="24"/>
        </w:rPr>
        <w:t>T</w:t>
      </w:r>
      <w:r w:rsidRPr="0074523C">
        <w:rPr>
          <w:rFonts w:ascii="Times New Roman" w:hAnsi="Times New Roman" w:cs="Times New Roman"/>
          <w:sz w:val="24"/>
          <w:szCs w:val="24"/>
          <w:vertAlign w:val="subscript"/>
        </w:rPr>
        <w:t>EM</w:t>
      </w:r>
      <w:r w:rsidRPr="0074523C">
        <w:rPr>
          <w:rFonts w:ascii="Times New Roman" w:hAnsi="Times New Roman" w:cs="Times New Roman"/>
          <w:sz w:val="24"/>
          <w:szCs w:val="24"/>
        </w:rPr>
        <w:t xml:space="preserve"> </w:t>
      </w:r>
      <w:r w:rsidRPr="0074523C">
        <w:rPr>
          <w:rFonts w:ascii="Times New Roman" w:eastAsia="仿宋" w:hAnsi="Times New Roman" w:cs="Times New Roman"/>
          <w:sz w:val="24"/>
          <w:szCs w:val="24"/>
        </w:rPr>
        <w:lastRenderedPageBreak/>
        <w:t>(CD4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>CD27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eastAsia="仿宋" w:hAnsi="Times New Roman" w:cs="Times New Roman"/>
          <w:sz w:val="24"/>
          <w:szCs w:val="24"/>
        </w:rPr>
        <w:t>CD8α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>)</w:t>
      </w:r>
      <w:r w:rsidRPr="0074523C">
        <w:rPr>
          <w:rFonts w:ascii="Times New Roman" w:hAnsi="Times New Roman" w:cs="Times New Roman"/>
          <w:sz w:val="24"/>
          <w:szCs w:val="24"/>
        </w:rPr>
        <w:t xml:space="preserve"> and </w:t>
      </w:r>
      <w:r w:rsidRPr="0074523C">
        <w:rPr>
          <w:rFonts w:ascii="Times New Roman" w:eastAsia="仿宋" w:hAnsi="Times New Roman" w:cs="Times New Roman"/>
          <w:sz w:val="24"/>
          <w:szCs w:val="24"/>
        </w:rPr>
        <w:t xml:space="preserve">CD8 </w:t>
      </w:r>
      <w:r w:rsidRPr="0074523C">
        <w:rPr>
          <w:rFonts w:ascii="Times New Roman" w:hAnsi="Times New Roman" w:cs="Times New Roman"/>
          <w:sz w:val="24"/>
          <w:szCs w:val="24"/>
        </w:rPr>
        <w:t>T</w:t>
      </w:r>
      <w:r w:rsidRPr="0074523C">
        <w:rPr>
          <w:rFonts w:ascii="Times New Roman" w:hAnsi="Times New Roman" w:cs="Times New Roman"/>
          <w:sz w:val="24"/>
          <w:szCs w:val="24"/>
          <w:vertAlign w:val="subscript"/>
        </w:rPr>
        <w:t xml:space="preserve">CM </w:t>
      </w:r>
      <w:r w:rsidRPr="0074523C">
        <w:rPr>
          <w:rFonts w:ascii="Times New Roman" w:eastAsia="仿宋" w:hAnsi="Times New Roman" w:cs="Times New Roman"/>
          <w:sz w:val="24"/>
          <w:szCs w:val="24"/>
        </w:rPr>
        <w:t>(CD45RA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eastAsia="仿宋" w:hAnsi="Times New Roman" w:cs="Times New Roman"/>
          <w:sz w:val="24"/>
          <w:szCs w:val="24"/>
        </w:rPr>
        <w:t>CCR7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>CD27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>)</w:t>
      </w:r>
      <w:r w:rsidRPr="0074523C">
        <w:rPr>
          <w:rFonts w:ascii="Times New Roman" w:hAnsi="Times New Roman" w:cs="Times New Roman"/>
          <w:sz w:val="24"/>
          <w:szCs w:val="24"/>
        </w:rPr>
        <w:t xml:space="preserve">, </w:t>
      </w:r>
      <w:r w:rsidRPr="0074523C">
        <w:rPr>
          <w:rFonts w:ascii="Times New Roman" w:eastAsia="仿宋" w:hAnsi="Times New Roman" w:cs="Times New Roman"/>
          <w:sz w:val="24"/>
          <w:szCs w:val="24"/>
        </w:rPr>
        <w:t>early T</w:t>
      </w:r>
      <w:r w:rsidRPr="0074523C">
        <w:rPr>
          <w:rFonts w:ascii="Times New Roman" w:eastAsia="仿宋" w:hAnsi="Times New Roman" w:cs="Times New Roman"/>
          <w:sz w:val="24"/>
          <w:szCs w:val="24"/>
          <w:vertAlign w:val="subscript"/>
        </w:rPr>
        <w:t>EM</w:t>
      </w:r>
      <w:r w:rsidRPr="0074523C">
        <w:rPr>
          <w:rFonts w:ascii="Times New Roman" w:hAnsi="Times New Roman" w:cs="Times New Roman"/>
          <w:sz w:val="24"/>
          <w:szCs w:val="24"/>
        </w:rPr>
        <w:t xml:space="preserve"> </w:t>
      </w:r>
      <w:r w:rsidRPr="0074523C">
        <w:rPr>
          <w:rFonts w:ascii="Times New Roman" w:eastAsia="仿宋" w:hAnsi="Times New Roman" w:cs="Times New Roman"/>
          <w:sz w:val="24"/>
          <w:szCs w:val="24"/>
        </w:rPr>
        <w:t>(CD45RA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eastAsia="仿宋" w:hAnsi="Times New Roman" w:cs="Times New Roman"/>
          <w:sz w:val="24"/>
          <w:szCs w:val="24"/>
        </w:rPr>
        <w:t>CCR7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eastAsia="仿宋" w:hAnsi="Times New Roman" w:cs="Times New Roman"/>
          <w:sz w:val="24"/>
          <w:szCs w:val="24"/>
        </w:rPr>
        <w:t>CD27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 xml:space="preserve">) </w:t>
      </w:r>
      <w:r w:rsidRPr="0074523C">
        <w:rPr>
          <w:rFonts w:ascii="Times New Roman" w:hAnsi="Times New Roman" w:cs="Times New Roman"/>
          <w:sz w:val="24"/>
          <w:szCs w:val="24"/>
        </w:rPr>
        <w:t xml:space="preserve">and </w:t>
      </w:r>
      <w:r w:rsidRPr="0074523C">
        <w:rPr>
          <w:rFonts w:ascii="Times New Roman" w:eastAsia="仿宋" w:hAnsi="Times New Roman" w:cs="Times New Roman"/>
          <w:sz w:val="24"/>
          <w:szCs w:val="24"/>
        </w:rPr>
        <w:t>late T</w:t>
      </w:r>
      <w:r w:rsidRPr="0074523C">
        <w:rPr>
          <w:rFonts w:ascii="Times New Roman" w:eastAsia="仿宋" w:hAnsi="Times New Roman" w:cs="Times New Roman"/>
          <w:sz w:val="24"/>
          <w:szCs w:val="24"/>
          <w:vertAlign w:val="subscript"/>
        </w:rPr>
        <w:t>EM</w:t>
      </w:r>
      <w:r w:rsidRPr="0074523C">
        <w:rPr>
          <w:rFonts w:ascii="Times New Roman" w:hAnsi="Times New Roman" w:cs="Times New Roman"/>
          <w:sz w:val="24"/>
          <w:szCs w:val="24"/>
        </w:rPr>
        <w:t xml:space="preserve"> </w:t>
      </w:r>
      <w:r w:rsidRPr="0074523C">
        <w:rPr>
          <w:rFonts w:ascii="Times New Roman" w:eastAsia="仿宋" w:hAnsi="Times New Roman" w:cs="Times New Roman"/>
          <w:sz w:val="24"/>
          <w:szCs w:val="24"/>
        </w:rPr>
        <w:t>(CD45RA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eastAsia="仿宋" w:hAnsi="Times New Roman" w:cs="Times New Roman"/>
          <w:sz w:val="24"/>
          <w:szCs w:val="24"/>
        </w:rPr>
        <w:t>CD27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-</w:t>
      </w:r>
      <w:r w:rsidRPr="0074523C">
        <w:rPr>
          <w:rFonts w:ascii="Times New Roman" w:eastAsia="仿宋" w:hAnsi="Times New Roman" w:cs="Times New Roman"/>
          <w:sz w:val="24"/>
          <w:szCs w:val="24"/>
        </w:rPr>
        <w:t>CCR7</w:t>
      </w:r>
      <w:r w:rsidRPr="0074523C">
        <w:rPr>
          <w:rFonts w:ascii="Times New Roman" w:eastAsia="仿宋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eastAsia="仿宋" w:hAnsi="Times New Roman" w:cs="Times New Roman"/>
          <w:sz w:val="24"/>
          <w:szCs w:val="24"/>
        </w:rPr>
        <w:t xml:space="preserve">) 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were identified </w:t>
      </w:r>
      <w:r w:rsidRPr="0074523C">
        <w:rPr>
          <w:rFonts w:ascii="Times New Roman" w:hAnsi="Times New Roman" w:cs="Times New Roman"/>
          <w:sz w:val="24"/>
          <w:szCs w:val="24"/>
        </w:rPr>
        <w:t>on CD4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hAnsi="Times New Roman" w:cs="Times New Roman"/>
          <w:sz w:val="24"/>
          <w:szCs w:val="24"/>
        </w:rPr>
        <w:t xml:space="preserve"> and CD8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4523C">
        <w:rPr>
          <w:rFonts w:ascii="Times New Roman" w:hAnsi="Times New Roman" w:cs="Times New Roman"/>
          <w:sz w:val="24"/>
          <w:szCs w:val="24"/>
        </w:rPr>
        <w:t xml:space="preserve"> T cell. FMO was set for CD27 and CD45RA.</w:t>
      </w:r>
      <w:r w:rsidRPr="0074523C">
        <w:rPr>
          <w:rFonts w:ascii="Times New Roman" w:hAnsi="Times New Roman" w:cs="Times New Roman"/>
          <w:color w:val="282828"/>
          <w:sz w:val="24"/>
          <w:szCs w:val="24"/>
        </w:rPr>
        <w:t xml:space="preserve"> </w:t>
      </w:r>
      <w:r w:rsidRPr="0074523C">
        <w:rPr>
          <w:rFonts w:ascii="Times New Roman" w:hAnsi="Times New Roman" w:cs="Times New Roman"/>
          <w:sz w:val="24"/>
          <w:szCs w:val="24"/>
        </w:rPr>
        <w:t xml:space="preserve">(B) Left to Right are representative dot-plots of CD107a-positive </w:t>
      </w:r>
      <w:proofErr w:type="spellStart"/>
      <w:r w:rsidRPr="0074523C">
        <w:rPr>
          <w:rFonts w:ascii="Times New Roman" w:hAnsi="Times New Roman" w:cs="Times New Roman"/>
          <w:sz w:val="24"/>
          <w:szCs w:val="24"/>
        </w:rPr>
        <w:t>γδ</w:t>
      </w:r>
      <w:proofErr w:type="spellEnd"/>
      <w:r w:rsidRPr="0074523C">
        <w:rPr>
          <w:rFonts w:ascii="Times New Roman" w:hAnsi="Times New Roman" w:cs="Times New Roman"/>
          <w:sz w:val="24"/>
          <w:szCs w:val="24"/>
        </w:rPr>
        <w:t xml:space="preserve"> T, CD4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sz w:val="24"/>
          <w:szCs w:val="24"/>
        </w:rPr>
        <w:t>T, CD8α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sz w:val="24"/>
          <w:szCs w:val="24"/>
        </w:rPr>
        <w:t>T</w:t>
      </w:r>
      <w:r w:rsidR="00DB43BD">
        <w:rPr>
          <w:rFonts w:ascii="Times New Roman" w:hAnsi="Times New Roman" w:cs="Times New Roman"/>
          <w:sz w:val="24"/>
          <w:szCs w:val="24"/>
        </w:rPr>
        <w:t>,</w:t>
      </w:r>
      <w:r w:rsidRPr="0074523C">
        <w:rPr>
          <w:rFonts w:ascii="Times New Roman" w:hAnsi="Times New Roman" w:cs="Times New Roman"/>
          <w:sz w:val="24"/>
          <w:szCs w:val="24"/>
        </w:rPr>
        <w:t xml:space="preserve"> and NK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74523C">
        <w:rPr>
          <w:rFonts w:ascii="Times New Roman" w:hAnsi="Times New Roman" w:cs="Times New Roman"/>
          <w:sz w:val="24"/>
          <w:szCs w:val="24"/>
        </w:rPr>
        <w:t xml:space="preserve">cells and their FMO (lower). (C) Left to Right are representative dot-plots of IFN-γ-expressing </w:t>
      </w:r>
      <w:proofErr w:type="spellStart"/>
      <w:r w:rsidRPr="0074523C">
        <w:rPr>
          <w:rFonts w:ascii="Times New Roman" w:hAnsi="Times New Roman" w:cs="Times New Roman"/>
          <w:sz w:val="24"/>
          <w:szCs w:val="24"/>
        </w:rPr>
        <w:t>γδ</w:t>
      </w:r>
      <w:proofErr w:type="spellEnd"/>
      <w:r w:rsidRPr="0074523C">
        <w:rPr>
          <w:rFonts w:ascii="Times New Roman" w:hAnsi="Times New Roman" w:cs="Times New Roman"/>
          <w:sz w:val="24"/>
          <w:szCs w:val="24"/>
        </w:rPr>
        <w:t xml:space="preserve"> T, CD4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sz w:val="24"/>
          <w:szCs w:val="24"/>
        </w:rPr>
        <w:t>T, CD8α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sz w:val="24"/>
          <w:szCs w:val="24"/>
        </w:rPr>
        <w:t>T, and NK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74523C">
        <w:rPr>
          <w:rFonts w:ascii="Times New Roman" w:hAnsi="Times New Roman" w:cs="Times New Roman"/>
          <w:sz w:val="24"/>
          <w:szCs w:val="24"/>
        </w:rPr>
        <w:t xml:space="preserve">cells upon mitogen stimulation and their FMO. (D) Representative dot-plots of ki67-positive </w:t>
      </w:r>
      <w:proofErr w:type="spellStart"/>
      <w:r w:rsidRPr="0074523C">
        <w:rPr>
          <w:rFonts w:ascii="Times New Roman" w:hAnsi="Times New Roman" w:cs="Times New Roman"/>
          <w:sz w:val="24"/>
          <w:szCs w:val="24"/>
        </w:rPr>
        <w:t>γδ</w:t>
      </w:r>
      <w:proofErr w:type="spellEnd"/>
      <w:r w:rsidRPr="0074523C">
        <w:rPr>
          <w:rFonts w:ascii="Times New Roman" w:hAnsi="Times New Roman" w:cs="Times New Roman"/>
          <w:sz w:val="24"/>
          <w:szCs w:val="24"/>
        </w:rPr>
        <w:t xml:space="preserve"> T, CD4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sz w:val="24"/>
          <w:szCs w:val="24"/>
        </w:rPr>
        <w:t>T, CD8α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+ </w:t>
      </w:r>
      <w:r w:rsidRPr="0074523C">
        <w:rPr>
          <w:rFonts w:ascii="Times New Roman" w:hAnsi="Times New Roman" w:cs="Times New Roman"/>
          <w:sz w:val="24"/>
          <w:szCs w:val="24"/>
        </w:rPr>
        <w:t>T, and NK</w:t>
      </w:r>
      <w:r w:rsidRPr="007452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74523C">
        <w:rPr>
          <w:rFonts w:ascii="Times New Roman" w:hAnsi="Times New Roman" w:cs="Times New Roman"/>
          <w:sz w:val="24"/>
          <w:szCs w:val="24"/>
        </w:rPr>
        <w:t>cell and their FMO.</w:t>
      </w:r>
    </w:p>
    <w:p w14:paraId="601ACFF2" w14:textId="33BFA478" w:rsidR="0074523C" w:rsidRDefault="00630137" w:rsidP="00630137">
      <w:pPr>
        <w:jc w:val="center"/>
      </w:pPr>
      <w:r>
        <w:rPr>
          <w:noProof/>
        </w:rPr>
        <w:t xml:space="preserve">  </w:t>
      </w:r>
      <w:r w:rsidR="00F24DA7">
        <w:rPr>
          <w:rFonts w:hint="eastAsia"/>
          <w:noProof/>
        </w:rPr>
        <w:drawing>
          <wp:inline distT="0" distB="0" distL="0" distR="0" wp14:anchorId="3E8EA06A" wp14:editId="4C75482B">
            <wp:extent cx="4213301" cy="2304926"/>
            <wp:effectExtent l="0" t="0" r="0" b="635"/>
            <wp:docPr id="12788326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83265" name="图片 127883265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1" r="10542" b="62539"/>
                    <a:stretch/>
                  </pic:blipFill>
                  <pic:spPr bwMode="auto">
                    <a:xfrm>
                      <a:off x="0" y="0"/>
                      <a:ext cx="4213528" cy="23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25E73" w14:textId="43FF4B89" w:rsidR="00F24DA7" w:rsidRPr="0086673E" w:rsidRDefault="00F24DA7" w:rsidP="00630137">
      <w:pPr>
        <w:spacing w:line="44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86673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863F9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="00DB43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Standard curve for FMDV RNA series dilution measured by </w:t>
      </w:r>
      <w:proofErr w:type="spellStart"/>
      <w:r w:rsidRPr="0086673E">
        <w:rPr>
          <w:rFonts w:ascii="Times New Roman" w:hAnsi="Times New Roman" w:cs="Times New Roman"/>
          <w:b/>
          <w:bCs/>
          <w:sz w:val="24"/>
          <w:szCs w:val="24"/>
        </w:rPr>
        <w:t>qRT</w:t>
      </w:r>
      <w:proofErr w:type="spellEnd"/>
      <w:r w:rsidRPr="0086673E">
        <w:rPr>
          <w:rFonts w:ascii="Times New Roman" w:hAnsi="Times New Roman" w:cs="Times New Roman"/>
          <w:b/>
          <w:bCs/>
          <w:sz w:val="24"/>
          <w:szCs w:val="24"/>
        </w:rPr>
        <w:t>-PCR.</w:t>
      </w:r>
    </w:p>
    <w:p w14:paraId="7BDE9FF6" w14:textId="77777777" w:rsidR="00CB11C6" w:rsidRDefault="00F24DA7" w:rsidP="000365E7">
      <w:pPr>
        <w:spacing w:line="440" w:lineRule="exact"/>
        <w:rPr>
          <w:rFonts w:ascii="Times New Roman" w:hAnsi="Times New Roman" w:cs="Times New Roman"/>
          <w:sz w:val="24"/>
          <w:szCs w:val="24"/>
        </w:rPr>
        <w:sectPr w:rsidR="00CB11C6" w:rsidSect="006A4DCE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86673E">
        <w:rPr>
          <w:rFonts w:ascii="Times New Roman" w:hAnsi="Times New Roman" w:cs="Times New Roman"/>
          <w:sz w:val="24"/>
          <w:szCs w:val="24"/>
        </w:rPr>
        <w:t>FMDV RNA was extracted from previously titrated viral stocks, serially diluted (10-fold), and analyzed by TaqMan one-step quantitative reverse transcriptase PCR (</w:t>
      </w:r>
      <w:proofErr w:type="spellStart"/>
      <w:r w:rsidRPr="0086673E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86673E">
        <w:rPr>
          <w:rFonts w:ascii="Times New Roman" w:hAnsi="Times New Roman" w:cs="Times New Roman"/>
          <w:sz w:val="24"/>
          <w:szCs w:val="24"/>
        </w:rPr>
        <w:t>-PCR) to generate a standard curve.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44"/>
        <w:gridCol w:w="1259"/>
        <w:gridCol w:w="1086"/>
        <w:gridCol w:w="1222"/>
        <w:gridCol w:w="1768"/>
        <w:gridCol w:w="1941"/>
      </w:tblGrid>
      <w:tr w:rsidR="00C06364" w:rsidRPr="00CB11C6" w14:paraId="4FCC7E68" w14:textId="77777777" w:rsidTr="005A4C4C">
        <w:trPr>
          <w:trHeight w:val="380"/>
        </w:trPr>
        <w:tc>
          <w:tcPr>
            <w:tcW w:w="68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7" w:type="dxa"/>
              <w:left w:w="74" w:type="dxa"/>
              <w:bottom w:w="37" w:type="dxa"/>
              <w:right w:w="74" w:type="dxa"/>
            </w:tcMar>
            <w:vAlign w:val="center"/>
            <w:hideMark/>
          </w:tcPr>
          <w:p w14:paraId="7AD82283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Antigen</w:t>
            </w:r>
          </w:p>
        </w:tc>
        <w:tc>
          <w:tcPr>
            <w:tcW w:w="7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  <w:hideMark/>
          </w:tcPr>
          <w:p w14:paraId="50B0F2C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Clone</w:t>
            </w:r>
          </w:p>
        </w:tc>
        <w:tc>
          <w:tcPr>
            <w:tcW w:w="6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  <w:hideMark/>
          </w:tcPr>
          <w:p w14:paraId="2F5F7C03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Isotype</w:t>
            </w:r>
          </w:p>
        </w:tc>
        <w:tc>
          <w:tcPr>
            <w:tcW w:w="72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  <w:hideMark/>
          </w:tcPr>
          <w:p w14:paraId="7D255B4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Fluorochrome</w:t>
            </w:r>
          </w:p>
        </w:tc>
        <w:tc>
          <w:tcPr>
            <w:tcW w:w="10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  <w:hideMark/>
          </w:tcPr>
          <w:p w14:paraId="1D2A902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Source of primary Ab</w:t>
            </w:r>
          </w:p>
        </w:tc>
        <w:tc>
          <w:tcPr>
            <w:tcW w:w="11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20" w:type="dxa"/>
              <w:left w:w="40" w:type="dxa"/>
              <w:bottom w:w="20" w:type="dxa"/>
              <w:right w:w="40" w:type="dxa"/>
            </w:tcMar>
            <w:vAlign w:val="center"/>
            <w:hideMark/>
          </w:tcPr>
          <w:p w14:paraId="04E7E86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Details of secondary Ab</w:t>
            </w:r>
          </w:p>
        </w:tc>
      </w:tr>
      <w:tr w:rsidR="00CB11C6" w:rsidRPr="00CB11C6" w14:paraId="4DB07BA4" w14:textId="77777777" w:rsidTr="005A4C4C">
        <w:trPr>
          <w:trHeight w:val="247"/>
        </w:trPr>
        <w:tc>
          <w:tcPr>
            <w:tcW w:w="5000" w:type="pct"/>
            <w:gridSpan w:val="6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31A2954" w14:textId="77777777" w:rsidR="00CB11C6" w:rsidRPr="00CB11C6" w:rsidRDefault="00CB11C6" w:rsidP="005A4C4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DC vaccine phenotype assay</w:t>
            </w:r>
          </w:p>
        </w:tc>
      </w:tr>
      <w:tr w:rsidR="00C06364" w:rsidRPr="00CB11C6" w14:paraId="2EB1EF09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68433C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CD172a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8C3DE3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BL1H7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D2FE9C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22820F5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FITC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8850A2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22E462E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45277A0C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B2C06E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CD163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312D06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2A10/11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3D291B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02D8C4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E6A3A83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1C535D1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591A8B01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68202C4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CD80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4B0DBF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16-10A1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FF3668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Armenian hamster IgG2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7B0193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Perc-cy5.5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9C3145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2BF10A0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7F583FC0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A5384B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SLA II DQ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11875F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K274.3G8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2736C9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11A869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Purified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1AB5575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34FA3F3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 xml:space="preserve">Lightning-Linked </w:t>
            </w:r>
            <w:proofErr w:type="spellStart"/>
            <w:proofErr w:type="gram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APC,Abcam</w:t>
            </w:r>
            <w:proofErr w:type="spellEnd"/>
            <w:proofErr w:type="gramEnd"/>
          </w:p>
        </w:tc>
      </w:tr>
      <w:tr w:rsidR="00C06364" w:rsidRPr="00CB11C6" w14:paraId="31DE30DA" w14:textId="77777777" w:rsidTr="005A4C4C"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792A4F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SLA II DR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FD0115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2E9/13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C352C0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IgG2b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EE8414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Purified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F1CDDC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75738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0A6DF3D3" w14:textId="77777777" w:rsidTr="005A4C4C"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404EC1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CD14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BE31B55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Mil2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29C5CF4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IgG2b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3A6C4A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Purified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FD2DD2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577A507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ReadiLink</w:t>
            </w:r>
            <w:proofErr w:type="spellEnd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 xml:space="preserve">™ Rapid </w:t>
            </w: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mFluor</w:t>
            </w:r>
            <w:proofErr w:type="spellEnd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 xml:space="preserve">™ Violet 450, AAT </w:t>
            </w: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Bioquest</w:t>
            </w:r>
            <w:proofErr w:type="spellEnd"/>
          </w:p>
        </w:tc>
      </w:tr>
      <w:tr w:rsidR="00C06364" w:rsidRPr="00CB11C6" w14:paraId="6902F1BF" w14:textId="77777777" w:rsidTr="005A4C4C"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72F8C2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CD1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6210F0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76-7-4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D4A95B3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15DCE2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Purified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6BB0EC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7133BDB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Lightning-Linked PE-CY7, Abcam</w:t>
            </w:r>
          </w:p>
        </w:tc>
      </w:tr>
      <w:tr w:rsidR="00CB11C6" w:rsidRPr="00CB11C6" w14:paraId="10DF9F28" w14:textId="77777777" w:rsidTr="005A4C4C">
        <w:trPr>
          <w:trHeight w:val="247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101106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Memory T cell assay</w:t>
            </w:r>
          </w:p>
        </w:tc>
      </w:tr>
      <w:tr w:rsidR="00C06364" w:rsidRPr="00CB11C6" w14:paraId="3E74B368" w14:textId="77777777" w:rsidTr="005A4C4C">
        <w:trPr>
          <w:trHeight w:val="226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DE9838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268464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BB23-8E6-8C8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55E243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7A0DBF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PerCP-cy5.5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123D8E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774573B4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0540BF91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E136FB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AB20F54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74-12-4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C0304C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IgG2b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ADAF20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PE-Cy™7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C84B98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7ACF7EC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77495F51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001D49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CD8α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145D0E5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76-2-11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E6B967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IgG2aκ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07832B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Biotin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E3D7F0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Southernbiotech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683FEBE3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BV 421™</w:t>
            </w:r>
          </w:p>
        </w:tc>
      </w:tr>
      <w:tr w:rsidR="00C06364" w:rsidRPr="00CB11C6" w14:paraId="6DF05BC8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4DAB04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γδ</w:t>
            </w:r>
            <w:proofErr w:type="spellEnd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4AA0F7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MAC320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B209A2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Rat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CC7AEE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38DA5D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1C1F0AD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2A883468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8FDFAE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CCR7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28F0B1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3D12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44AA5544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Rat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5595E39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BV510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724969E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056FBBE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58B08D11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64F490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CD27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AB27EA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B30C7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5CB2452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3E12E91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APC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7685ED7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0AF4496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526A6C20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820BC2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CD45RA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ADF5BD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MIL13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15D2427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3E4D55B4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FITC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37DDBF3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50FE9A1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11C6" w:rsidRPr="00CB11C6" w14:paraId="6B13DB1B" w14:textId="77777777" w:rsidTr="005A4C4C">
        <w:trPr>
          <w:trHeight w:val="247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7C2E68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Live/dead cell and Streptavidin antibody</w:t>
            </w:r>
          </w:p>
        </w:tc>
      </w:tr>
      <w:tr w:rsidR="00C06364" w:rsidRPr="00CB11C6" w14:paraId="20EA1CCB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3C98ED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Streptavidin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67AE8C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44156E4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9AF239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BV 510™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EF4817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75177B8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4679BAC8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05F673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Streptavidin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708AB0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29564B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846679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BV 421™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0022B1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Biolegend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0E3C9DA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72F0114C" w14:textId="77777777" w:rsidTr="005A4C4C">
        <w:trPr>
          <w:trHeight w:val="181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6FF68B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 xml:space="preserve">Fixable Viability Dye </w:t>
            </w: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eFluor</w:t>
            </w:r>
            <w:proofErr w:type="spellEnd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™ 780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F60269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6B4617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10BF57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eFluor</w:t>
            </w:r>
            <w:proofErr w:type="spellEnd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™ 780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2D3900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eBioscience</w:t>
            </w:r>
            <w:proofErr w:type="spellEnd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™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0949E55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1DBBE801" w14:textId="77777777" w:rsidTr="005A4C4C">
        <w:trPr>
          <w:trHeight w:val="247"/>
        </w:trPr>
        <w:tc>
          <w:tcPr>
            <w:tcW w:w="206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ED4878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CD107a assay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A5F815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CF1848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58750E8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7C84564A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CC02B5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CD107a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4C165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4E9/11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190261C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B6EA68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APC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EF85F1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Bio-rad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0964D67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4E45B271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BEF448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524BB6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BB23-8E6-8C8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D35EF2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9238BD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PerCP-cy5.5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3B9BD6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57A41EF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6823B54F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2DB6D6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7018FF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74-12-4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1FBE3D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IgG2b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761BB4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PE-Cy™7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B596CE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60B3ADE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39EE2A20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CEF869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CD8α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C0B487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76-2-11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7E7CF8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 xml:space="preserve">Mouse </w:t>
            </w:r>
            <w:r w:rsidRPr="00CB11C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IgG2aκ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3104C4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Biotin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34AED0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Southernbiotech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4C74DA7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BV 510™</w:t>
            </w:r>
          </w:p>
        </w:tc>
      </w:tr>
      <w:tr w:rsidR="00C06364" w:rsidRPr="00CB11C6" w14:paraId="51BAAC29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0D2E31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γδ</w:t>
            </w:r>
            <w:proofErr w:type="spellEnd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55FD96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MAC320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92426A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Rat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AEB98A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B4C988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448587E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678332BE" w14:textId="77777777" w:rsidTr="005A4C4C">
        <w:trPr>
          <w:trHeight w:val="247"/>
        </w:trPr>
        <w:tc>
          <w:tcPr>
            <w:tcW w:w="206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16B908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ICS assay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694CA5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52314A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0DDCB7C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46439447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F3EA0F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0B27DA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BB23-8E6-8C8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A8A1EB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FC855A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PerCP-cy5.5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38AA9F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49A7D28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0446F39E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99C337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86F6DF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74-12-4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5DA81B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IgG2b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AAFDD7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PE-Cy™7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7CF113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6DD44AD0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08CE8CC9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0FCB72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CD8α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A0B73A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76-2-11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4611D7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IgG2aκ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CB36C57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Biotin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A501BD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Southernbiotech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6E49304B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BV 510™</w:t>
            </w:r>
          </w:p>
        </w:tc>
      </w:tr>
      <w:tr w:rsidR="00C06364" w:rsidRPr="00CB11C6" w14:paraId="308ED143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6FB9EE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γδ</w:t>
            </w:r>
            <w:proofErr w:type="spellEnd"/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E0C2AB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MAC320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3CF487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Rat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621C71A5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840B46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6556087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054FB243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1FEB4A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IFN-γ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36474A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P2G10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4FDC27B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IgG1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4BECC41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APC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552C798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2640217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B11C6" w:rsidRPr="00CB11C6" w14:paraId="239BE18A" w14:textId="77777777" w:rsidTr="005A4C4C">
        <w:trPr>
          <w:trHeight w:val="247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D766F6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Ki67 proliferation assay</w:t>
            </w:r>
          </w:p>
        </w:tc>
      </w:tr>
      <w:tr w:rsidR="00C06364" w:rsidRPr="00CB11C6" w14:paraId="206A1073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E2823EE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CD3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4F72F2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BB23-8E6-8C8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9D91F9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99DF30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PerCP-cy5.5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B81CB4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D5F69C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6FE87B16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005C9B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919602F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74-12-4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D8B9C9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IgG2b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0039C4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PE-Cy™7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58E616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23C572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14173514" w14:textId="77777777" w:rsidTr="005A4C4C">
        <w:trPr>
          <w:trHeight w:val="13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44C6E7DD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CD8α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DB9E04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76-2-11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EDDD935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IgG2aκ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1FE2C92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Biotin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A4BC39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Southernbiotech</w:t>
            </w:r>
            <w:proofErr w:type="spellEnd"/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279B83AC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BV 510™</w:t>
            </w:r>
          </w:p>
        </w:tc>
      </w:tr>
      <w:tr w:rsidR="00C06364" w:rsidRPr="00CB11C6" w14:paraId="40DD5A48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595C00B4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γδ</w:t>
            </w:r>
            <w:proofErr w:type="spellEnd"/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993DB53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MAC320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851C223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Rat IgG2a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391A163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PE</w:t>
            </w:r>
          </w:p>
        </w:tc>
        <w:tc>
          <w:tcPr>
            <w:tcW w:w="10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34E949BA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4BE3AA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06364" w:rsidRPr="00CB11C6" w14:paraId="09010AC6" w14:textId="77777777" w:rsidTr="005A4C4C">
        <w:trPr>
          <w:trHeight w:val="247"/>
        </w:trPr>
        <w:tc>
          <w:tcPr>
            <w:tcW w:w="68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06DD63C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Ki67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vAlign w:val="center"/>
            <w:hideMark/>
          </w:tcPr>
          <w:p w14:paraId="7649D182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B56</w:t>
            </w:r>
          </w:p>
        </w:tc>
        <w:tc>
          <w:tcPr>
            <w:tcW w:w="64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08F770F9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Mouse IgG1</w:t>
            </w:r>
          </w:p>
        </w:tc>
        <w:tc>
          <w:tcPr>
            <w:tcW w:w="72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17B5C6F8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BV 421™</w:t>
            </w:r>
          </w:p>
        </w:tc>
        <w:tc>
          <w:tcPr>
            <w:tcW w:w="10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339EC8A6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B11C6">
              <w:rPr>
                <w:rFonts w:ascii="Times New Roman" w:hAnsi="Times New Roman" w:cs="Times New Roman"/>
                <w:sz w:val="18"/>
                <w:szCs w:val="18"/>
              </w:rPr>
              <w:t>BD Pharmingen</w:t>
            </w:r>
          </w:p>
        </w:tc>
        <w:tc>
          <w:tcPr>
            <w:tcW w:w="11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32" w:type="dxa"/>
              <w:left w:w="64" w:type="dxa"/>
              <w:bottom w:w="32" w:type="dxa"/>
              <w:right w:w="64" w:type="dxa"/>
            </w:tcMar>
            <w:hideMark/>
          </w:tcPr>
          <w:p w14:paraId="6D8456C1" w14:textId="77777777" w:rsidR="00CB11C6" w:rsidRPr="00CB11C6" w:rsidRDefault="00CB11C6" w:rsidP="00286DD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B306460" w14:textId="77777777" w:rsidR="0033147C" w:rsidRDefault="006D2CE6" w:rsidP="00630137">
      <w:pPr>
        <w:spacing w:line="440" w:lineRule="exact"/>
        <w:rPr>
          <w:rFonts w:ascii="Times New Roman" w:hAnsi="Times New Roman" w:cs="Times New Roman"/>
          <w:b/>
          <w:bCs/>
          <w:sz w:val="24"/>
          <w:szCs w:val="24"/>
        </w:rPr>
        <w:sectPr w:rsidR="0033147C" w:rsidSect="006A4DCE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DB43BD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DB43BD"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B43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Antibodies used in ﬂow cytometric analyses of this study</w:t>
      </w:r>
      <w:r w:rsidR="00DB43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W w:w="71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8"/>
        <w:gridCol w:w="2046"/>
        <w:gridCol w:w="2186"/>
      </w:tblGrid>
      <w:tr w:rsidR="0049364C" w:rsidRPr="0049364C" w14:paraId="19DD89B8" w14:textId="77777777" w:rsidTr="0033147C">
        <w:trPr>
          <w:jc w:val="center"/>
        </w:trPr>
        <w:tc>
          <w:tcPr>
            <w:tcW w:w="28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A24659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lastRenderedPageBreak/>
              <w:t>Clinical symptoms</w:t>
            </w:r>
          </w:p>
        </w:tc>
        <w:tc>
          <w:tcPr>
            <w:tcW w:w="20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719C9A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Clinical score</w:t>
            </w:r>
          </w:p>
        </w:tc>
        <w:tc>
          <w:tcPr>
            <w:tcW w:w="21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91725F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Total score</w:t>
            </w:r>
          </w:p>
        </w:tc>
      </w:tr>
      <w:tr w:rsidR="0049364C" w:rsidRPr="0049364C" w14:paraId="4197774D" w14:textId="77777777" w:rsidTr="0033147C">
        <w:trPr>
          <w:jc w:val="center"/>
        </w:trPr>
        <w:tc>
          <w:tcPr>
            <w:tcW w:w="28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F91E33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Left forefoot blisters</w:t>
            </w:r>
          </w:p>
        </w:tc>
        <w:tc>
          <w:tcPr>
            <w:tcW w:w="204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0879E0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18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3836B5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49364C" w:rsidRPr="0049364C" w14:paraId="3FBE7E0F" w14:textId="77777777" w:rsidTr="0033147C">
        <w:trPr>
          <w:jc w:val="center"/>
        </w:trPr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AC88BA1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Right forefoot blisters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A19B59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D1628D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9364C" w:rsidRPr="0049364C" w14:paraId="10032A7B" w14:textId="77777777" w:rsidTr="0033147C">
        <w:trPr>
          <w:jc w:val="center"/>
        </w:trPr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F6E031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Left hindfoot blisters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036A00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0676AA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9364C" w:rsidRPr="0049364C" w14:paraId="5DD46F8D" w14:textId="77777777" w:rsidTr="0033147C">
        <w:trPr>
          <w:jc w:val="center"/>
        </w:trPr>
        <w:tc>
          <w:tcPr>
            <w:tcW w:w="28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81788A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Right hindfoot blisters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FA2764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C5F853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9364C" w:rsidRPr="0049364C" w14:paraId="6C9DC6DA" w14:textId="77777777" w:rsidTr="0033147C">
        <w:trPr>
          <w:jc w:val="center"/>
        </w:trPr>
        <w:tc>
          <w:tcPr>
            <w:tcW w:w="28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C8678A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Mouth and nose blisters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38E183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9364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304A44" w14:textId="77777777" w:rsidR="0049364C" w:rsidRPr="0049364C" w:rsidRDefault="0049364C" w:rsidP="0049364C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A065C80" w14:textId="43635960" w:rsidR="006D2CE6" w:rsidRPr="006A4DCE" w:rsidRDefault="006D2CE6" w:rsidP="006A4DCE">
      <w:pPr>
        <w:spacing w:line="440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86673E">
        <w:rPr>
          <w:rFonts w:ascii="Times New Roman" w:hAnsi="Times New Roman" w:cs="Times New Roman"/>
          <w:b/>
          <w:bCs/>
          <w:sz w:val="24"/>
          <w:szCs w:val="24"/>
        </w:rPr>
        <w:t>Supplementary Table 2</w:t>
      </w:r>
      <w:r w:rsidR="00DB43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86673E">
        <w:rPr>
          <w:rFonts w:ascii="Times New Roman" w:hAnsi="Times New Roman" w:cs="Times New Roman"/>
          <w:b/>
          <w:bCs/>
          <w:sz w:val="24"/>
          <w:szCs w:val="24"/>
        </w:rPr>
        <w:t xml:space="preserve"> Clinical Symptom Scoring</w:t>
      </w:r>
      <w:r w:rsidR="00DB43B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sectPr w:rsidR="006D2CE6" w:rsidRPr="006A4DCE" w:rsidSect="006A4DC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E9BE4" w14:textId="77777777" w:rsidR="006A17DF" w:rsidRDefault="006A17DF" w:rsidP="00D72C23">
      <w:r>
        <w:separator/>
      </w:r>
    </w:p>
  </w:endnote>
  <w:endnote w:type="continuationSeparator" w:id="0">
    <w:p w14:paraId="3A73E374" w14:textId="77777777" w:rsidR="006A17DF" w:rsidRDefault="006A17DF" w:rsidP="00D72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98BE2" w14:textId="77777777" w:rsidR="006A17DF" w:rsidRDefault="006A17DF" w:rsidP="00D72C23">
      <w:r>
        <w:separator/>
      </w:r>
    </w:p>
  </w:footnote>
  <w:footnote w:type="continuationSeparator" w:id="0">
    <w:p w14:paraId="1E019CB0" w14:textId="77777777" w:rsidR="006A17DF" w:rsidRDefault="006A17DF" w:rsidP="00D72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4B4B9B"/>
    <w:multiLevelType w:val="hybridMultilevel"/>
    <w:tmpl w:val="BF2A66E6"/>
    <w:lvl w:ilvl="0" w:tplc="AF0281A2">
      <w:start w:val="1"/>
      <w:numFmt w:val="upperLetter"/>
      <w:lvlText w:val="(%1)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09021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MwNzc2MTAxBZFGSjpKwanFxZn5eSAFhrUApV0KzywAAAA="/>
  </w:docVars>
  <w:rsids>
    <w:rsidRoot w:val="00AF0402"/>
    <w:rsid w:val="000365E7"/>
    <w:rsid w:val="002540F1"/>
    <w:rsid w:val="00286DDF"/>
    <w:rsid w:val="0033147C"/>
    <w:rsid w:val="0036787D"/>
    <w:rsid w:val="0039116B"/>
    <w:rsid w:val="003973BB"/>
    <w:rsid w:val="004107EC"/>
    <w:rsid w:val="004854C1"/>
    <w:rsid w:val="0049364C"/>
    <w:rsid w:val="00557A1F"/>
    <w:rsid w:val="005A4C4C"/>
    <w:rsid w:val="00630137"/>
    <w:rsid w:val="00673F4F"/>
    <w:rsid w:val="00696092"/>
    <w:rsid w:val="006A17DF"/>
    <w:rsid w:val="006A4DCE"/>
    <w:rsid w:val="006D2CE6"/>
    <w:rsid w:val="0074523C"/>
    <w:rsid w:val="00754EB4"/>
    <w:rsid w:val="007C6FD9"/>
    <w:rsid w:val="00863F9C"/>
    <w:rsid w:val="00891FAF"/>
    <w:rsid w:val="008D4224"/>
    <w:rsid w:val="00A3030D"/>
    <w:rsid w:val="00AF0402"/>
    <w:rsid w:val="00BA3F80"/>
    <w:rsid w:val="00C06364"/>
    <w:rsid w:val="00CB11C6"/>
    <w:rsid w:val="00D72C23"/>
    <w:rsid w:val="00DA42BB"/>
    <w:rsid w:val="00DB43BD"/>
    <w:rsid w:val="00E9505A"/>
    <w:rsid w:val="00F24DA7"/>
    <w:rsid w:val="00FC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2A0302"/>
  <w15:docId w15:val="{51E64BB9-CBB9-4B06-9D68-5E84C6AC5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2C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2C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2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2C23"/>
    <w:rPr>
      <w:sz w:val="18"/>
      <w:szCs w:val="18"/>
    </w:rPr>
  </w:style>
  <w:style w:type="paragraph" w:styleId="a7">
    <w:name w:val="List Paragraph"/>
    <w:basedOn w:val="a"/>
    <w:uiPriority w:val="34"/>
    <w:qFormat/>
    <w:rsid w:val="0074523C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DB43B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B43BD"/>
    <w:rPr>
      <w:sz w:val="18"/>
      <w:szCs w:val="18"/>
    </w:rPr>
  </w:style>
  <w:style w:type="paragraph" w:styleId="aa">
    <w:name w:val="Revision"/>
    <w:hidden/>
    <w:uiPriority w:val="99"/>
    <w:semiHidden/>
    <w:rsid w:val="00E9505A"/>
  </w:style>
  <w:style w:type="character" w:styleId="ab">
    <w:name w:val="line number"/>
    <w:basedOn w:val="a0"/>
    <w:uiPriority w:val="99"/>
    <w:semiHidden/>
    <w:unhideWhenUsed/>
    <w:rsid w:val="006A4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02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43CA9-8D20-41AF-B299-D1667CB8D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678</Words>
  <Characters>3869</Characters>
  <Application>Microsoft Office Word</Application>
  <DocSecurity>0</DocSecurity>
  <Lines>32</Lines>
  <Paragraphs>9</Paragraphs>
  <ScaleCrop>false</ScaleCrop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 Suyu</dc:creator>
  <cp:keywords/>
  <dc:description/>
  <cp:lastModifiedBy>Mu Suyu</cp:lastModifiedBy>
  <cp:revision>28</cp:revision>
  <dcterms:created xsi:type="dcterms:W3CDTF">2023-07-29T02:14:00Z</dcterms:created>
  <dcterms:modified xsi:type="dcterms:W3CDTF">2023-08-10T16:17:00Z</dcterms:modified>
</cp:coreProperties>
</file>