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F84D3C" w14:textId="3868F434" w:rsidR="00281ED6" w:rsidRDefault="00281ED6" w:rsidP="008869C7">
      <w:pPr>
        <w:rPr>
          <w:rFonts w:ascii="Arial" w:hAnsi="Arial" w:cs="Arial"/>
          <w:sz w:val="22"/>
          <w:szCs w:val="24"/>
        </w:rPr>
      </w:pPr>
      <w:r w:rsidRPr="00281ED6">
        <w:rPr>
          <w:rFonts w:ascii="Arial" w:hAnsi="Arial" w:cs="Arial" w:hint="eastAsia"/>
          <w:sz w:val="22"/>
          <w:szCs w:val="24"/>
        </w:rPr>
        <w:t>Ex</w:t>
      </w:r>
      <w:r w:rsidRPr="00281ED6">
        <w:rPr>
          <w:rFonts w:ascii="Arial" w:hAnsi="Arial" w:cs="Arial"/>
          <w:sz w:val="22"/>
          <w:szCs w:val="24"/>
        </w:rPr>
        <w:t xml:space="preserve">tended Table: </w:t>
      </w:r>
      <w:r w:rsidRPr="00281ED6">
        <w:rPr>
          <w:rFonts w:ascii="Arial" w:hAnsi="Arial" w:cs="Arial"/>
          <w:sz w:val="22"/>
          <w:szCs w:val="24"/>
        </w:rPr>
        <w:t xml:space="preserve">Pearson correlation coefficients and p values between </w:t>
      </w:r>
      <w:proofErr w:type="spellStart"/>
      <w:r w:rsidRPr="00281ED6">
        <w:rPr>
          <w:rFonts w:ascii="Arial" w:hAnsi="Arial" w:cs="Arial"/>
          <w:sz w:val="22"/>
          <w:szCs w:val="24"/>
        </w:rPr>
        <w:t>mALS</w:t>
      </w:r>
      <w:proofErr w:type="spellEnd"/>
      <w:r w:rsidRPr="00281ED6">
        <w:rPr>
          <w:rFonts w:ascii="Arial" w:hAnsi="Arial" w:cs="Arial"/>
          <w:sz w:val="22"/>
          <w:szCs w:val="24"/>
        </w:rPr>
        <w:t xml:space="preserve"> and various clinical and imaging factors</w:t>
      </w:r>
    </w:p>
    <w:p w14:paraId="66AF619E" w14:textId="77777777" w:rsidR="00281ED6" w:rsidRPr="00281ED6" w:rsidRDefault="00281ED6" w:rsidP="008869C7">
      <w:pPr>
        <w:rPr>
          <w:rFonts w:ascii="Arial" w:hAnsi="Arial" w:cs="Arial" w:hint="eastAsia"/>
          <w:sz w:val="22"/>
          <w:szCs w:val="24"/>
        </w:rPr>
      </w:pPr>
    </w:p>
    <w:tbl>
      <w:tblPr>
        <w:tblStyle w:val="a3"/>
        <w:tblW w:w="5129" w:type="pct"/>
        <w:jc w:val="center"/>
        <w:tblLayout w:type="fixed"/>
        <w:tblLook w:val="04A0" w:firstRow="1" w:lastRow="0" w:firstColumn="1" w:lastColumn="0" w:noHBand="0" w:noVBand="1"/>
      </w:tblPr>
      <w:tblGrid>
        <w:gridCol w:w="3403"/>
        <w:gridCol w:w="2409"/>
        <w:gridCol w:w="992"/>
        <w:gridCol w:w="2720"/>
        <w:gridCol w:w="968"/>
        <w:gridCol w:w="2477"/>
        <w:gridCol w:w="1349"/>
      </w:tblGrid>
      <w:tr w:rsidR="00281ED6" w:rsidRPr="00281ED6" w14:paraId="2D01D0B1" w14:textId="77777777" w:rsidTr="00871C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4"/>
          <w:jc w:val="center"/>
        </w:trPr>
        <w:tc>
          <w:tcPr>
            <w:tcW w:w="1188" w:type="pct"/>
            <w:vMerge w:val="restart"/>
            <w:tcBorders>
              <w:top w:val="single" w:sz="12" w:space="0" w:color="auto"/>
            </w:tcBorders>
            <w:noWrap/>
            <w:vAlign w:val="center"/>
          </w:tcPr>
          <w:p w14:paraId="42B58804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b/>
                <w:bCs/>
                <w:color w:val="000000"/>
                <w:sz w:val="22"/>
              </w:rPr>
              <w:t>Variable</w:t>
            </w:r>
          </w:p>
        </w:tc>
        <w:tc>
          <w:tcPr>
            <w:tcW w:w="1187" w:type="pct"/>
            <w:gridSpan w:val="2"/>
            <w:tcBorders>
              <w:top w:val="single" w:sz="12" w:space="0" w:color="auto"/>
              <w:bottom w:val="nil"/>
            </w:tcBorders>
            <w:noWrap/>
            <w:vAlign w:val="center"/>
          </w:tcPr>
          <w:p w14:paraId="492FD12D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281ED6">
              <w:rPr>
                <w:rFonts w:ascii="Arial" w:eastAsia="等线" w:hAnsi="Arial" w:cs="Arial"/>
                <w:color w:val="000000"/>
                <w:sz w:val="20"/>
                <w:szCs w:val="20"/>
              </w:rPr>
              <w:t>Preoperative ALS Gait Score</w:t>
            </w:r>
          </w:p>
        </w:tc>
        <w:tc>
          <w:tcPr>
            <w:tcW w:w="1288" w:type="pct"/>
            <w:gridSpan w:val="2"/>
            <w:tcBorders>
              <w:top w:val="single" w:sz="12" w:space="0" w:color="auto"/>
              <w:bottom w:val="nil"/>
            </w:tcBorders>
            <w:noWrap/>
            <w:vAlign w:val="center"/>
          </w:tcPr>
          <w:p w14:paraId="4A788F60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281ED6">
              <w:rPr>
                <w:rFonts w:ascii="Arial" w:eastAsia="等线" w:hAnsi="Arial" w:cs="Arial"/>
                <w:color w:val="000000"/>
                <w:sz w:val="20"/>
                <w:szCs w:val="20"/>
              </w:rPr>
              <w:t>Preoperative ALS Micturition Score</w:t>
            </w:r>
          </w:p>
        </w:tc>
        <w:tc>
          <w:tcPr>
            <w:tcW w:w="1336" w:type="pct"/>
            <w:gridSpan w:val="2"/>
            <w:tcBorders>
              <w:top w:val="single" w:sz="12" w:space="0" w:color="auto"/>
              <w:bottom w:val="nil"/>
            </w:tcBorders>
            <w:noWrap/>
            <w:vAlign w:val="center"/>
          </w:tcPr>
          <w:p w14:paraId="0E214286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281ED6">
              <w:rPr>
                <w:rFonts w:ascii="Arial" w:eastAsia="等线" w:hAnsi="Arial" w:cs="Arial"/>
                <w:color w:val="000000"/>
                <w:sz w:val="20"/>
                <w:szCs w:val="20"/>
              </w:rPr>
              <w:t>Preoperative ALS Defecation Score</w:t>
            </w:r>
          </w:p>
        </w:tc>
      </w:tr>
      <w:tr w:rsidR="00281ED6" w:rsidRPr="00281ED6" w14:paraId="09921491" w14:textId="77777777" w:rsidTr="00871CF8">
        <w:trPr>
          <w:trHeight w:val="324"/>
          <w:jc w:val="center"/>
        </w:trPr>
        <w:tc>
          <w:tcPr>
            <w:tcW w:w="1188" w:type="pct"/>
            <w:vMerge/>
            <w:tcBorders>
              <w:bottom w:val="single" w:sz="12" w:space="0" w:color="auto"/>
            </w:tcBorders>
            <w:noWrap/>
            <w:vAlign w:val="center"/>
            <w:hideMark/>
          </w:tcPr>
          <w:p w14:paraId="39AFF11D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1" w:type="pct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2DC1C512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281ED6">
              <w:rPr>
                <w:rFonts w:ascii="Arial" w:eastAsia="等线" w:hAnsi="Arial" w:cs="Arial"/>
                <w:color w:val="000000"/>
                <w:sz w:val="20"/>
                <w:szCs w:val="20"/>
              </w:rPr>
              <w:t>correlation coefficient</w:t>
            </w:r>
          </w:p>
        </w:tc>
        <w:tc>
          <w:tcPr>
            <w:tcW w:w="346" w:type="pct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7DB20DB7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281ED6">
              <w:rPr>
                <w:rFonts w:ascii="Arial" w:eastAsia="等线" w:hAnsi="Arial" w:cs="Arial"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950" w:type="pct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32C51EF1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281ED6">
              <w:rPr>
                <w:rFonts w:ascii="Arial" w:eastAsia="等线" w:hAnsi="Arial" w:cs="Arial"/>
                <w:color w:val="000000"/>
                <w:sz w:val="20"/>
                <w:szCs w:val="20"/>
              </w:rPr>
              <w:t>correlation coefficient</w:t>
            </w:r>
          </w:p>
        </w:tc>
        <w:tc>
          <w:tcPr>
            <w:tcW w:w="338" w:type="pct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4F40C7F6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281ED6">
              <w:rPr>
                <w:rFonts w:ascii="Arial" w:eastAsia="等线" w:hAnsi="Arial" w:cs="Arial"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865" w:type="pct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0343FBFE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281ED6">
              <w:rPr>
                <w:rFonts w:ascii="Arial" w:eastAsia="等线" w:hAnsi="Arial" w:cs="Arial"/>
                <w:color w:val="000000"/>
                <w:sz w:val="20"/>
                <w:szCs w:val="20"/>
              </w:rPr>
              <w:t>correlation coefficient</w:t>
            </w:r>
          </w:p>
        </w:tc>
        <w:tc>
          <w:tcPr>
            <w:tcW w:w="471" w:type="pct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6226E7A8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281ED6">
              <w:rPr>
                <w:rFonts w:ascii="Arial" w:eastAsia="等线" w:hAnsi="Arial" w:cs="Arial"/>
                <w:color w:val="000000"/>
                <w:sz w:val="20"/>
                <w:szCs w:val="20"/>
              </w:rPr>
              <w:t>p value</w:t>
            </w:r>
          </w:p>
        </w:tc>
      </w:tr>
      <w:tr w:rsidR="00281ED6" w:rsidRPr="00281ED6" w14:paraId="423F059C" w14:textId="77777777" w:rsidTr="00871CF8">
        <w:trPr>
          <w:trHeight w:val="312"/>
          <w:jc w:val="center"/>
        </w:trPr>
        <w:tc>
          <w:tcPr>
            <w:tcW w:w="1188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442BC4CF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b/>
                <w:bCs/>
                <w:color w:val="000000"/>
                <w:sz w:val="22"/>
              </w:rPr>
              <w:t>Side</w:t>
            </w:r>
          </w:p>
        </w:tc>
        <w:tc>
          <w:tcPr>
            <w:tcW w:w="841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5E2A13A3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-0.03</w:t>
            </w:r>
          </w:p>
        </w:tc>
        <w:tc>
          <w:tcPr>
            <w:tcW w:w="346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0F403746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1.0</w:t>
            </w:r>
          </w:p>
        </w:tc>
        <w:tc>
          <w:tcPr>
            <w:tcW w:w="950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2D9530DA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0.03</w:t>
            </w:r>
          </w:p>
        </w:tc>
        <w:tc>
          <w:tcPr>
            <w:tcW w:w="338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4F7FEC6B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1.0</w:t>
            </w:r>
          </w:p>
        </w:tc>
        <w:tc>
          <w:tcPr>
            <w:tcW w:w="865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799D9AD0" w14:textId="77777777" w:rsidR="00281ED6" w:rsidRPr="00281ED6" w:rsidRDefault="00281ED6" w:rsidP="00871CF8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0.05</w:t>
            </w:r>
          </w:p>
        </w:tc>
        <w:tc>
          <w:tcPr>
            <w:tcW w:w="471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2E490484" w14:textId="77777777" w:rsidR="00281ED6" w:rsidRPr="00281ED6" w:rsidRDefault="00281ED6" w:rsidP="00871CF8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1.0</w:t>
            </w:r>
          </w:p>
        </w:tc>
      </w:tr>
      <w:tr w:rsidR="00281ED6" w:rsidRPr="00281ED6" w14:paraId="6C4BDCC2" w14:textId="77777777" w:rsidTr="00871CF8">
        <w:trPr>
          <w:trHeight w:val="312"/>
          <w:jc w:val="center"/>
        </w:trPr>
        <w:tc>
          <w:tcPr>
            <w:tcW w:w="1188" w:type="pct"/>
            <w:noWrap/>
            <w:vAlign w:val="center"/>
            <w:hideMark/>
          </w:tcPr>
          <w:p w14:paraId="06C6FA5B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b/>
                <w:bCs/>
                <w:color w:val="000000"/>
                <w:sz w:val="22"/>
              </w:rPr>
              <w:t>Gender</w:t>
            </w:r>
          </w:p>
        </w:tc>
        <w:tc>
          <w:tcPr>
            <w:tcW w:w="841" w:type="pct"/>
            <w:noWrap/>
            <w:vAlign w:val="center"/>
            <w:hideMark/>
          </w:tcPr>
          <w:p w14:paraId="1A7F2FE1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0.08</w:t>
            </w:r>
          </w:p>
        </w:tc>
        <w:tc>
          <w:tcPr>
            <w:tcW w:w="346" w:type="pct"/>
            <w:noWrap/>
            <w:vAlign w:val="center"/>
            <w:hideMark/>
          </w:tcPr>
          <w:p w14:paraId="1C5C94C5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1.0</w:t>
            </w:r>
          </w:p>
        </w:tc>
        <w:tc>
          <w:tcPr>
            <w:tcW w:w="950" w:type="pct"/>
            <w:noWrap/>
            <w:vAlign w:val="center"/>
            <w:hideMark/>
          </w:tcPr>
          <w:p w14:paraId="26C40EBA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-0.05</w:t>
            </w:r>
          </w:p>
        </w:tc>
        <w:tc>
          <w:tcPr>
            <w:tcW w:w="338" w:type="pct"/>
            <w:noWrap/>
            <w:vAlign w:val="center"/>
            <w:hideMark/>
          </w:tcPr>
          <w:p w14:paraId="4A75C226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1.0</w:t>
            </w:r>
          </w:p>
        </w:tc>
        <w:tc>
          <w:tcPr>
            <w:tcW w:w="865" w:type="pct"/>
            <w:noWrap/>
            <w:vAlign w:val="center"/>
            <w:hideMark/>
          </w:tcPr>
          <w:p w14:paraId="22A5F7B6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-0.05</w:t>
            </w:r>
          </w:p>
        </w:tc>
        <w:tc>
          <w:tcPr>
            <w:tcW w:w="471" w:type="pct"/>
            <w:noWrap/>
            <w:vAlign w:val="center"/>
            <w:hideMark/>
          </w:tcPr>
          <w:p w14:paraId="541CB4AB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1.0</w:t>
            </w:r>
          </w:p>
        </w:tc>
      </w:tr>
      <w:tr w:rsidR="00281ED6" w:rsidRPr="00281ED6" w14:paraId="75365FE1" w14:textId="77777777" w:rsidTr="00871CF8">
        <w:trPr>
          <w:trHeight w:val="636"/>
          <w:jc w:val="center"/>
        </w:trPr>
        <w:tc>
          <w:tcPr>
            <w:tcW w:w="1188" w:type="pct"/>
            <w:vAlign w:val="center"/>
            <w:hideMark/>
          </w:tcPr>
          <w:p w14:paraId="3560FA1C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b/>
                <w:bCs/>
                <w:color w:val="000000"/>
                <w:sz w:val="22"/>
              </w:rPr>
              <w:t>Age at diagnosis</w:t>
            </w:r>
          </w:p>
        </w:tc>
        <w:tc>
          <w:tcPr>
            <w:tcW w:w="841" w:type="pct"/>
            <w:noWrap/>
            <w:vAlign w:val="center"/>
            <w:hideMark/>
          </w:tcPr>
          <w:p w14:paraId="6467D2EB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0.00</w:t>
            </w:r>
          </w:p>
        </w:tc>
        <w:tc>
          <w:tcPr>
            <w:tcW w:w="346" w:type="pct"/>
            <w:noWrap/>
            <w:vAlign w:val="center"/>
            <w:hideMark/>
          </w:tcPr>
          <w:p w14:paraId="7E137DE6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1.0</w:t>
            </w:r>
          </w:p>
        </w:tc>
        <w:tc>
          <w:tcPr>
            <w:tcW w:w="950" w:type="pct"/>
            <w:noWrap/>
            <w:vAlign w:val="center"/>
            <w:hideMark/>
          </w:tcPr>
          <w:p w14:paraId="4CD1DC69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-0.05</w:t>
            </w:r>
          </w:p>
        </w:tc>
        <w:tc>
          <w:tcPr>
            <w:tcW w:w="338" w:type="pct"/>
            <w:noWrap/>
            <w:vAlign w:val="center"/>
            <w:hideMark/>
          </w:tcPr>
          <w:p w14:paraId="2A018BBA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1.0</w:t>
            </w:r>
          </w:p>
        </w:tc>
        <w:tc>
          <w:tcPr>
            <w:tcW w:w="865" w:type="pct"/>
            <w:noWrap/>
            <w:vAlign w:val="center"/>
            <w:hideMark/>
          </w:tcPr>
          <w:p w14:paraId="185A2169" w14:textId="77777777" w:rsidR="00281ED6" w:rsidRPr="00281ED6" w:rsidRDefault="00281ED6" w:rsidP="00871CF8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-0.07</w:t>
            </w:r>
          </w:p>
        </w:tc>
        <w:tc>
          <w:tcPr>
            <w:tcW w:w="471" w:type="pct"/>
            <w:noWrap/>
            <w:vAlign w:val="center"/>
            <w:hideMark/>
          </w:tcPr>
          <w:p w14:paraId="54C06D85" w14:textId="77777777" w:rsidR="00281ED6" w:rsidRPr="00281ED6" w:rsidRDefault="00281ED6" w:rsidP="00871CF8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1.0</w:t>
            </w:r>
          </w:p>
        </w:tc>
      </w:tr>
      <w:tr w:rsidR="00281ED6" w:rsidRPr="00281ED6" w14:paraId="03091C2D" w14:textId="77777777" w:rsidTr="00871CF8">
        <w:trPr>
          <w:trHeight w:val="312"/>
          <w:jc w:val="center"/>
        </w:trPr>
        <w:tc>
          <w:tcPr>
            <w:tcW w:w="1188" w:type="pct"/>
            <w:noWrap/>
            <w:vAlign w:val="center"/>
            <w:hideMark/>
          </w:tcPr>
          <w:p w14:paraId="42092F67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b/>
                <w:bCs/>
                <w:color w:val="000000"/>
                <w:sz w:val="22"/>
              </w:rPr>
              <w:t>Interval from onset</w:t>
            </w:r>
            <w:r w:rsidRPr="00281ED6">
              <w:rPr>
                <w:rFonts w:ascii="Arial" w:eastAsia="等线" w:hAnsi="Arial" w:cs="Arial"/>
                <w:b/>
                <w:bCs/>
                <w:color w:val="000000"/>
                <w:sz w:val="22"/>
              </w:rPr>
              <w:br/>
              <w:t>to diagnosis</w:t>
            </w:r>
          </w:p>
        </w:tc>
        <w:tc>
          <w:tcPr>
            <w:tcW w:w="841" w:type="pct"/>
            <w:noWrap/>
            <w:vAlign w:val="center"/>
            <w:hideMark/>
          </w:tcPr>
          <w:p w14:paraId="756C5536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0.03</w:t>
            </w:r>
          </w:p>
        </w:tc>
        <w:tc>
          <w:tcPr>
            <w:tcW w:w="346" w:type="pct"/>
            <w:noWrap/>
            <w:vAlign w:val="center"/>
            <w:hideMark/>
          </w:tcPr>
          <w:p w14:paraId="580DEDCE" w14:textId="77777777" w:rsidR="00281ED6" w:rsidRPr="00281ED6" w:rsidRDefault="00281ED6" w:rsidP="00871CF8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1.0</w:t>
            </w:r>
          </w:p>
        </w:tc>
        <w:tc>
          <w:tcPr>
            <w:tcW w:w="950" w:type="pct"/>
            <w:noWrap/>
            <w:vAlign w:val="center"/>
            <w:hideMark/>
          </w:tcPr>
          <w:p w14:paraId="2968D4F9" w14:textId="77777777" w:rsidR="00281ED6" w:rsidRPr="00281ED6" w:rsidRDefault="00281ED6" w:rsidP="00871CF8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0.03</w:t>
            </w:r>
          </w:p>
        </w:tc>
        <w:tc>
          <w:tcPr>
            <w:tcW w:w="338" w:type="pct"/>
            <w:noWrap/>
            <w:vAlign w:val="center"/>
            <w:hideMark/>
          </w:tcPr>
          <w:p w14:paraId="35BF25D5" w14:textId="77777777" w:rsidR="00281ED6" w:rsidRPr="00281ED6" w:rsidRDefault="00281ED6" w:rsidP="00871CF8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1.0</w:t>
            </w:r>
          </w:p>
        </w:tc>
        <w:tc>
          <w:tcPr>
            <w:tcW w:w="865" w:type="pct"/>
            <w:noWrap/>
            <w:vAlign w:val="center"/>
            <w:hideMark/>
          </w:tcPr>
          <w:p w14:paraId="011B19E6" w14:textId="77777777" w:rsidR="00281ED6" w:rsidRPr="00281ED6" w:rsidRDefault="00281ED6" w:rsidP="00871CF8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0.04</w:t>
            </w:r>
          </w:p>
        </w:tc>
        <w:tc>
          <w:tcPr>
            <w:tcW w:w="471" w:type="pct"/>
            <w:noWrap/>
            <w:vAlign w:val="center"/>
            <w:hideMark/>
          </w:tcPr>
          <w:p w14:paraId="07BD44E8" w14:textId="77777777" w:rsidR="00281ED6" w:rsidRPr="00281ED6" w:rsidRDefault="00281ED6" w:rsidP="00871CF8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1.0</w:t>
            </w:r>
          </w:p>
        </w:tc>
      </w:tr>
      <w:tr w:rsidR="00281ED6" w:rsidRPr="00281ED6" w14:paraId="148B1B25" w14:textId="77777777" w:rsidTr="00871CF8">
        <w:trPr>
          <w:trHeight w:val="300"/>
          <w:jc w:val="center"/>
        </w:trPr>
        <w:tc>
          <w:tcPr>
            <w:tcW w:w="1188" w:type="pct"/>
            <w:noWrap/>
            <w:vAlign w:val="center"/>
            <w:hideMark/>
          </w:tcPr>
          <w:p w14:paraId="0F8AA98E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b/>
                <w:bCs/>
                <w:color w:val="000000"/>
                <w:sz w:val="22"/>
              </w:rPr>
              <w:t>Segment of fistula</w:t>
            </w:r>
          </w:p>
        </w:tc>
        <w:tc>
          <w:tcPr>
            <w:tcW w:w="841" w:type="pct"/>
            <w:noWrap/>
            <w:vAlign w:val="center"/>
            <w:hideMark/>
          </w:tcPr>
          <w:p w14:paraId="55975516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0.09</w:t>
            </w:r>
          </w:p>
        </w:tc>
        <w:tc>
          <w:tcPr>
            <w:tcW w:w="346" w:type="pct"/>
            <w:noWrap/>
            <w:vAlign w:val="center"/>
            <w:hideMark/>
          </w:tcPr>
          <w:p w14:paraId="29A8116F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1.0</w:t>
            </w:r>
          </w:p>
        </w:tc>
        <w:tc>
          <w:tcPr>
            <w:tcW w:w="950" w:type="pct"/>
            <w:noWrap/>
            <w:vAlign w:val="center"/>
            <w:hideMark/>
          </w:tcPr>
          <w:p w14:paraId="2FB1A8CA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0.12</w:t>
            </w:r>
          </w:p>
        </w:tc>
        <w:tc>
          <w:tcPr>
            <w:tcW w:w="338" w:type="pct"/>
            <w:noWrap/>
            <w:vAlign w:val="center"/>
            <w:hideMark/>
          </w:tcPr>
          <w:p w14:paraId="4DA52293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1.0</w:t>
            </w:r>
          </w:p>
        </w:tc>
        <w:tc>
          <w:tcPr>
            <w:tcW w:w="865" w:type="pct"/>
            <w:noWrap/>
            <w:vAlign w:val="center"/>
            <w:hideMark/>
          </w:tcPr>
          <w:p w14:paraId="532C4F65" w14:textId="77777777" w:rsidR="00281ED6" w:rsidRPr="00281ED6" w:rsidRDefault="00281ED6" w:rsidP="00871CF8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0.12</w:t>
            </w:r>
          </w:p>
        </w:tc>
        <w:tc>
          <w:tcPr>
            <w:tcW w:w="471" w:type="pct"/>
            <w:noWrap/>
            <w:vAlign w:val="center"/>
            <w:hideMark/>
          </w:tcPr>
          <w:p w14:paraId="65EEC868" w14:textId="77777777" w:rsidR="00281ED6" w:rsidRPr="00281ED6" w:rsidRDefault="00281ED6" w:rsidP="00871CF8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1.0</w:t>
            </w:r>
          </w:p>
        </w:tc>
      </w:tr>
      <w:tr w:rsidR="00281ED6" w:rsidRPr="00281ED6" w14:paraId="2C609853" w14:textId="77777777" w:rsidTr="00871CF8">
        <w:trPr>
          <w:trHeight w:val="300"/>
          <w:jc w:val="center"/>
        </w:trPr>
        <w:tc>
          <w:tcPr>
            <w:tcW w:w="1188" w:type="pct"/>
            <w:noWrap/>
            <w:vAlign w:val="center"/>
            <w:hideMark/>
          </w:tcPr>
          <w:p w14:paraId="379D1A5B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b/>
                <w:bCs/>
                <w:color w:val="000000"/>
                <w:sz w:val="22"/>
              </w:rPr>
              <w:t>Length of draining veins</w:t>
            </w:r>
          </w:p>
        </w:tc>
        <w:tc>
          <w:tcPr>
            <w:tcW w:w="841" w:type="pct"/>
            <w:noWrap/>
            <w:vAlign w:val="center"/>
            <w:hideMark/>
          </w:tcPr>
          <w:p w14:paraId="2108EC94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-0.03</w:t>
            </w:r>
          </w:p>
        </w:tc>
        <w:tc>
          <w:tcPr>
            <w:tcW w:w="346" w:type="pct"/>
            <w:noWrap/>
            <w:vAlign w:val="center"/>
            <w:hideMark/>
          </w:tcPr>
          <w:p w14:paraId="6E68A33C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1.0</w:t>
            </w:r>
          </w:p>
        </w:tc>
        <w:tc>
          <w:tcPr>
            <w:tcW w:w="950" w:type="pct"/>
            <w:noWrap/>
            <w:vAlign w:val="center"/>
            <w:hideMark/>
          </w:tcPr>
          <w:p w14:paraId="3F4B1AD9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0.01</w:t>
            </w:r>
          </w:p>
        </w:tc>
        <w:tc>
          <w:tcPr>
            <w:tcW w:w="338" w:type="pct"/>
            <w:noWrap/>
            <w:vAlign w:val="center"/>
            <w:hideMark/>
          </w:tcPr>
          <w:p w14:paraId="3F51DFF5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1.0</w:t>
            </w:r>
          </w:p>
        </w:tc>
        <w:tc>
          <w:tcPr>
            <w:tcW w:w="865" w:type="pct"/>
            <w:noWrap/>
            <w:vAlign w:val="center"/>
            <w:hideMark/>
          </w:tcPr>
          <w:p w14:paraId="43098DC6" w14:textId="77777777" w:rsidR="00281ED6" w:rsidRPr="00281ED6" w:rsidRDefault="00281ED6" w:rsidP="00871CF8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0.00</w:t>
            </w:r>
          </w:p>
        </w:tc>
        <w:tc>
          <w:tcPr>
            <w:tcW w:w="471" w:type="pct"/>
            <w:noWrap/>
            <w:vAlign w:val="center"/>
            <w:hideMark/>
          </w:tcPr>
          <w:p w14:paraId="6090C19D" w14:textId="77777777" w:rsidR="00281ED6" w:rsidRPr="00281ED6" w:rsidRDefault="00281ED6" w:rsidP="00871CF8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1.0</w:t>
            </w:r>
          </w:p>
        </w:tc>
      </w:tr>
      <w:tr w:rsidR="00281ED6" w:rsidRPr="00281ED6" w14:paraId="2A2E36D3" w14:textId="77777777" w:rsidTr="00871CF8">
        <w:trPr>
          <w:trHeight w:val="300"/>
          <w:jc w:val="center"/>
        </w:trPr>
        <w:tc>
          <w:tcPr>
            <w:tcW w:w="1188" w:type="pct"/>
            <w:noWrap/>
            <w:vAlign w:val="center"/>
            <w:hideMark/>
          </w:tcPr>
          <w:p w14:paraId="10C07E66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b/>
                <w:bCs/>
                <w:color w:val="000000"/>
                <w:sz w:val="22"/>
              </w:rPr>
              <w:t>Length of intramedullary high signal</w:t>
            </w:r>
          </w:p>
        </w:tc>
        <w:tc>
          <w:tcPr>
            <w:tcW w:w="841" w:type="pct"/>
            <w:noWrap/>
            <w:vAlign w:val="center"/>
            <w:hideMark/>
          </w:tcPr>
          <w:p w14:paraId="43BDC527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0.35</w:t>
            </w:r>
          </w:p>
        </w:tc>
        <w:tc>
          <w:tcPr>
            <w:tcW w:w="346" w:type="pct"/>
            <w:noWrap/>
            <w:vAlign w:val="center"/>
            <w:hideMark/>
          </w:tcPr>
          <w:p w14:paraId="6241488D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b/>
                <w:bCs/>
                <w:color w:val="000000"/>
                <w:sz w:val="22"/>
              </w:rPr>
              <w:t>0.01</w:t>
            </w:r>
          </w:p>
        </w:tc>
        <w:tc>
          <w:tcPr>
            <w:tcW w:w="950" w:type="pct"/>
            <w:noWrap/>
            <w:vAlign w:val="center"/>
            <w:hideMark/>
          </w:tcPr>
          <w:p w14:paraId="7D892BD3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0.26</w:t>
            </w:r>
          </w:p>
        </w:tc>
        <w:tc>
          <w:tcPr>
            <w:tcW w:w="338" w:type="pct"/>
            <w:noWrap/>
            <w:vAlign w:val="center"/>
            <w:hideMark/>
          </w:tcPr>
          <w:p w14:paraId="12633F5B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0.32</w:t>
            </w:r>
          </w:p>
        </w:tc>
        <w:tc>
          <w:tcPr>
            <w:tcW w:w="865" w:type="pct"/>
            <w:noWrap/>
            <w:vAlign w:val="center"/>
            <w:hideMark/>
          </w:tcPr>
          <w:p w14:paraId="048249B9" w14:textId="77777777" w:rsidR="00281ED6" w:rsidRPr="00281ED6" w:rsidRDefault="00281ED6" w:rsidP="00871CF8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0.25</w:t>
            </w:r>
          </w:p>
        </w:tc>
        <w:tc>
          <w:tcPr>
            <w:tcW w:w="471" w:type="pct"/>
            <w:noWrap/>
            <w:vAlign w:val="center"/>
            <w:hideMark/>
          </w:tcPr>
          <w:p w14:paraId="1552F283" w14:textId="77777777" w:rsidR="00281ED6" w:rsidRPr="00281ED6" w:rsidRDefault="00281ED6" w:rsidP="00871CF8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0.43</w:t>
            </w:r>
          </w:p>
        </w:tc>
      </w:tr>
      <w:tr w:rsidR="00281ED6" w:rsidRPr="00281ED6" w14:paraId="7E57E839" w14:textId="77777777" w:rsidTr="00871CF8">
        <w:trPr>
          <w:trHeight w:val="312"/>
          <w:jc w:val="center"/>
        </w:trPr>
        <w:tc>
          <w:tcPr>
            <w:tcW w:w="1188" w:type="pct"/>
            <w:noWrap/>
            <w:vAlign w:val="center"/>
            <w:hideMark/>
          </w:tcPr>
          <w:p w14:paraId="49FA0F13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b/>
                <w:bCs/>
                <w:color w:val="000000"/>
                <w:sz w:val="22"/>
              </w:rPr>
              <w:t>Length of flow voids</w:t>
            </w:r>
          </w:p>
        </w:tc>
        <w:tc>
          <w:tcPr>
            <w:tcW w:w="841" w:type="pct"/>
            <w:noWrap/>
            <w:vAlign w:val="center"/>
            <w:hideMark/>
          </w:tcPr>
          <w:p w14:paraId="19211E40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-0.16</w:t>
            </w:r>
          </w:p>
        </w:tc>
        <w:tc>
          <w:tcPr>
            <w:tcW w:w="346" w:type="pct"/>
            <w:noWrap/>
            <w:vAlign w:val="center"/>
            <w:hideMark/>
          </w:tcPr>
          <w:p w14:paraId="269248A1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1.0</w:t>
            </w:r>
          </w:p>
        </w:tc>
        <w:tc>
          <w:tcPr>
            <w:tcW w:w="950" w:type="pct"/>
            <w:noWrap/>
            <w:vAlign w:val="center"/>
            <w:hideMark/>
          </w:tcPr>
          <w:p w14:paraId="54F917FC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-0.09</w:t>
            </w:r>
          </w:p>
        </w:tc>
        <w:tc>
          <w:tcPr>
            <w:tcW w:w="338" w:type="pct"/>
            <w:noWrap/>
            <w:vAlign w:val="center"/>
            <w:hideMark/>
          </w:tcPr>
          <w:p w14:paraId="731A1408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1.0</w:t>
            </w:r>
          </w:p>
        </w:tc>
        <w:tc>
          <w:tcPr>
            <w:tcW w:w="865" w:type="pct"/>
            <w:noWrap/>
            <w:vAlign w:val="center"/>
            <w:hideMark/>
          </w:tcPr>
          <w:p w14:paraId="4A7F6FEA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-0.09</w:t>
            </w:r>
          </w:p>
        </w:tc>
        <w:tc>
          <w:tcPr>
            <w:tcW w:w="471" w:type="pct"/>
            <w:noWrap/>
            <w:vAlign w:val="center"/>
            <w:hideMark/>
          </w:tcPr>
          <w:p w14:paraId="15F54B56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1.0</w:t>
            </w:r>
          </w:p>
        </w:tc>
      </w:tr>
      <w:tr w:rsidR="00281ED6" w:rsidRPr="00281ED6" w14:paraId="1149E55D" w14:textId="77777777" w:rsidTr="00871CF8">
        <w:trPr>
          <w:trHeight w:val="312"/>
          <w:jc w:val="center"/>
        </w:trPr>
        <w:tc>
          <w:tcPr>
            <w:tcW w:w="1188" w:type="pct"/>
            <w:noWrap/>
            <w:vAlign w:val="center"/>
            <w:hideMark/>
          </w:tcPr>
          <w:p w14:paraId="0D74C593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b/>
                <w:bCs/>
                <w:color w:val="000000"/>
                <w:sz w:val="22"/>
              </w:rPr>
              <w:t>enhancement of spinal</w:t>
            </w:r>
            <w:r w:rsidRPr="00281ED6">
              <w:rPr>
                <w:rFonts w:ascii="Arial" w:eastAsia="等线" w:hAnsi="Arial" w:cs="Arial"/>
                <w:b/>
                <w:bCs/>
                <w:color w:val="000000"/>
                <w:sz w:val="22"/>
              </w:rPr>
              <w:br/>
              <w:t>cord parenchyma</w:t>
            </w:r>
          </w:p>
        </w:tc>
        <w:tc>
          <w:tcPr>
            <w:tcW w:w="841" w:type="pct"/>
            <w:noWrap/>
            <w:vAlign w:val="center"/>
            <w:hideMark/>
          </w:tcPr>
          <w:p w14:paraId="53CC5D69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0.15</w:t>
            </w:r>
          </w:p>
        </w:tc>
        <w:tc>
          <w:tcPr>
            <w:tcW w:w="346" w:type="pct"/>
            <w:noWrap/>
            <w:vAlign w:val="center"/>
            <w:hideMark/>
          </w:tcPr>
          <w:p w14:paraId="62286A25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1.0</w:t>
            </w:r>
          </w:p>
        </w:tc>
        <w:tc>
          <w:tcPr>
            <w:tcW w:w="950" w:type="pct"/>
            <w:noWrap/>
            <w:vAlign w:val="center"/>
            <w:hideMark/>
          </w:tcPr>
          <w:p w14:paraId="437D07F3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0.07</w:t>
            </w:r>
          </w:p>
        </w:tc>
        <w:tc>
          <w:tcPr>
            <w:tcW w:w="338" w:type="pct"/>
            <w:noWrap/>
            <w:vAlign w:val="center"/>
            <w:hideMark/>
          </w:tcPr>
          <w:p w14:paraId="2EA6CE72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1.0</w:t>
            </w:r>
          </w:p>
        </w:tc>
        <w:tc>
          <w:tcPr>
            <w:tcW w:w="865" w:type="pct"/>
            <w:noWrap/>
            <w:vAlign w:val="center"/>
            <w:hideMark/>
          </w:tcPr>
          <w:p w14:paraId="504AA4BC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0.06</w:t>
            </w:r>
          </w:p>
        </w:tc>
        <w:tc>
          <w:tcPr>
            <w:tcW w:w="471" w:type="pct"/>
            <w:noWrap/>
            <w:vAlign w:val="center"/>
            <w:hideMark/>
          </w:tcPr>
          <w:p w14:paraId="5A9E9869" w14:textId="77777777" w:rsidR="00281ED6" w:rsidRPr="00281ED6" w:rsidRDefault="00281ED6" w:rsidP="00871CF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81ED6">
              <w:rPr>
                <w:rFonts w:ascii="Arial" w:eastAsia="等线" w:hAnsi="Arial" w:cs="Arial"/>
                <w:color w:val="000000"/>
                <w:sz w:val="22"/>
              </w:rPr>
              <w:t>1.0</w:t>
            </w:r>
          </w:p>
        </w:tc>
      </w:tr>
    </w:tbl>
    <w:p w14:paraId="1EAD4C86" w14:textId="77777777" w:rsidR="00281ED6" w:rsidRPr="00281ED6" w:rsidRDefault="00281ED6">
      <w:pPr>
        <w:rPr>
          <w:rFonts w:ascii="Arial" w:hAnsi="Arial" w:cs="Arial"/>
          <w:sz w:val="22"/>
          <w:szCs w:val="24"/>
        </w:rPr>
      </w:pPr>
    </w:p>
    <w:sectPr w:rsidR="00281ED6" w:rsidRPr="00281ED6" w:rsidSect="00C7555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FF7554" w14:textId="77777777" w:rsidR="00091A9B" w:rsidRDefault="00091A9B" w:rsidP="006F5B73">
      <w:r>
        <w:separator/>
      </w:r>
    </w:p>
  </w:endnote>
  <w:endnote w:type="continuationSeparator" w:id="0">
    <w:p w14:paraId="3C7E9B23" w14:textId="77777777" w:rsidR="00091A9B" w:rsidRDefault="00091A9B" w:rsidP="006F5B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55DD3D" w14:textId="77777777" w:rsidR="00091A9B" w:rsidRDefault="00091A9B" w:rsidP="006F5B73">
      <w:r>
        <w:separator/>
      </w:r>
    </w:p>
  </w:footnote>
  <w:footnote w:type="continuationSeparator" w:id="0">
    <w:p w14:paraId="2276A3F9" w14:textId="77777777" w:rsidR="00091A9B" w:rsidRDefault="00091A9B" w:rsidP="006F5B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E65"/>
    <w:rsid w:val="00083FE4"/>
    <w:rsid w:val="00091A9B"/>
    <w:rsid w:val="001B2446"/>
    <w:rsid w:val="00266CE9"/>
    <w:rsid w:val="00273202"/>
    <w:rsid w:val="00281ED6"/>
    <w:rsid w:val="002A015A"/>
    <w:rsid w:val="004359ED"/>
    <w:rsid w:val="00637D88"/>
    <w:rsid w:val="006F5B73"/>
    <w:rsid w:val="007821B9"/>
    <w:rsid w:val="007F3790"/>
    <w:rsid w:val="008038FF"/>
    <w:rsid w:val="00834E65"/>
    <w:rsid w:val="008869C7"/>
    <w:rsid w:val="008B6E34"/>
    <w:rsid w:val="008E206D"/>
    <w:rsid w:val="00925672"/>
    <w:rsid w:val="00B93947"/>
    <w:rsid w:val="00C75550"/>
    <w:rsid w:val="00C97D1A"/>
    <w:rsid w:val="00CB2898"/>
    <w:rsid w:val="00DA10DC"/>
    <w:rsid w:val="00DC11FB"/>
    <w:rsid w:val="00DF1AA5"/>
    <w:rsid w:val="00DF3342"/>
    <w:rsid w:val="00E07A6E"/>
    <w:rsid w:val="00E86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21F417"/>
  <w15:chartTrackingRefBased/>
  <w15:docId w15:val="{436073EA-7114-4230-8AB6-F046CD6A4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273202"/>
    <w:rPr>
      <w:rFonts w:eastAsia="Arial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bottom w:val="single" w:sz="12" w:space="0" w:color="auto"/>
        </w:tcBorders>
      </w:tcPr>
    </w:tblStylePr>
  </w:style>
  <w:style w:type="paragraph" w:styleId="a4">
    <w:name w:val="header"/>
    <w:basedOn w:val="a"/>
    <w:link w:val="a5"/>
    <w:uiPriority w:val="99"/>
    <w:unhideWhenUsed/>
    <w:rsid w:val="006F5B7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F5B7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F5B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F5B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456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05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74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2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9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 友恒</dc:creator>
  <cp:keywords/>
  <dc:description/>
  <cp:lastModifiedBy>William Peng</cp:lastModifiedBy>
  <cp:revision>11</cp:revision>
  <dcterms:created xsi:type="dcterms:W3CDTF">2022-11-08T11:38:00Z</dcterms:created>
  <dcterms:modified xsi:type="dcterms:W3CDTF">2023-08-14T08:26:00Z</dcterms:modified>
</cp:coreProperties>
</file>