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7CC4" w14:textId="7149339A" w:rsidR="008A6A8A" w:rsidRPr="004B47B9" w:rsidRDefault="008A6A8A" w:rsidP="008A6A8A">
      <w:pPr>
        <w:pStyle w:val="ZingAuthor"/>
        <w:spacing w:line="480" w:lineRule="auto"/>
        <w:rPr>
          <w:rFonts w:asciiTheme="majorBidi" w:eastAsiaTheme="minorHAnsi" w:hAnsiTheme="majorBidi" w:cstheme="majorBidi"/>
          <w:color w:val="FF0000"/>
          <w:sz w:val="28"/>
          <w:szCs w:val="28"/>
          <w:lang w:val="en-US" w:eastAsia="en-US"/>
        </w:rPr>
      </w:pPr>
      <w:r w:rsidRPr="004B47B9">
        <w:rPr>
          <w:rFonts w:asciiTheme="majorBidi" w:eastAsiaTheme="minorHAnsi" w:hAnsiTheme="majorBidi" w:cstheme="majorBidi"/>
          <w:color w:val="FF0000"/>
          <w:sz w:val="24"/>
          <w:szCs w:val="24"/>
          <w:lang w:val="en-US" w:eastAsia="en-US"/>
        </w:rPr>
        <w:t>Supplementary Information (SI)</w:t>
      </w:r>
    </w:p>
    <w:p w14:paraId="49C20881" w14:textId="77777777" w:rsidR="00117750" w:rsidRPr="004B47B9" w:rsidRDefault="00117750" w:rsidP="00117750">
      <w:pPr>
        <w:pStyle w:val="ZingAuthor"/>
        <w:spacing w:line="480" w:lineRule="auto"/>
        <w:rPr>
          <w:rFonts w:asciiTheme="majorBidi" w:eastAsiaTheme="minorHAnsi" w:hAnsiTheme="majorBidi" w:cstheme="majorBidi"/>
          <w:color w:val="FF0000"/>
          <w:sz w:val="28"/>
          <w:szCs w:val="28"/>
          <w:lang w:val="en-US" w:eastAsia="en-US"/>
        </w:rPr>
      </w:pPr>
    </w:p>
    <w:p w14:paraId="4CC3C999" w14:textId="3F51419A" w:rsidR="0035659A" w:rsidRPr="004B47B9" w:rsidRDefault="0035659A" w:rsidP="0035659A">
      <w:pPr>
        <w:pStyle w:val="ZingAuthor"/>
        <w:spacing w:line="480" w:lineRule="auto"/>
        <w:jc w:val="center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4B47B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The Double-Edged Sword of αB-Crystallin Chaperone Activity: Insights from P39L Mutant at N-terminal region.</w:t>
      </w:r>
    </w:p>
    <w:p w14:paraId="0DAD4974" w14:textId="33CD0C37" w:rsidR="0035659A" w:rsidRPr="004B47B9" w:rsidRDefault="0035659A" w:rsidP="00117750">
      <w:pPr>
        <w:pStyle w:val="ZingAuthor"/>
        <w:spacing w:line="480" w:lineRule="auto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Anis Barati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1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</w:rPr>
        <w:t>, Leila Rezaei Somee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1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, Mohammad Bagher Shahsavani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</w:rPr>
        <w:t>2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 xml:space="preserve">, 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</w:rPr>
        <w:t>Atieh Ghasemi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3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, Masaru Hoshino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</w:rPr>
        <w:t>4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 xml:space="preserve">, 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  <w:lang w:val="en"/>
        </w:rPr>
        <w:t>Jun Hong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  <w:lang w:val="en"/>
        </w:rPr>
        <w:t xml:space="preserve"> 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</w:rPr>
        <w:t>5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,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Ali Akbar Moosavi-Movahedi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</w:rPr>
        <w:t>2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, Giulio Agnetti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  <w:vertAlign w:val="superscript"/>
        </w:rPr>
        <w:t>6</w:t>
      </w:r>
      <w:r w:rsidRPr="004B47B9">
        <w:rPr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 xml:space="preserve">, 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</w:rPr>
        <w:t>Reza Yousefi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1</w:t>
      </w:r>
      <w:r w:rsidRPr="004B47B9">
        <w:rPr>
          <w:rFonts w:asciiTheme="majorBidi" w:hAnsiTheme="majorBidi" w:cstheme="majorBidi"/>
          <w:b w:val="0"/>
          <w:bCs w:val="0"/>
          <w:sz w:val="24"/>
          <w:szCs w:val="24"/>
        </w:rPr>
        <w:t>*</w:t>
      </w:r>
    </w:p>
    <w:p w14:paraId="13E8825B" w14:textId="59DD9FE5" w:rsidR="00117750" w:rsidRPr="004B47B9" w:rsidRDefault="00117750">
      <w:pPr>
        <w:rPr>
          <w:rFonts w:asciiTheme="majorBidi" w:eastAsia="Calibri" w:hAnsiTheme="majorBidi" w:cstheme="majorBidi"/>
          <w:sz w:val="24"/>
          <w:szCs w:val="24"/>
          <w:lang w:val="en-GB" w:eastAsia="en-GB"/>
        </w:rPr>
      </w:pPr>
      <w:r w:rsidRPr="004B47B9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264BFD4D" w14:textId="0955F813" w:rsidR="00117750" w:rsidRPr="004B47B9" w:rsidRDefault="00EA55CA" w:rsidP="00EA55CA">
      <w:pPr>
        <w:pStyle w:val="ZingAuthor"/>
        <w:spacing w:line="48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677E875C" wp14:editId="51236A1F">
            <wp:extent cx="5144494" cy="5810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0" r="13300" b="2184"/>
                    <a:stretch/>
                  </pic:blipFill>
                  <pic:spPr bwMode="auto">
                    <a:xfrm>
                      <a:off x="0" y="0"/>
                      <a:ext cx="5153222" cy="582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9F74D" w14:textId="4E1E6CEF" w:rsidR="0035659A" w:rsidRPr="004B47B9" w:rsidRDefault="0035659A" w:rsidP="0011775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47B9">
        <w:rPr>
          <w:rFonts w:asciiTheme="majorBidi" w:hAnsiTheme="majorBidi" w:cstheme="majorBidi"/>
          <w:b/>
          <w:bCs/>
          <w:sz w:val="24"/>
          <w:szCs w:val="24"/>
        </w:rPr>
        <w:t xml:space="preserve">Fig. S1. </w:t>
      </w:r>
      <w:r w:rsidR="00F14063" w:rsidRPr="004B47B9">
        <w:rPr>
          <w:rFonts w:asciiTheme="majorBidi" w:hAnsiTheme="majorBidi" w:cstheme="majorBidi"/>
          <w:b/>
          <w:bCs/>
          <w:sz w:val="24"/>
          <w:szCs w:val="24"/>
        </w:rPr>
        <w:t xml:space="preserve">Site-directed mutagenesis and protein purification studies. </w:t>
      </w:r>
      <w:r w:rsidRPr="004B47B9">
        <w:rPr>
          <w:rFonts w:asciiTheme="majorBidi" w:hAnsiTheme="majorBidi" w:cstheme="majorBidi"/>
          <w:sz w:val="24"/>
          <w:szCs w:val="24"/>
        </w:rPr>
        <w:t xml:space="preserve">(A) The domain organization of human αB-Cry and position of P39L mutation in structure of this protein (PDB ID: 3J07). (B) pET28b (+) vectors containing gene αB-Cry are demonstrated. (C) The wild-type and mutant αB-Cry’s DNA sequencing results. (D) Purity confirmation of wild-type and mutant human αB-Cry proteins using 12% SDS-PAGE gel with </w:t>
      </w:r>
      <w:r w:rsidR="00117750" w:rsidRPr="004B47B9">
        <w:rPr>
          <w:rFonts w:asciiTheme="majorBidi" w:hAnsiTheme="majorBidi" w:cstheme="majorBidi"/>
          <w:sz w:val="24"/>
          <w:szCs w:val="24"/>
        </w:rPr>
        <w:t xml:space="preserve">a </w:t>
      </w:r>
      <w:r w:rsidRPr="004B47B9">
        <w:rPr>
          <w:rFonts w:asciiTheme="majorBidi" w:hAnsiTheme="majorBidi" w:cstheme="majorBidi"/>
          <w:sz w:val="24"/>
          <w:szCs w:val="24"/>
        </w:rPr>
        <w:t xml:space="preserve">molecular weight marker. (E) MALDI-TOF mass spectroscopy analysis (m/z) of the </w:t>
      </w:r>
      <w:r w:rsidR="00117750" w:rsidRPr="004B47B9">
        <w:rPr>
          <w:rFonts w:asciiTheme="majorBidi" w:hAnsiTheme="majorBidi" w:cstheme="majorBidi"/>
          <w:sz w:val="24"/>
          <w:szCs w:val="24"/>
        </w:rPr>
        <w:t>wild-</w:t>
      </w:r>
      <w:r w:rsidRPr="004B47B9">
        <w:rPr>
          <w:rFonts w:asciiTheme="majorBidi" w:hAnsiTheme="majorBidi" w:cstheme="majorBidi"/>
          <w:sz w:val="24"/>
          <w:szCs w:val="24"/>
        </w:rPr>
        <w:t xml:space="preserve">type αB-Cry. (F) MALDI-TOF mass spectroscopy analysis (m/z) of the </w:t>
      </w:r>
      <w:r w:rsidR="00117750" w:rsidRPr="004B47B9">
        <w:rPr>
          <w:rFonts w:asciiTheme="majorBidi" w:hAnsiTheme="majorBidi" w:cstheme="majorBidi"/>
          <w:sz w:val="24"/>
          <w:szCs w:val="24"/>
        </w:rPr>
        <w:t>mutant</w:t>
      </w:r>
      <w:r w:rsidRPr="004B47B9">
        <w:rPr>
          <w:rFonts w:asciiTheme="majorBidi" w:hAnsiTheme="majorBidi" w:cstheme="majorBidi"/>
          <w:sz w:val="24"/>
          <w:szCs w:val="24"/>
        </w:rPr>
        <w:t xml:space="preserve"> αB-Cry. </w:t>
      </w:r>
    </w:p>
    <w:p w14:paraId="0C7CA2A6" w14:textId="395AD8DC" w:rsidR="00A560B9" w:rsidRPr="004B47B9" w:rsidRDefault="00AA6903" w:rsidP="00A560B9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888C4E" wp14:editId="5FEDD936">
            <wp:extent cx="5486650" cy="54148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2" r="2605"/>
                    <a:stretch/>
                  </pic:blipFill>
                  <pic:spPr bwMode="auto">
                    <a:xfrm>
                      <a:off x="0" y="0"/>
                      <a:ext cx="5491636" cy="541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A88F1" w14:textId="33959CD0" w:rsidR="0035659A" w:rsidRPr="004B47B9" w:rsidRDefault="0035659A" w:rsidP="00583BC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47B9">
        <w:rPr>
          <w:rFonts w:asciiTheme="majorBidi" w:hAnsiTheme="majorBidi" w:cstheme="majorBidi"/>
          <w:b/>
          <w:bCs/>
          <w:sz w:val="24"/>
          <w:szCs w:val="24"/>
        </w:rPr>
        <w:t xml:space="preserve">Fig. S2. Effect of heat stress on the survival of </w:t>
      </w:r>
      <w:r w:rsidRPr="004B47B9">
        <w:rPr>
          <w:rFonts w:asciiTheme="majorBidi" w:hAnsiTheme="majorBidi" w:cstheme="majorBidi"/>
          <w:b/>
          <w:bCs/>
          <w:i/>
          <w:iCs/>
          <w:sz w:val="24"/>
          <w:szCs w:val="24"/>
        </w:rPr>
        <w:t>Escherichia coli</w:t>
      </w:r>
      <w:r w:rsidRPr="004B47B9">
        <w:rPr>
          <w:rFonts w:asciiTheme="majorBidi" w:hAnsiTheme="majorBidi" w:cstheme="majorBidi"/>
          <w:b/>
          <w:bCs/>
          <w:sz w:val="24"/>
          <w:szCs w:val="24"/>
        </w:rPr>
        <w:t xml:space="preserve"> expressing the chaperone proteins.</w:t>
      </w:r>
      <w:r w:rsidRPr="004B47B9">
        <w:rPr>
          <w:rFonts w:asciiTheme="majorBidi" w:hAnsiTheme="majorBidi" w:cstheme="majorBidi"/>
          <w:sz w:val="24"/>
          <w:szCs w:val="24"/>
        </w:rPr>
        <w:t xml:space="preserve"> A) This figure indicates the colonies formed at 37 </w:t>
      </w:r>
      <w:r w:rsidR="00583BCF" w:rsidRPr="004B47B9">
        <w:rPr>
          <w:rFonts w:asciiTheme="majorBidi" w:hAnsiTheme="majorBidi" w:cstheme="majorBidi"/>
          <w:sz w:val="24"/>
          <w:szCs w:val="24"/>
        </w:rPr>
        <w:t xml:space="preserve">˚C and 50 </w:t>
      </w:r>
      <w:r w:rsidRPr="004B47B9">
        <w:rPr>
          <w:rFonts w:asciiTheme="majorBidi" w:hAnsiTheme="majorBidi" w:cstheme="majorBidi"/>
          <w:sz w:val="24"/>
          <w:szCs w:val="24"/>
        </w:rPr>
        <w:t xml:space="preserve">C. B) This figure shows the survival of </w:t>
      </w:r>
      <w:r w:rsidRPr="004B47B9">
        <w:rPr>
          <w:rFonts w:asciiTheme="majorBidi" w:hAnsiTheme="majorBidi" w:cstheme="majorBidi"/>
          <w:i/>
          <w:iCs/>
          <w:sz w:val="24"/>
          <w:szCs w:val="24"/>
        </w:rPr>
        <w:t>Escherichia coli</w:t>
      </w:r>
      <w:r w:rsidRPr="004B47B9">
        <w:rPr>
          <w:rFonts w:asciiTheme="majorBidi" w:hAnsiTheme="majorBidi" w:cstheme="majorBidi"/>
          <w:sz w:val="24"/>
          <w:szCs w:val="24"/>
        </w:rPr>
        <w:t xml:space="preserve"> cells by measuring the</w:t>
      </w:r>
      <w:r w:rsidR="00583BCF" w:rsidRPr="004B47B9">
        <w:rPr>
          <w:rFonts w:asciiTheme="majorBidi" w:hAnsiTheme="majorBidi" w:cstheme="majorBidi"/>
          <w:sz w:val="24"/>
          <w:szCs w:val="24"/>
        </w:rPr>
        <w:t xml:space="preserve"> ratio of colonies formed at 37°C and 50°C</w:t>
      </w:r>
      <w:r w:rsidRPr="004B47B9">
        <w:rPr>
          <w:rFonts w:asciiTheme="majorBidi" w:hAnsiTheme="majorBidi" w:cstheme="majorBidi"/>
          <w:sz w:val="24"/>
          <w:szCs w:val="24"/>
        </w:rPr>
        <w:t>. The values are reported as averages of three independent repeats (</w:t>
      </w:r>
      <w:r w:rsidRPr="004B47B9">
        <w:rPr>
          <w:rFonts w:ascii="Tahoma" w:hAnsi="Tahoma" w:cs="Tahoma"/>
          <w:sz w:val="24"/>
          <w:szCs w:val="24"/>
        </w:rPr>
        <w:t>*</w:t>
      </w:r>
      <w:r w:rsidRPr="004B47B9">
        <w:rPr>
          <w:rFonts w:asciiTheme="majorBidi" w:hAnsiTheme="majorBidi" w:cstheme="majorBidi"/>
          <w:sz w:val="24"/>
          <w:szCs w:val="24"/>
        </w:rPr>
        <w:t xml:space="preserve"> p &lt;0.05, </w:t>
      </w:r>
      <w:r w:rsidRPr="004B47B9">
        <w:rPr>
          <w:rFonts w:ascii="Tahoma" w:hAnsi="Tahoma" w:cs="Tahoma"/>
          <w:sz w:val="24"/>
          <w:szCs w:val="24"/>
        </w:rPr>
        <w:t>**</w:t>
      </w:r>
      <w:r w:rsidRPr="004B47B9">
        <w:rPr>
          <w:rFonts w:asciiTheme="majorBidi" w:hAnsiTheme="majorBidi" w:cstheme="majorBidi"/>
          <w:sz w:val="24"/>
          <w:szCs w:val="24"/>
        </w:rPr>
        <w:t xml:space="preserve"> p &lt;0.01, </w:t>
      </w:r>
      <w:r w:rsidRPr="004B47B9">
        <w:rPr>
          <w:rFonts w:ascii="Tahoma" w:hAnsi="Tahoma" w:cs="Tahoma"/>
          <w:sz w:val="24"/>
          <w:szCs w:val="24"/>
        </w:rPr>
        <w:t>***</w:t>
      </w:r>
      <w:r w:rsidRPr="004B47B9">
        <w:rPr>
          <w:rFonts w:asciiTheme="majorBidi" w:hAnsiTheme="majorBidi" w:cstheme="majorBidi"/>
          <w:sz w:val="24"/>
          <w:szCs w:val="24"/>
        </w:rPr>
        <w:t xml:space="preserve"> p &lt;0.001). C) SDS-PAGE gel shows a similar expression level of the wild</w:t>
      </w:r>
      <w:r w:rsidR="003D7E9A" w:rsidRPr="004B47B9">
        <w:rPr>
          <w:rFonts w:asciiTheme="majorBidi" w:hAnsiTheme="majorBidi" w:cstheme="majorBidi"/>
          <w:sz w:val="24"/>
          <w:szCs w:val="24"/>
        </w:rPr>
        <w:t>-</w:t>
      </w:r>
      <w:r w:rsidRPr="004B47B9">
        <w:rPr>
          <w:rFonts w:asciiTheme="majorBidi" w:hAnsiTheme="majorBidi" w:cstheme="majorBidi"/>
          <w:sz w:val="24"/>
          <w:szCs w:val="24"/>
        </w:rPr>
        <w:t>type and mutant αB-Cry proteins.</w:t>
      </w:r>
    </w:p>
    <w:p w14:paraId="72345B1E" w14:textId="4AAB31A4" w:rsidR="0035659A" w:rsidRPr="004B47B9" w:rsidRDefault="0035659A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86392F" w14:textId="5FD04409" w:rsidR="00A560B9" w:rsidRDefault="00A560B9" w:rsidP="0035659A">
      <w:pPr>
        <w:spacing w:line="480" w:lineRule="auto"/>
        <w:jc w:val="both"/>
        <w:rPr>
          <w:noProof/>
        </w:rPr>
      </w:pPr>
    </w:p>
    <w:p w14:paraId="53CEFC3D" w14:textId="05CA9C78" w:rsidR="00AA6903" w:rsidRPr="004B47B9" w:rsidRDefault="00AA6903" w:rsidP="00AA6903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A5474F" wp14:editId="719B8337">
            <wp:extent cx="6345141" cy="202945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" r="18758" b="66129"/>
                    <a:stretch/>
                  </pic:blipFill>
                  <pic:spPr bwMode="auto">
                    <a:xfrm>
                      <a:off x="0" y="0"/>
                      <a:ext cx="6348050" cy="203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8785F" w14:textId="4DA6F2BF" w:rsidR="0035659A" w:rsidRPr="004B47B9" w:rsidRDefault="0035659A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47B9">
        <w:rPr>
          <w:rFonts w:asciiTheme="majorBidi" w:hAnsiTheme="majorBidi" w:cstheme="majorBidi"/>
          <w:b/>
          <w:bCs/>
          <w:sz w:val="24"/>
          <w:szCs w:val="24"/>
        </w:rPr>
        <w:t>Fig. S3. Assessment of chemical, thermal, and proteolytic stabilities of wild-type and mutant αB-</w:t>
      </w:r>
      <w:r w:rsidR="00F14063" w:rsidRPr="004B47B9">
        <w:rPr>
          <w:rFonts w:asciiTheme="majorBidi" w:hAnsiTheme="majorBidi" w:cstheme="majorBidi"/>
          <w:b/>
          <w:bCs/>
          <w:sz w:val="24"/>
          <w:szCs w:val="24"/>
        </w:rPr>
        <w:t>Cry</w:t>
      </w:r>
      <w:r w:rsidRPr="004B47B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47B9">
        <w:rPr>
          <w:rFonts w:asciiTheme="majorBidi" w:hAnsiTheme="majorBidi" w:cstheme="majorBidi"/>
          <w:sz w:val="24"/>
          <w:szCs w:val="24"/>
        </w:rPr>
        <w:t xml:space="preserve"> (A) Protein samples with a concentration of 0.15 mg/mL in buffer A were prepared in the presence of a range of urea concentration (0-8 M) and the fluorescence emission of the </w:t>
      </w:r>
      <w:proofErr w:type="spellStart"/>
      <w:r w:rsidRPr="004B47B9">
        <w:rPr>
          <w:rFonts w:asciiTheme="majorBidi" w:hAnsiTheme="majorBidi" w:cstheme="majorBidi"/>
          <w:sz w:val="24"/>
          <w:szCs w:val="24"/>
        </w:rPr>
        <w:t>Trp</w:t>
      </w:r>
      <w:proofErr w:type="spellEnd"/>
      <w:r w:rsidRPr="004B47B9">
        <w:rPr>
          <w:rFonts w:asciiTheme="majorBidi" w:hAnsiTheme="majorBidi" w:cstheme="majorBidi"/>
          <w:sz w:val="24"/>
          <w:szCs w:val="24"/>
        </w:rPr>
        <w:t xml:space="preserve"> was</w:t>
      </w:r>
      <w:r w:rsidR="003D7E9A" w:rsidRPr="004B47B9">
        <w:rPr>
          <w:rFonts w:asciiTheme="majorBidi" w:hAnsiTheme="majorBidi" w:cstheme="majorBidi"/>
          <w:sz w:val="24"/>
          <w:szCs w:val="24"/>
        </w:rPr>
        <w:t xml:space="preserve"> </w:t>
      </w:r>
      <w:r w:rsidRPr="004B47B9">
        <w:rPr>
          <w:rFonts w:asciiTheme="majorBidi" w:hAnsiTheme="majorBidi" w:cstheme="majorBidi"/>
          <w:sz w:val="24"/>
          <w:szCs w:val="24"/>
        </w:rPr>
        <w:t>measured. The graph A is protein fluorescence emission intensity ratio against urea concentration. (B) The thermal stability of wild-type and P39L proteins were applied using DSC method. Changes in heat capacity (</w:t>
      </w:r>
      <w:r w:rsidRPr="004B47B9">
        <w:rPr>
          <w:rFonts w:asciiTheme="majorBidi" w:hAnsiTheme="majorBidi" w:cstheme="majorBidi"/>
          <w:i/>
          <w:iCs/>
          <w:sz w:val="24"/>
          <w:szCs w:val="24"/>
        </w:rPr>
        <w:t>C</w:t>
      </w:r>
      <w:r w:rsidRPr="004B47B9">
        <w:rPr>
          <w:rFonts w:asciiTheme="majorBidi" w:hAnsiTheme="majorBidi" w:cstheme="majorBidi"/>
          <w:sz w:val="24"/>
          <w:szCs w:val="24"/>
        </w:rPr>
        <w:t>p) were plotted against different temperatures. (C) SDS-PAGE analysis of wild-type and mutant proteins after exposure to the α-chymotrypsin and the digestion susceptibility of these proteins was analyzed using SDS-PAGE (gel 12%).</w:t>
      </w:r>
    </w:p>
    <w:p w14:paraId="3D4EB2B2" w14:textId="1384918C" w:rsidR="0035659A" w:rsidRPr="004B47B9" w:rsidRDefault="0035659A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D05989" w14:textId="5707C704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06AD405" w14:textId="7D54AF69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DA490E" w14:textId="353165F1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20AFCF" w14:textId="58056932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A18A90" w14:textId="6A4DA9A0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659E94D" w14:textId="6C638837" w:rsidR="00A560B9" w:rsidRPr="004B47B9" w:rsidRDefault="00A560B9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16D885A" w14:textId="5D076CA4" w:rsidR="00A560B9" w:rsidRPr="004B47B9" w:rsidRDefault="00AA6903" w:rsidP="00AA690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31FA3B" wp14:editId="710F85A8">
            <wp:extent cx="6178163" cy="2683806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r="13828" b="54767"/>
                    <a:stretch/>
                  </pic:blipFill>
                  <pic:spPr bwMode="auto">
                    <a:xfrm>
                      <a:off x="0" y="0"/>
                      <a:ext cx="6191394" cy="268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A3CDF" w14:textId="0BD5A932" w:rsidR="003921D1" w:rsidRPr="004B47B9" w:rsidRDefault="0035659A" w:rsidP="0035659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47B9">
        <w:rPr>
          <w:rFonts w:asciiTheme="majorBidi" w:hAnsiTheme="majorBidi" w:cstheme="majorBidi"/>
          <w:b/>
          <w:bCs/>
          <w:sz w:val="24"/>
          <w:szCs w:val="24"/>
        </w:rPr>
        <w:t>Fig. S4. Incubation of αB-</w:t>
      </w:r>
      <w:r w:rsidR="00F14063" w:rsidRPr="004B47B9">
        <w:rPr>
          <w:rFonts w:asciiTheme="majorBidi" w:hAnsiTheme="majorBidi" w:cstheme="majorBidi"/>
          <w:b/>
          <w:bCs/>
          <w:sz w:val="24"/>
          <w:szCs w:val="24"/>
        </w:rPr>
        <w:t>Cry</w:t>
      </w:r>
      <w:r w:rsidRPr="004B47B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83BCF" w:rsidRPr="004B47B9">
        <w:rPr>
          <w:rFonts w:asciiTheme="majorBidi" w:hAnsiTheme="majorBidi" w:cstheme="majorBidi"/>
          <w:b/>
          <w:bCs/>
          <w:sz w:val="24"/>
          <w:szCs w:val="24"/>
        </w:rPr>
        <w:t>chaperones with target protein, γ-Cry</w:t>
      </w:r>
      <w:r w:rsidRPr="004B47B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47B9">
        <w:rPr>
          <w:rFonts w:asciiTheme="majorBidi" w:hAnsiTheme="majorBidi" w:cstheme="majorBidi"/>
          <w:sz w:val="24"/>
          <w:szCs w:val="24"/>
        </w:rPr>
        <w:t xml:space="preserve"> (A) By the end of incubation</w:t>
      </w:r>
      <w:r w:rsidR="00583BCF" w:rsidRPr="004B47B9">
        <w:rPr>
          <w:rFonts w:asciiTheme="majorBidi" w:hAnsiTheme="majorBidi" w:cstheme="majorBidi"/>
          <w:sz w:val="24"/>
          <w:szCs w:val="24"/>
        </w:rPr>
        <w:t xml:space="preserve">, the protein samples were </w:t>
      </w:r>
      <w:r w:rsidRPr="004B47B9">
        <w:rPr>
          <w:rFonts w:asciiTheme="majorBidi" w:hAnsiTheme="majorBidi" w:cstheme="majorBidi"/>
          <w:sz w:val="24"/>
          <w:szCs w:val="24"/>
        </w:rPr>
        <w:t xml:space="preserve">centrifuged and the soluble (supernatant) fraction containing proteins was analyzed by UV-visible spectroscopy. (B) </w:t>
      </w:r>
      <w:bookmarkStart w:id="0" w:name="_Hlk130561825"/>
      <w:r w:rsidRPr="004B47B9">
        <w:rPr>
          <w:rFonts w:asciiTheme="majorBidi" w:hAnsiTheme="majorBidi" w:cstheme="majorBidi"/>
          <w:sz w:val="24"/>
          <w:szCs w:val="24"/>
        </w:rPr>
        <w:t>The soluble (supernatant</w:t>
      </w:r>
      <w:bookmarkEnd w:id="0"/>
      <w:r w:rsidRPr="004B47B9">
        <w:rPr>
          <w:rFonts w:asciiTheme="majorBidi" w:hAnsiTheme="majorBidi" w:cstheme="majorBidi"/>
          <w:sz w:val="24"/>
          <w:szCs w:val="24"/>
        </w:rPr>
        <w:t xml:space="preserve">) and insoluble (pellet) fractions were collected and analyzed by 12% SDS-PAGE. </w:t>
      </w:r>
    </w:p>
    <w:p w14:paraId="1EC890F3" w14:textId="26C74E55" w:rsidR="003921D1" w:rsidRPr="004B47B9" w:rsidRDefault="003921D1">
      <w:pPr>
        <w:rPr>
          <w:rFonts w:asciiTheme="majorBidi" w:hAnsiTheme="majorBidi" w:cstheme="majorBidi"/>
          <w:sz w:val="24"/>
          <w:szCs w:val="24"/>
        </w:rPr>
      </w:pPr>
    </w:p>
    <w:sectPr w:rsidR="003921D1" w:rsidRPr="004B47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DD83" w14:textId="77777777" w:rsidR="00B321CB" w:rsidRDefault="00B321CB" w:rsidP="003921D1">
      <w:pPr>
        <w:spacing w:after="0" w:line="240" w:lineRule="auto"/>
      </w:pPr>
      <w:r>
        <w:separator/>
      </w:r>
    </w:p>
  </w:endnote>
  <w:endnote w:type="continuationSeparator" w:id="0">
    <w:p w14:paraId="0D24B157" w14:textId="77777777" w:rsidR="00B321CB" w:rsidRDefault="00B321CB" w:rsidP="0039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D5BF" w14:textId="77777777" w:rsidR="003921D1" w:rsidRDefault="00392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31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F0B88" w14:textId="3D32E6C7" w:rsidR="003921D1" w:rsidRDefault="003921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A8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BF3C646" w14:textId="77777777" w:rsidR="003921D1" w:rsidRDefault="003921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2AAC" w14:textId="77777777" w:rsidR="003921D1" w:rsidRDefault="00392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A9A2" w14:textId="77777777" w:rsidR="00B321CB" w:rsidRDefault="00B321CB" w:rsidP="003921D1">
      <w:pPr>
        <w:spacing w:after="0" w:line="240" w:lineRule="auto"/>
      </w:pPr>
      <w:r>
        <w:separator/>
      </w:r>
    </w:p>
  </w:footnote>
  <w:footnote w:type="continuationSeparator" w:id="0">
    <w:p w14:paraId="4B54A7D3" w14:textId="77777777" w:rsidR="00B321CB" w:rsidRDefault="00B321CB" w:rsidP="00392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5CE6" w14:textId="77777777" w:rsidR="003921D1" w:rsidRDefault="00392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0819" w14:textId="77777777" w:rsidR="003921D1" w:rsidRDefault="003921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4972" w14:textId="77777777" w:rsidR="003921D1" w:rsidRDefault="00392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84685"/>
    <w:multiLevelType w:val="hybridMultilevel"/>
    <w:tmpl w:val="019AC2F8"/>
    <w:lvl w:ilvl="0" w:tplc="D8827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9A"/>
    <w:rsid w:val="00093AF0"/>
    <w:rsid w:val="00117750"/>
    <w:rsid w:val="001644B1"/>
    <w:rsid w:val="00182F4D"/>
    <w:rsid w:val="0035659A"/>
    <w:rsid w:val="003921D1"/>
    <w:rsid w:val="003D7E9A"/>
    <w:rsid w:val="004B47B9"/>
    <w:rsid w:val="00504AD0"/>
    <w:rsid w:val="00520C7E"/>
    <w:rsid w:val="00583BCF"/>
    <w:rsid w:val="00666003"/>
    <w:rsid w:val="008A6A8A"/>
    <w:rsid w:val="00A560B9"/>
    <w:rsid w:val="00A71348"/>
    <w:rsid w:val="00AA6903"/>
    <w:rsid w:val="00B321CB"/>
    <w:rsid w:val="00BD7955"/>
    <w:rsid w:val="00CF354C"/>
    <w:rsid w:val="00E67E36"/>
    <w:rsid w:val="00EA55CA"/>
    <w:rsid w:val="00F1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048E5"/>
  <w15:chartTrackingRefBased/>
  <w15:docId w15:val="{C28713A9-AFEB-4170-9965-10FA164F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gAuthor">
    <w:name w:val="Zing Author"/>
    <w:basedOn w:val="Normal"/>
    <w:link w:val="ZingAuthorChar"/>
    <w:qFormat/>
    <w:rsid w:val="0035659A"/>
    <w:pPr>
      <w:spacing w:after="0" w:line="240" w:lineRule="auto"/>
    </w:pPr>
    <w:rPr>
      <w:rFonts w:ascii="Arial" w:eastAsia="Calibri" w:hAnsi="Arial" w:cs="Arial"/>
      <w:b/>
      <w:bCs/>
      <w:sz w:val="18"/>
      <w:szCs w:val="16"/>
      <w:lang w:val="en-GB" w:eastAsia="en-GB"/>
    </w:rPr>
  </w:style>
  <w:style w:type="character" w:customStyle="1" w:styleId="ZingAuthorChar">
    <w:name w:val="Zing Author Char"/>
    <w:link w:val="ZingAuthor"/>
    <w:rsid w:val="0035659A"/>
    <w:rPr>
      <w:rFonts w:ascii="Arial" w:eastAsia="Calibri" w:hAnsi="Arial" w:cs="Arial"/>
      <w:b/>
      <w:bCs/>
      <w:sz w:val="18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5659A"/>
    <w:rPr>
      <w:color w:val="0000FF"/>
      <w:u w:val="single"/>
    </w:rPr>
  </w:style>
  <w:style w:type="table" w:styleId="PlainTable4">
    <w:name w:val="Plain Table 4"/>
    <w:basedOn w:val="TableNormal"/>
    <w:uiPriority w:val="44"/>
    <w:rsid w:val="003921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92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1D1"/>
  </w:style>
  <w:style w:type="paragraph" w:styleId="Footer">
    <w:name w:val="footer"/>
    <w:basedOn w:val="Normal"/>
    <w:link w:val="FooterChar"/>
    <w:uiPriority w:val="99"/>
    <w:unhideWhenUsed/>
    <w:rsid w:val="00392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Barati</dc:creator>
  <cp:keywords/>
  <dc:description/>
  <cp:lastModifiedBy>Anis Barati</cp:lastModifiedBy>
  <cp:revision>6</cp:revision>
  <dcterms:created xsi:type="dcterms:W3CDTF">2023-08-11T20:10:00Z</dcterms:created>
  <dcterms:modified xsi:type="dcterms:W3CDTF">2023-08-15T20:08:00Z</dcterms:modified>
</cp:coreProperties>
</file>