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B1D34" w14:textId="39667C4D" w:rsidR="00141AB0" w:rsidRDefault="007D2279" w:rsidP="00860FD9">
      <w:pPr>
        <w:jc w:val="center"/>
        <w:rPr>
          <w:rFonts w:ascii="Times New Roman" w:hAnsi="Times New Roman" w:cs="Times New Roman"/>
          <w:b/>
          <w:bCs/>
          <w:sz w:val="32"/>
          <w:szCs w:val="32"/>
        </w:rPr>
      </w:pPr>
      <w:r w:rsidRPr="00860FD9">
        <w:rPr>
          <w:rFonts w:ascii="Times New Roman" w:hAnsi="Times New Roman" w:cs="Times New Roman"/>
          <w:b/>
          <w:bCs/>
          <w:sz w:val="32"/>
          <w:szCs w:val="32"/>
        </w:rPr>
        <w:t>Supplementary materials</w:t>
      </w:r>
    </w:p>
    <w:p w14:paraId="5AA34AE0" w14:textId="77777777" w:rsidR="009F4F76" w:rsidRDefault="009F4F76" w:rsidP="00141AB0">
      <w:pPr>
        <w:pStyle w:val="a3"/>
        <w:adjustRightInd w:val="0"/>
        <w:snapToGrid w:val="0"/>
        <w:spacing w:before="0" w:beforeAutospacing="0" w:after="0" w:afterAutospacing="0" w:line="360" w:lineRule="auto"/>
        <w:rPr>
          <w:rFonts w:ascii="Times New Roman" w:hAnsi="Times New Roman" w:cs="Times New Roman"/>
          <w:b/>
          <w:bCs/>
        </w:rPr>
      </w:pPr>
    </w:p>
    <w:p w14:paraId="050559E0" w14:textId="3983874C" w:rsidR="00B85AE8" w:rsidRPr="009F4F76" w:rsidRDefault="005B5503" w:rsidP="00141AB0">
      <w:pPr>
        <w:pStyle w:val="a3"/>
        <w:adjustRightInd w:val="0"/>
        <w:snapToGrid w:val="0"/>
        <w:spacing w:before="0" w:beforeAutospacing="0" w:after="0" w:afterAutospacing="0" w:line="360" w:lineRule="auto"/>
        <w:rPr>
          <w:rFonts w:ascii="Times New Roman" w:hAnsi="Times New Roman" w:cs="Times New Roman"/>
          <w:b/>
          <w:bCs/>
        </w:rPr>
      </w:pPr>
      <w:r w:rsidRPr="009F4F76">
        <w:rPr>
          <w:rFonts w:ascii="Times New Roman" w:hAnsi="Times New Roman" w:cs="Times New Roman"/>
          <w:b/>
          <w:bCs/>
        </w:rPr>
        <w:t>Numerosity localizer task</w:t>
      </w:r>
    </w:p>
    <w:p w14:paraId="68EAE267" w14:textId="4AC8F835" w:rsidR="00A32118" w:rsidRPr="00A32118" w:rsidRDefault="00B85AE8" w:rsidP="00F00A74">
      <w:pPr>
        <w:pStyle w:val="a3"/>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    </w:t>
      </w:r>
      <w:r w:rsidR="00A32118" w:rsidRPr="00A32118">
        <w:rPr>
          <w:rFonts w:ascii="Times New Roman" w:hAnsi="Times New Roman" w:cs="Times New Roman"/>
        </w:rPr>
        <w:t xml:space="preserve">A numerosity localizer task was </w:t>
      </w:r>
      <w:r w:rsidR="00A32118">
        <w:rPr>
          <w:rFonts w:ascii="Times New Roman" w:hAnsi="Times New Roman" w:cs="Times New Roman"/>
        </w:rPr>
        <w:t>used</w:t>
      </w:r>
      <w:r w:rsidR="00A32118" w:rsidRPr="00A32118">
        <w:rPr>
          <w:rFonts w:ascii="Times New Roman" w:hAnsi="Times New Roman" w:cs="Times New Roman"/>
        </w:rPr>
        <w:t xml:space="preserve"> to identify brain areas associated with numerosity processing. The stimuli for this task consisted of images </w:t>
      </w:r>
      <w:r w:rsidR="00A32118">
        <w:rPr>
          <w:rFonts w:ascii="Times New Roman" w:hAnsi="Times New Roman" w:cs="Times New Roman"/>
        </w:rPr>
        <w:t>containing</w:t>
      </w:r>
      <w:r w:rsidR="00A32118" w:rsidRPr="00A32118">
        <w:rPr>
          <w:rFonts w:ascii="Times New Roman" w:hAnsi="Times New Roman" w:cs="Times New Roman"/>
        </w:rPr>
        <w:t xml:space="preserve"> cyan dots. The dot arrays had six different numerosity levels (6, 7, 8, 9, 10, and 12), and the dots' lightness, represented in RGB values, had five levels (level 1: </w:t>
      </w:r>
      <w:r w:rsidR="00A32118">
        <w:rPr>
          <w:rFonts w:ascii="Times New Roman" w:hAnsi="Times New Roman" w:cs="Times New Roman"/>
        </w:rPr>
        <w:t>[</w:t>
      </w:r>
      <w:r w:rsidR="00A32118" w:rsidRPr="00A32118">
        <w:rPr>
          <w:rFonts w:ascii="Times New Roman" w:hAnsi="Times New Roman" w:cs="Times New Roman"/>
        </w:rPr>
        <w:t>67, 151, 152</w:t>
      </w:r>
      <w:r w:rsidR="00A32118">
        <w:rPr>
          <w:rFonts w:ascii="Times New Roman" w:hAnsi="Times New Roman" w:cs="Times New Roman"/>
        </w:rPr>
        <w:t>]</w:t>
      </w:r>
      <w:r w:rsidR="00A32118" w:rsidRPr="00A32118">
        <w:rPr>
          <w:rFonts w:ascii="Times New Roman" w:hAnsi="Times New Roman" w:cs="Times New Roman"/>
        </w:rPr>
        <w:t xml:space="preserve">; level 2: </w:t>
      </w:r>
      <w:r w:rsidR="00A32118">
        <w:rPr>
          <w:rFonts w:ascii="Times New Roman" w:hAnsi="Times New Roman" w:cs="Times New Roman"/>
        </w:rPr>
        <w:t>[</w:t>
      </w:r>
      <w:r w:rsidR="00A32118" w:rsidRPr="00A32118">
        <w:rPr>
          <w:rFonts w:ascii="Times New Roman" w:hAnsi="Times New Roman" w:cs="Times New Roman"/>
        </w:rPr>
        <w:t>80, 151, 152</w:t>
      </w:r>
      <w:r w:rsidR="00A32118">
        <w:rPr>
          <w:rFonts w:ascii="Times New Roman" w:hAnsi="Times New Roman" w:cs="Times New Roman"/>
        </w:rPr>
        <w:t>]</w:t>
      </w:r>
      <w:r w:rsidR="00A32118" w:rsidRPr="00A32118">
        <w:rPr>
          <w:rFonts w:ascii="Times New Roman" w:hAnsi="Times New Roman" w:cs="Times New Roman"/>
        </w:rPr>
        <w:t xml:space="preserve">; level 3: </w:t>
      </w:r>
      <w:r w:rsidR="00A32118">
        <w:rPr>
          <w:rFonts w:ascii="Times New Roman" w:hAnsi="Times New Roman" w:cs="Times New Roman"/>
        </w:rPr>
        <w:t>[</w:t>
      </w:r>
      <w:r w:rsidR="00A32118" w:rsidRPr="00A32118">
        <w:rPr>
          <w:rFonts w:ascii="Times New Roman" w:hAnsi="Times New Roman" w:cs="Times New Roman"/>
        </w:rPr>
        <w:t>92, 201, 202</w:t>
      </w:r>
      <w:r w:rsidR="00A32118">
        <w:rPr>
          <w:rFonts w:ascii="Times New Roman" w:hAnsi="Times New Roman" w:cs="Times New Roman"/>
        </w:rPr>
        <w:t>]</w:t>
      </w:r>
      <w:r w:rsidR="00A32118" w:rsidRPr="00A32118">
        <w:rPr>
          <w:rFonts w:ascii="Times New Roman" w:hAnsi="Times New Roman" w:cs="Times New Roman"/>
        </w:rPr>
        <w:t xml:space="preserve">; level 4: </w:t>
      </w:r>
      <w:r w:rsidR="00A32118">
        <w:rPr>
          <w:rFonts w:ascii="Times New Roman" w:hAnsi="Times New Roman" w:cs="Times New Roman"/>
        </w:rPr>
        <w:t>[</w:t>
      </w:r>
      <w:r w:rsidR="00A32118" w:rsidRPr="00A32118">
        <w:rPr>
          <w:rFonts w:ascii="Times New Roman" w:hAnsi="Times New Roman" w:cs="Times New Roman"/>
        </w:rPr>
        <w:t>105, 227, 229</w:t>
      </w:r>
      <w:r w:rsidR="00A32118">
        <w:rPr>
          <w:rFonts w:ascii="Times New Roman" w:hAnsi="Times New Roman" w:cs="Times New Roman"/>
        </w:rPr>
        <w:t>]</w:t>
      </w:r>
      <w:r w:rsidR="00A32118" w:rsidRPr="00A32118">
        <w:rPr>
          <w:rFonts w:ascii="Times New Roman" w:hAnsi="Times New Roman" w:cs="Times New Roman"/>
        </w:rPr>
        <w:t xml:space="preserve">; level 5: </w:t>
      </w:r>
      <w:r w:rsidR="00A32118">
        <w:rPr>
          <w:rFonts w:ascii="Times New Roman" w:hAnsi="Times New Roman" w:cs="Times New Roman"/>
        </w:rPr>
        <w:t>[</w:t>
      </w:r>
      <w:r w:rsidR="00A32118" w:rsidRPr="00A32118">
        <w:rPr>
          <w:rFonts w:ascii="Times New Roman" w:hAnsi="Times New Roman" w:cs="Times New Roman"/>
        </w:rPr>
        <w:t>117, 251, 253</w:t>
      </w:r>
      <w:r w:rsidR="00A32118">
        <w:rPr>
          <w:rFonts w:ascii="Times New Roman" w:hAnsi="Times New Roman" w:cs="Times New Roman"/>
        </w:rPr>
        <w:t>]</w:t>
      </w:r>
      <w:r w:rsidR="00A32118" w:rsidRPr="00A32118">
        <w:rPr>
          <w:rFonts w:ascii="Times New Roman" w:hAnsi="Times New Roman" w:cs="Times New Roman"/>
        </w:rPr>
        <w:t>). Taking into account both number and lightness, we generated 30 variations of dot images with controlled convex hull and density. Each variation comprised 40 images, which were presented randomly during the task.</w:t>
      </w:r>
    </w:p>
    <w:p w14:paraId="28A677FB" w14:textId="3C85C055" w:rsidR="00A32118" w:rsidRPr="00A32118" w:rsidRDefault="00A32118" w:rsidP="00A32118">
      <w:pPr>
        <w:pStyle w:val="a3"/>
        <w:adjustRightInd w:val="0"/>
        <w:snapToGrid w:val="0"/>
        <w:spacing w:before="0" w:beforeAutospacing="0" w:after="0" w:afterAutospacing="0" w:line="360" w:lineRule="auto"/>
        <w:ind w:firstLine="480"/>
        <w:rPr>
          <w:rFonts w:ascii="Times New Roman" w:hAnsi="Times New Roman" w:cs="Times New Roman"/>
        </w:rPr>
      </w:pPr>
      <w:r w:rsidRPr="00A32118">
        <w:rPr>
          <w:rFonts w:ascii="Times New Roman" w:hAnsi="Times New Roman" w:cs="Times New Roman"/>
        </w:rPr>
        <w:t xml:space="preserve">For each numerosity comparison trial, five scales were used to represent the number ratio between the two dot images (6:12, 9:12, 10:12, 7:8, 9:10). To verify that the convex hull and density were controlled as intended, we extracted relevant data from all numerosity comparison trials across all subjects. We then grouped the data into five categories based on the scales, removed duplicate rows, and conducted paired sample t-tests between the </w:t>
      </w:r>
      <w:r>
        <w:rPr>
          <w:rFonts w:ascii="Times New Roman" w:hAnsi="Times New Roman" w:cs="Times New Roman"/>
        </w:rPr>
        <w:t>small</w:t>
      </w:r>
      <w:r w:rsidRPr="00A32118">
        <w:rPr>
          <w:rFonts w:ascii="Times New Roman" w:hAnsi="Times New Roman" w:cs="Times New Roman"/>
        </w:rPr>
        <w:t xml:space="preserve"> and </w:t>
      </w:r>
      <w:r>
        <w:rPr>
          <w:rFonts w:ascii="Times New Roman" w:hAnsi="Times New Roman" w:cs="Times New Roman"/>
        </w:rPr>
        <w:t>large</w:t>
      </w:r>
      <w:r w:rsidRPr="00A32118">
        <w:rPr>
          <w:rFonts w:ascii="Times New Roman" w:hAnsi="Times New Roman" w:cs="Times New Roman"/>
        </w:rPr>
        <w:t xml:space="preserve"> numbers (e.g., in the 6:12 scale, 6 is the </w:t>
      </w:r>
      <w:r>
        <w:rPr>
          <w:rFonts w:ascii="Times New Roman" w:hAnsi="Times New Roman" w:cs="Times New Roman"/>
        </w:rPr>
        <w:t>small</w:t>
      </w:r>
      <w:r w:rsidRPr="00A32118">
        <w:rPr>
          <w:rFonts w:ascii="Times New Roman" w:hAnsi="Times New Roman" w:cs="Times New Roman"/>
        </w:rPr>
        <w:t xml:space="preserve"> number and 12 is the </w:t>
      </w:r>
      <w:r>
        <w:rPr>
          <w:rFonts w:ascii="Times New Roman" w:hAnsi="Times New Roman" w:cs="Times New Roman"/>
        </w:rPr>
        <w:t>large number</w:t>
      </w:r>
      <w:r w:rsidRPr="00A32118">
        <w:rPr>
          <w:rFonts w:ascii="Times New Roman" w:hAnsi="Times New Roman" w:cs="Times New Roman"/>
        </w:rPr>
        <w:t xml:space="preserve">). Convex hull areas were determined using the </w:t>
      </w:r>
      <w:r w:rsidRPr="00A32118">
        <w:rPr>
          <w:rFonts w:ascii="Times New Roman" w:hAnsi="Times New Roman" w:cs="Times New Roman"/>
        </w:rPr>
        <w:t>MATLAB</w:t>
      </w:r>
      <w:r w:rsidRPr="00A32118">
        <w:rPr>
          <w:rFonts w:ascii="Times New Roman" w:hAnsi="Times New Roman" w:cs="Times New Roman"/>
        </w:rPr>
        <w:t xml:space="preserve"> function</w:t>
      </w:r>
      <w:r>
        <w:rPr>
          <w:rFonts w:ascii="Times New Roman" w:hAnsi="Times New Roman" w:cs="Times New Roman"/>
        </w:rPr>
        <w:t xml:space="preserve"> of </w:t>
      </w:r>
      <w:proofErr w:type="spellStart"/>
      <w:r w:rsidRPr="00A32118">
        <w:rPr>
          <w:rFonts w:ascii="Times New Roman" w:hAnsi="Times New Roman" w:cs="Times New Roman"/>
        </w:rPr>
        <w:t>convhull</w:t>
      </w:r>
      <w:proofErr w:type="spellEnd"/>
      <w:r w:rsidRPr="00A32118">
        <w:rPr>
          <w:rFonts w:ascii="Times New Roman" w:hAnsi="Times New Roman" w:cs="Times New Roman"/>
        </w:rPr>
        <w:t xml:space="preserve">, and density was calculated by dividing the number by the corresponding convex hull areas. The results are </w:t>
      </w:r>
      <w:r>
        <w:rPr>
          <w:rFonts w:ascii="Times New Roman" w:hAnsi="Times New Roman" w:cs="Times New Roman"/>
        </w:rPr>
        <w:t>displayed</w:t>
      </w:r>
      <w:r w:rsidRPr="00A32118">
        <w:rPr>
          <w:rFonts w:ascii="Times New Roman" w:hAnsi="Times New Roman" w:cs="Times New Roman"/>
        </w:rPr>
        <w:t xml:space="preserve"> in Figure S</w:t>
      </w:r>
      <w:r>
        <w:rPr>
          <w:rFonts w:ascii="Times New Roman" w:hAnsi="Times New Roman" w:cs="Times New Roman"/>
        </w:rPr>
        <w:t>1</w:t>
      </w:r>
      <w:r w:rsidRPr="00A32118">
        <w:rPr>
          <w:rFonts w:ascii="Times New Roman" w:hAnsi="Times New Roman" w:cs="Times New Roman"/>
        </w:rPr>
        <w:t xml:space="preserve">. Most of the convex hull areas and densities did not show significant differences in the tests (convex hull: all </w:t>
      </w:r>
      <w:proofErr w:type="spellStart"/>
      <w:r w:rsidRPr="00A32118">
        <w:rPr>
          <w:rFonts w:ascii="Times New Roman" w:hAnsi="Times New Roman" w:cs="Times New Roman"/>
        </w:rPr>
        <w:t>ps</w:t>
      </w:r>
      <w:proofErr w:type="spellEnd"/>
      <w:r w:rsidRPr="00A32118">
        <w:rPr>
          <w:rFonts w:ascii="Times New Roman" w:hAnsi="Times New Roman" w:cs="Times New Roman"/>
        </w:rPr>
        <w:t xml:space="preserve"> &gt; 0.2; density: all </w:t>
      </w:r>
      <w:proofErr w:type="spellStart"/>
      <w:r w:rsidRPr="00A32118">
        <w:rPr>
          <w:rFonts w:ascii="Times New Roman" w:hAnsi="Times New Roman" w:cs="Times New Roman"/>
        </w:rPr>
        <w:t>ps</w:t>
      </w:r>
      <w:proofErr w:type="spellEnd"/>
      <w:r w:rsidRPr="00A32118">
        <w:rPr>
          <w:rFonts w:ascii="Times New Roman" w:hAnsi="Times New Roman" w:cs="Times New Roman"/>
        </w:rPr>
        <w:t xml:space="preserve"> &gt; 0.4), with the exception of the convex hull areas in the 6:12 scale (t = -2.313, p = 0.021). This suggests that, in the majority of trials, the convex hull and density were effectively controlled.</w:t>
      </w:r>
    </w:p>
    <w:p w14:paraId="06AB5559" w14:textId="69EE28B4" w:rsidR="005B5503" w:rsidRDefault="009165B1" w:rsidP="00141AB0">
      <w:pPr>
        <w:pStyle w:val="a3"/>
        <w:adjustRightInd w:val="0"/>
        <w:snapToGrid w:val="0"/>
        <w:spacing w:before="0" w:beforeAutospacing="0" w:after="0" w:afterAutospacing="0" w:line="360" w:lineRule="auto"/>
        <w:rPr>
          <w:rFonts w:ascii="Times New Roman" w:hAnsi="Times New Roman" w:cs="Times New Roman"/>
          <w:i/>
          <w:iCs/>
        </w:rPr>
      </w:pPr>
      <w:r>
        <w:rPr>
          <w:rFonts w:ascii="Times New Roman" w:hAnsi="Times New Roman" w:cs="Times New Roman"/>
          <w:i/>
          <w:iCs/>
          <w:noProof/>
        </w:rPr>
        <w:drawing>
          <wp:inline distT="0" distB="0" distL="0" distR="0" wp14:anchorId="709C7886" wp14:editId="05B18522">
            <wp:extent cx="6219627" cy="1805940"/>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39177" cy="1811617"/>
                    </a:xfrm>
                    <a:prstGeom prst="rect">
                      <a:avLst/>
                    </a:prstGeom>
                  </pic:spPr>
                </pic:pic>
              </a:graphicData>
            </a:graphic>
          </wp:inline>
        </w:drawing>
      </w:r>
    </w:p>
    <w:p w14:paraId="6138CAAE" w14:textId="40CF814C" w:rsidR="005F2363" w:rsidRPr="00D77BCF" w:rsidRDefault="009165B1" w:rsidP="00D77BCF">
      <w:pPr>
        <w:rPr>
          <w:rFonts w:ascii="Times New Roman" w:hAnsi="Times New Roman" w:cs="Times New Roman"/>
          <w:i/>
          <w:iCs/>
          <w:sz w:val="24"/>
        </w:rPr>
      </w:pPr>
      <w:r w:rsidRPr="00D77BCF">
        <w:rPr>
          <w:rFonts w:ascii="Times New Roman" w:hAnsi="Times New Roman" w:cs="Times New Roman"/>
          <w:b/>
          <w:bCs/>
          <w:sz w:val="24"/>
        </w:rPr>
        <w:t>Figure S</w:t>
      </w:r>
      <w:r w:rsidR="00A32118">
        <w:rPr>
          <w:rFonts w:ascii="Times New Roman" w:hAnsi="Times New Roman" w:cs="Times New Roman"/>
          <w:b/>
          <w:bCs/>
          <w:sz w:val="24"/>
        </w:rPr>
        <w:t>1</w:t>
      </w:r>
      <w:r w:rsidRPr="00D77BCF">
        <w:rPr>
          <w:rFonts w:ascii="Times New Roman" w:hAnsi="Times New Roman" w:cs="Times New Roman"/>
          <w:b/>
          <w:bCs/>
          <w:sz w:val="24"/>
        </w:rPr>
        <w:t>. Convex hull areas and densities in different scales.</w:t>
      </w:r>
      <w:r w:rsidRPr="00D77BCF">
        <w:rPr>
          <w:rFonts w:ascii="Times New Roman" w:hAnsi="Times New Roman" w:cs="Times New Roman"/>
          <w:sz w:val="24"/>
        </w:rPr>
        <w:t xml:space="preserve"> </w:t>
      </w:r>
      <w:r w:rsidR="00D77BCF" w:rsidRPr="00D77BCF">
        <w:rPr>
          <w:rFonts w:ascii="Times New Roman" w:hAnsi="Times New Roman" w:cs="Times New Roman"/>
          <w:sz w:val="24"/>
        </w:rPr>
        <w:t>Error bars indicate standard error of the mean.</w:t>
      </w:r>
    </w:p>
    <w:p w14:paraId="29556FDC" w14:textId="77777777" w:rsidR="00141AB0" w:rsidRPr="00141AB0" w:rsidRDefault="00141AB0" w:rsidP="00141AB0">
      <w:pPr>
        <w:pStyle w:val="a3"/>
        <w:adjustRightInd w:val="0"/>
        <w:snapToGrid w:val="0"/>
        <w:spacing w:before="0" w:beforeAutospacing="0" w:after="0" w:afterAutospacing="0" w:line="360" w:lineRule="auto"/>
        <w:rPr>
          <w:rFonts w:ascii="Times New Roman" w:hAnsi="Times New Roman" w:cs="Times New Roman"/>
          <w:i/>
          <w:iCs/>
        </w:rPr>
      </w:pPr>
    </w:p>
    <w:p w14:paraId="51726816" w14:textId="0E0B5E50" w:rsidR="00141AB0" w:rsidRPr="00D77BCF" w:rsidRDefault="00141AB0" w:rsidP="00141AB0">
      <w:pPr>
        <w:pStyle w:val="a3"/>
        <w:adjustRightInd w:val="0"/>
        <w:snapToGrid w:val="0"/>
        <w:spacing w:before="0" w:beforeAutospacing="0" w:after="0" w:afterAutospacing="0" w:line="360" w:lineRule="auto"/>
        <w:rPr>
          <w:rFonts w:ascii="Times New Roman" w:hAnsi="Times New Roman" w:cs="Times New Roman"/>
          <w:b/>
          <w:bCs/>
        </w:rPr>
      </w:pPr>
      <w:r w:rsidRPr="00D77BCF">
        <w:rPr>
          <w:rFonts w:ascii="Times New Roman" w:hAnsi="Times New Roman" w:cs="Times New Roman"/>
          <w:b/>
          <w:bCs/>
        </w:rPr>
        <w:t>Evaluation of functional probabilistic atlas</w:t>
      </w:r>
    </w:p>
    <w:p w14:paraId="2D0FF64D" w14:textId="516503C4" w:rsidR="00141AB0" w:rsidRPr="00D77BCF" w:rsidRDefault="00141AB0" w:rsidP="00141AB0">
      <w:pPr>
        <w:pStyle w:val="a3"/>
        <w:adjustRightInd w:val="0"/>
        <w:snapToGrid w:val="0"/>
        <w:spacing w:before="0" w:beforeAutospacing="0" w:after="0" w:afterAutospacing="0" w:line="360" w:lineRule="auto"/>
        <w:ind w:firstLineChars="200" w:firstLine="480"/>
        <w:rPr>
          <w:rFonts w:ascii="Times New Roman" w:hAnsi="Times New Roman" w:cs="Times New Roman"/>
        </w:rPr>
      </w:pPr>
      <w:r w:rsidRPr="00D77BCF">
        <w:rPr>
          <w:rFonts w:ascii="Times New Roman" w:hAnsi="Times New Roman" w:cs="Times New Roman"/>
        </w:rPr>
        <w:t xml:space="preserve">We evaluated the reliability of our functional probabilistic atlas by examining four features of the atlas: </w:t>
      </w:r>
      <w:r w:rsidR="00842377" w:rsidRPr="00D77BCF">
        <w:rPr>
          <w:rFonts w:ascii="Times New Roman" w:hAnsi="Times New Roman" w:cs="Times New Roman"/>
        </w:rPr>
        <w:t xml:space="preserve">anatomical correspondence, </w:t>
      </w:r>
      <w:r w:rsidRPr="00D77BCF">
        <w:rPr>
          <w:rFonts w:ascii="Times New Roman" w:hAnsi="Times New Roman" w:cs="Times New Roman"/>
        </w:rPr>
        <w:t xml:space="preserve">inter-rater reliability, sample size effect, similarity between meta-analytic maps and behavioral correlation. </w:t>
      </w:r>
    </w:p>
    <w:p w14:paraId="2B4E5B82" w14:textId="77777777" w:rsidR="00842377" w:rsidRPr="00D77BCF" w:rsidRDefault="00842377" w:rsidP="00141AB0">
      <w:pPr>
        <w:pStyle w:val="a3"/>
        <w:adjustRightInd w:val="0"/>
        <w:snapToGrid w:val="0"/>
        <w:spacing w:before="0" w:beforeAutospacing="0" w:after="0" w:afterAutospacing="0" w:line="360" w:lineRule="auto"/>
        <w:ind w:firstLineChars="200" w:firstLine="480"/>
        <w:rPr>
          <w:rFonts w:ascii="Times New Roman" w:hAnsi="Times New Roman" w:cs="Times New Roman"/>
          <w:i/>
          <w:iCs/>
        </w:rPr>
      </w:pPr>
    </w:p>
    <w:p w14:paraId="3BD09405" w14:textId="77777777" w:rsidR="00842377" w:rsidRPr="00A32118" w:rsidRDefault="00842377" w:rsidP="00842377">
      <w:pPr>
        <w:pStyle w:val="a3"/>
        <w:adjustRightInd w:val="0"/>
        <w:snapToGrid w:val="0"/>
        <w:spacing w:before="0" w:beforeAutospacing="0" w:after="0" w:afterAutospacing="0" w:line="360" w:lineRule="auto"/>
        <w:rPr>
          <w:rFonts w:ascii="Times New Roman" w:hAnsi="Times New Roman" w:cs="Times New Roman"/>
          <w:b/>
          <w:bCs/>
          <w:i/>
          <w:iCs/>
        </w:rPr>
      </w:pPr>
      <w:r w:rsidRPr="00A32118">
        <w:rPr>
          <w:rFonts w:ascii="Times New Roman" w:hAnsi="Times New Roman" w:cs="Times New Roman"/>
          <w:b/>
          <w:bCs/>
          <w:i/>
          <w:iCs/>
        </w:rPr>
        <w:t xml:space="preserve">Anatomical </w:t>
      </w:r>
      <w:r w:rsidRPr="00A32118">
        <w:rPr>
          <w:rFonts w:ascii="Times New Roman" w:hAnsi="Times New Roman" w:cs="Times New Roman" w:hint="eastAsia"/>
          <w:b/>
          <w:bCs/>
          <w:i/>
          <w:iCs/>
        </w:rPr>
        <w:t>correspondence</w:t>
      </w:r>
    </w:p>
    <w:p w14:paraId="4BCB4D65" w14:textId="2217C8B1" w:rsidR="00842377" w:rsidRPr="00D77BCF" w:rsidRDefault="00842377" w:rsidP="00842377">
      <w:pPr>
        <w:pStyle w:val="a3"/>
        <w:adjustRightInd w:val="0"/>
        <w:snapToGrid w:val="0"/>
        <w:spacing w:before="0" w:beforeAutospacing="0" w:after="0" w:afterAutospacing="0" w:line="360" w:lineRule="auto"/>
        <w:ind w:firstLineChars="200" w:firstLine="480"/>
        <w:rPr>
          <w:rFonts w:ascii="Times New Roman" w:hAnsi="Times New Roman" w:cs="Times New Roman"/>
        </w:rPr>
      </w:pPr>
      <w:r w:rsidRPr="00D77BCF">
        <w:rPr>
          <w:rFonts w:ascii="Times New Roman" w:hAnsi="Times New Roman" w:cs="Times New Roman"/>
        </w:rPr>
        <w:t xml:space="preserve">The anatomical locations of </w:t>
      </w:r>
      <w:r w:rsidRPr="00D77BCF">
        <w:rPr>
          <w:rFonts w:ascii="Times New Roman" w:hAnsi="Times New Roman" w:cs="Times New Roman" w:hint="eastAsia"/>
        </w:rPr>
        <w:t>the</w:t>
      </w:r>
      <w:r w:rsidRPr="00D77BCF">
        <w:rPr>
          <w:rFonts w:ascii="Times New Roman" w:hAnsi="Times New Roman" w:cs="Times New Roman"/>
        </w:rPr>
        <w:t xml:space="preserve"> </w:t>
      </w:r>
      <w:r w:rsidRPr="00D77BCF">
        <w:rPr>
          <w:rFonts w:ascii="Times New Roman" w:hAnsi="Times New Roman" w:cs="Times New Roman" w:hint="eastAsia"/>
        </w:rPr>
        <w:t>numerosity</w:t>
      </w:r>
      <w:r w:rsidRPr="00D77BCF">
        <w:rPr>
          <w:rFonts w:ascii="Times New Roman" w:hAnsi="Times New Roman" w:cs="Times New Roman"/>
        </w:rPr>
        <w:t xml:space="preserve">-related ROIs were characterized in relation to the macro-anatomical regions derived from the Harvard–Oxford cortical probabilistic atlases </w:t>
      </w:r>
      <w:r w:rsidRPr="00D77BCF">
        <w:rPr>
          <w:rFonts w:ascii="Times New Roman" w:hAnsi="Times New Roman" w:cs="Times New Roman"/>
        </w:rPr>
        <w:fldChar w:fldCharType="begin">
          <w:fldData xml:space="preserve">PEVuZE5vdGU+PENpdGU+PEF1dGhvcj5EZXNpa2FuPC9BdXRob3I+PFllYXI+MjAwNjwvWWVhcj48
UmVjTnVtPjMzPC9SZWNOdW0+PERpc3BsYXlUZXh0PihEZXNpa2FuIGV0IGFsLiAyMDA2KTwvRGlz
cGxheVRleHQ+PHJlY29yZD48cmVjLW51bWJlcj4zMzwvcmVjLW51bWJlcj48Zm9yZWlnbi1rZXlz
PjxrZXkgYXBwPSJFTiIgZGItaWQ9IjBlMHdldDBhOHQ1ZmZuZXJmdjA1c2FwNXg5MmEyZHR6c3ph
ZCIgdGltZXN0YW1wPSIxNjc3MDU1NTEwIj4zMzwva2V5PjwvZm9yZWlnbi1rZXlzPjxyZWYtdHlw
ZSBuYW1lPSJKb3VybmFsIEFydGljbGUiPjE3PC9yZWYtdHlwZT48Y29udHJpYnV0b3JzPjxhdXRo
b3JzPjxhdXRob3I+RGVzaWthbiwgUmFodWwgUy48L2F1dGhvcj48YXV0aG9yPlPDqWdvbm5lLCBG
bG9yZW50PC9hdXRob3I+PGF1dGhvcj5GaXNjaGwsIEJydWNlPC9hdXRob3I+PGF1dGhvcj5RdWlu
biwgQnJpYW4gVC48L2F1dGhvcj48YXV0aG9yPkRpY2tlcnNvbiwgQnJhZGZvcmQgQy48L2F1dGhv
cj48YXV0aG9yPkJsYWNrZXIsIERlYm9yYWg8L2F1dGhvcj48YXV0aG9yPkJ1Y2tuZXIsIFJhbmR5
IEwuPC9hdXRob3I+PGF1dGhvcj5EYWxlLCBBbmRlcnMgTS48L2F1dGhvcj48YXV0aG9yPk1hZ3Vp
cmUsIFIuIFBhdWw8L2F1dGhvcj48YXV0aG9yPkh5bWFuLCBCcmFkbGV5IFQuPC9hdXRob3I+PGF1
dGhvcj5BbGJlcnQsIE1hcmlseW4gUy48L2F1dGhvcj48YXV0aG9yPktpbGxpYW55LCBSb25hbGQg
Si48L2F1dGhvcj48L2F1dGhvcnM+PC9jb250cmlidXRvcnM+PGF1dGgtYWRkcmVzcz5Cb3N0b24g
VW5pdiwgU2NoIE1lZCwgRGVwdCBBbmF0ICZhbXA7IE5ldXJvYmlvbCwgQm9zdG9uLCBNQSAwMjEx
OCBVU0EmI3hEO01hc3NhY2h1c2V0dHMgR2VuIEhvc3AsIERlcHQgUmFkaW9sLCBBdGhpbm91bGEg
JmFtcDsgTWFydGlub3MgQ3RyIEJpb21lZCBJbWFnaW5nLCBEZXB0IFJhZGlvbCwgQ2hhcmxlc3Rv
d24sIE1BIDAyMTE4IFVTQSYjeEQ7TUlULCBDU0FJTCwgQ2FtYnJpZGdlLCBNQSAwMjEzOSBVU0Em
I3hEO01hc3NhY2h1c2V0dHMgR2VuIEhvc3AsIERlcHQgUHN5Y2hpYXQsIENoYXJsZXN0b3duLCBN
QSAwMjEyOSBVU0EmI3hEO0hhcnZhcmQgVW5pdiwgRGVwdCBQc3ljaG9sLCBDYW1icmlkZ2UsIE1B
IDAyMTM4IFVTQSYjeEQ7SG93YXJkIEh1Z2hlcyBNZWQgSW5zdCwgQ29jb251dCBHcm92ZSwgRkwg
MzMxMzMgVVNBJiN4RDtVbml2IENhbGlmIFNhbiBEaWVnbywgU2NoIE1lZCwgRGVwdCBOZXVyb3Nj
aSwgU2FuIERpZWdvLCBDQSA5MjA5MyBVU0EmI3hEO1VuaXYgQ2FsaWYgU2FuIERpZWdvLCBTY2gg
TWVkLCBEZXB0IFJhZGlvbCwgU2FuIERpZWdvLCBDQSA5MjA5MyBVU0EmI3hEO1VuaXYgQ2FsaWYg
U2FuIERpZWdvLCBTY2ggTWVkLCBEZXB0IENvZ25pdCBTY2ksIFNhbiBEaWVnbywgQ0EgOTIwOTMg
VVNBJiN4RDtNYXNzYWNodXNldHRzIEdlbiBIb3NwLCBEZXB0IE5ldXJvbCwgQ2hhcmxlc3Rvd24s
IE1BIDAyMTI5IFVTQSYjeEQ7Sm9obnMgSG9wa2lucyBVbml2LCBTY2ggTWVkLCBEZXB0IE5ldXJv
bCwgQmFsdGltb3JlLCBNRCAyMTI4NyBVU0EmI3hEO1BmaXplciBJbmMsIEdsb2JhbCBSZXMgJmFt
cDsgRGV2LCBHcm90b24sIENUIDA2MzQwIFVTQTwvYXV0aC1hZGRyZXNzPjx0aXRsZXM+PHRpdGxl
PkFuIGF1dG9tYXRlZCBsYWJlbGluZyBzeXN0ZW0gZm9yIHN1YmRpdmlkaW5nIHRoZSBodW1hbiBj
ZXJlYnJhbCBjb3J0ZXggb24gTVJJIHNjYW5zIGludG8gZ3lyYWwgYmFzZWQgcmVnaW9ucyBvZiBp
bnRlcmVzdDwvdGl0bGU+PHNlY29uZGFyeS10aXRsZT5OZXVyb0ltYWdlPC9zZWNvbmRhcnktdGl0
bGU+PGFsdC10aXRsZT5OZXVyb2ltYWdlPC9hbHQtdGl0bGU+PC90aXRsZXM+PHBlcmlvZGljYWw+
PGZ1bGwtdGl0bGU+TmV1cm9pbWFnZTwvZnVsbC10aXRsZT48YWJici0xPk5ldXJvaW1hZ2U8L2Fi
YnItMT48L3BlcmlvZGljYWw+PGFsdC1wZXJpb2RpY2FsPjxmdWxsLXRpdGxlPk5ldXJvaW1hZ2U8
L2Z1bGwtdGl0bGU+PGFiYnItMT5OZXVyb2ltYWdlPC9hYmJyLTE+PC9hbHQtcGVyaW9kaWNhbD48
cGFnZXM+OTY4LTk4MDwvcGFnZXM+PHZvbHVtZT4zMTwvdm9sdW1lPjxudW1iZXI+MzwvbnVtYmVy
PjxzZWN0aW9uPjk2ODwvc2VjdGlvbj48a2V5d29yZHM+PGtleXdvcmQ+bWFnbmV0aWMtcmVzb25h
bmNlIGltYWdlczwva2V5d29yZD48a2V5d29yZD5hbHpoZWltZXJzLWRpc2Vhc2U8L2tleXdvcmQ+
PGtleXdvcmQ+Y29ydGljYWwgc3VyZmFjZTwva2V5d29yZD48a2V5d29yZD5odW1hbiBicmFpbjwv
a2V5d29yZD48a2V5d29yZD5wcmVmcm9udGFsIGNvcnRleDwva2V5d29yZD48a2V5d29yZD5jb29y
ZGluYXRlIHN5c3RlbTwva2V5d29yZD48a2V5d29yZD50ZW1wb3JhbC1sb2JlPC9rZXl3b3JkPjxr
ZXl3b3JkPnZvbHVtZTwva2V5d29yZD48a2V5d29yZD5hdGxhczwva2V5d29yZD48a2V5d29yZD5k
ZW1lbnRpYTwva2V5d29yZD48L2tleXdvcmRzPjxkYXRlcz48eWVhcj4yMDA2PC95ZWFyPjxwdWIt
ZGF0ZXM+PGRhdGU+SnVsIDE8L2RhdGU+PC9wdWItZGF0ZXM+PC9kYXRlcz48aXNibj4xMDUzODEx
OTwvaXNibj48YWNjZXNzaW9uLW51bT5XT1M6MDAwMjM4MzU4NTAwMDAzPC9hY2Nlc3Npb24tbnVt
Pjx1cmxzPjxyZWxhdGVkLXVybHM+PHVybD4mbHQ7R28gdG8gSVNJJmd0OzovL1dPUzowMDAyMzgz
NTg1MDAwMDM8L3VybD48L3JlbGF0ZWQtdXJscz48L3VybHM+PGVsZWN0cm9uaWMtcmVzb3VyY2Ut
bnVtPjEwLjEwMTYvai5uZXVyb2ltYWdlLjIwMDYuMDEuMDIxPC9lbGVjdHJvbmljLXJlc291cmNl
LW51bT48bGFuZ3VhZ2U+RW5nbGlzaDwvbGFuZ3VhZ2U+PC9yZWNvcmQ+PC9DaXRlPjxDaXRlPjxB
dXRob3I+RGVzaWthbjwvQXV0aG9yPjxZZWFyPjIwMDY8L1llYXI+PFJlY051bT4zMzwvUmVjTnVt
PjxyZWNvcmQ+PHJlYy1udW1iZXI+MzM8L3JlYy1udW1iZXI+PGZvcmVpZ24ta2V5cz48a2V5IGFw
cD0iRU4iIGRiLWlkPSIwZTB3ZXQwYTh0NWZmbmVyZnYwNXNhcDV4OTJhMmR0enN6YWQiIHRpbWVz
dGFtcD0iMTY3NzA1NTUxMCI+MzM8L2tleT48L2ZvcmVpZ24ta2V5cz48cmVmLXR5cGUgbmFtZT0i
Sm91cm5hbCBBcnRpY2xlIj4xNzwvcmVmLXR5cGU+PGNvbnRyaWJ1dG9ycz48YXV0aG9ycz48YXV0
aG9yPkRlc2lrYW4sIFJhaHVsIFMuPC9hdXRob3I+PGF1dGhvcj5Tw6lnb25uZSwgRmxvcmVudDwv
YXV0aG9yPjxhdXRob3I+RmlzY2hsLCBCcnVjZTwvYXV0aG9yPjxhdXRob3I+UXVpbm4sIEJyaWFu
IFQuPC9hdXRob3I+PGF1dGhvcj5EaWNrZXJzb24sIEJyYWRmb3JkIEMuPC9hdXRob3I+PGF1dGhv
cj5CbGFja2VyLCBEZWJvcmFoPC9hdXRob3I+PGF1dGhvcj5CdWNrbmVyLCBSYW5keSBMLjwvYXV0
aG9yPjxhdXRob3I+RGFsZSwgQW5kZXJzIE0uPC9hdXRob3I+PGF1dGhvcj5NYWd1aXJlLCBSLiBQ
YXVsPC9hdXRob3I+PGF1dGhvcj5IeW1hbiwgQnJhZGxleSBULjwvYXV0aG9yPjxhdXRob3I+QWxi
ZXJ0LCBNYXJpbHluIFMuPC9hdXRob3I+PGF1dGhvcj5LaWxsaWFueSwgUm9uYWxkIEouPC9hdXRo
b3I+PC9hdXRob3JzPjwvY29udHJpYnV0b3JzPjxhdXRoLWFkZHJlc3M+Qm9zdG9uIFVuaXYsIFNj
aCBNZWQsIERlcHQgQW5hdCAmYW1wOyBOZXVyb2Jpb2wsIEJvc3RvbiwgTUEgMDIxMTggVVNBJiN4
RDtNYXNzYWNodXNldHRzIEdlbiBIb3NwLCBEZXB0IFJhZGlvbCwgQXRoaW5vdWxhICZhbXA7IE1h
cnRpbm9zIEN0ciBCaW9tZWQgSW1hZ2luZywgRGVwdCBSYWRpb2wsIENoYXJsZXN0b3duLCBNQSAw
MjExOCBVU0EmI3hEO01JVCwgQ1NBSUwsIENhbWJyaWRnZSwgTUEgMDIxMzkgVVNBJiN4RDtNYXNz
YWNodXNldHRzIEdlbiBIb3NwLCBEZXB0IFBzeWNoaWF0LCBDaGFybGVzdG93biwgTUEgMDIxMjkg
VVNBJiN4RDtIYXJ2YXJkIFVuaXYsIERlcHQgUHN5Y2hvbCwgQ2FtYnJpZGdlLCBNQSAwMjEzOCBV
U0EmI3hEO0hvd2FyZCBIdWdoZXMgTWVkIEluc3QsIENvY29udXQgR3JvdmUsIEZMIDMzMTMzIFVT
QSYjeEQ7VW5pdiBDYWxpZiBTYW4gRGllZ28sIFNjaCBNZWQsIERlcHQgTmV1cm9zY2ksIFNhbiBE
aWVnbywgQ0EgOTIwOTMgVVNBJiN4RDtVbml2IENhbGlmIFNhbiBEaWVnbywgU2NoIE1lZCwgRGVw
dCBSYWRpb2wsIFNhbiBEaWVnbywgQ0EgOTIwOTMgVVNBJiN4RDtVbml2IENhbGlmIFNhbiBEaWVn
bywgU2NoIE1lZCwgRGVwdCBDb2duaXQgU2NpLCBTYW4gRGllZ28sIENBIDkyMDkzIFVTQSYjeEQ7
TWFzc2FjaHVzZXR0cyBHZW4gSG9zcCwgRGVwdCBOZXVyb2wsIENoYXJsZXN0b3duLCBNQSAwMjEy
OSBVU0EmI3hEO0pvaG5zIEhvcGtpbnMgVW5pdiwgU2NoIE1lZCwgRGVwdCBOZXVyb2wsIEJhbHRp
bW9yZSwgTUQgMjEyODcgVVNBJiN4RDtQZml6ZXIgSW5jLCBHbG9iYWwgUmVzICZhbXA7IERldiwg
R3JvdG9uLCBDVCAwNjM0MCBVU0E8L2F1dGgtYWRkcmVzcz48dGl0bGVzPjx0aXRsZT5BbiBhdXRv
bWF0ZWQgbGFiZWxpbmcgc3lzdGVtIGZvciBzdWJkaXZpZGluZyB0aGUgaHVtYW4gY2VyZWJyYWwg
Y29ydGV4IG9uIE1SSSBzY2FucyBpbnRvIGd5cmFsIGJhc2VkIHJlZ2lvbnMgb2YgaW50ZXJlc3Q8
L3RpdGxlPjxzZWNvbmRhcnktdGl0bGU+TmV1cm9JbWFnZTwvc2Vjb25kYXJ5LXRpdGxlPjxhbHQt
dGl0bGU+TmV1cm9pbWFnZTwvYWx0LXRpdGxlPjwvdGl0bGVzPjxwZXJpb2RpY2FsPjxmdWxsLXRp
dGxlPk5ldXJvaW1hZ2U8L2Z1bGwtdGl0bGU+PGFiYnItMT5OZXVyb2ltYWdlPC9hYmJyLTE+PC9w
ZXJpb2RpY2FsPjxhbHQtcGVyaW9kaWNhbD48ZnVsbC10aXRsZT5OZXVyb2ltYWdlPC9mdWxsLXRp
dGxlPjxhYmJyLTE+TmV1cm9pbWFnZTwvYWJici0xPjwvYWx0LXBlcmlvZGljYWw+PHBhZ2VzPjk2
OC05ODA8L3BhZ2VzPjx2b2x1bWU+MzE8L3ZvbHVtZT48bnVtYmVyPjM8L251bWJlcj48c2VjdGlv
bj45Njg8L3NlY3Rpb24+PGtleXdvcmRzPjxrZXl3b3JkPm1hZ25ldGljLXJlc29uYW5jZSBpbWFn
ZXM8L2tleXdvcmQ+PGtleXdvcmQ+YWx6aGVpbWVycy1kaXNlYXNlPC9rZXl3b3JkPjxrZXl3b3Jk
PmNvcnRpY2FsIHN1cmZhY2U8L2tleXdvcmQ+PGtleXdvcmQ+aHVtYW4gYnJhaW48L2tleXdvcmQ+
PGtleXdvcmQ+cHJlZnJvbnRhbCBjb3J0ZXg8L2tleXdvcmQ+PGtleXdvcmQ+Y29vcmRpbmF0ZSBz
eXN0ZW08L2tleXdvcmQ+PGtleXdvcmQ+dGVtcG9yYWwtbG9iZTwva2V5d29yZD48a2V5d29yZD52
b2x1bWU8L2tleXdvcmQ+PGtleXdvcmQ+YXRsYXM8L2tleXdvcmQ+PGtleXdvcmQ+ZGVtZW50aWE8
L2tleXdvcmQ+PC9rZXl3b3Jkcz48ZGF0ZXM+PHllYXI+MjAwNjwveWVhcj48cHViLWRhdGVzPjxk
YXRlPkp1bCAxPC9kYXRlPjwvcHViLWRhdGVzPjwvZGF0ZXM+PGlzYm4+MTA1MzgxMTk8L2lzYm4+
PGFjY2Vzc2lvbi1udW0+V09TOjAwMDIzODM1ODUwMDAwMzwvYWNjZXNzaW9uLW51bT48dXJscz48
cmVsYXRlZC11cmxzPjx1cmw+Jmx0O0dvIHRvIElTSSZndDs6Ly9XT1M6MDAwMjM4MzU4NTAwMDAz
PC91cmw+PC9yZWxhdGVkLXVybHM+PC91cmxzPjxlbGVjdHJvbmljLXJlc291cmNlLW51bT4xMC4x
MDE2L2oubmV1cm9pbWFnZS4yMDA2LjAxLjAyMTwvZWxlY3Ryb25pYy1yZXNvdXJjZS1udW0+PGxh
bmd1YWdlPkVuZ2xpc2g8L2xhbmd1YWdlPjwvcmVjb3JkPjwvQ2l0ZT48L0VuZE5vdGU+AG==
</w:fldData>
        </w:fldChar>
      </w:r>
      <w:r w:rsidRPr="00D77BCF">
        <w:rPr>
          <w:rFonts w:ascii="Times New Roman" w:hAnsi="Times New Roman" w:cs="Times New Roman"/>
        </w:rPr>
        <w:instrText xml:space="preserve"> ADDIN EN.CITE </w:instrText>
      </w:r>
      <w:r w:rsidRPr="00D77BCF">
        <w:rPr>
          <w:rFonts w:ascii="Times New Roman" w:hAnsi="Times New Roman" w:cs="Times New Roman"/>
        </w:rPr>
        <w:fldChar w:fldCharType="begin">
          <w:fldData xml:space="preserve">PEVuZE5vdGU+PENpdGU+PEF1dGhvcj5EZXNpa2FuPC9BdXRob3I+PFllYXI+MjAwNjwvWWVhcj48
UmVjTnVtPjMzPC9SZWNOdW0+PERpc3BsYXlUZXh0PihEZXNpa2FuIGV0IGFsLiAyMDA2KTwvRGlz
cGxheVRleHQ+PHJlY29yZD48cmVjLW51bWJlcj4zMzwvcmVjLW51bWJlcj48Zm9yZWlnbi1rZXlz
PjxrZXkgYXBwPSJFTiIgZGItaWQ9IjBlMHdldDBhOHQ1ZmZuZXJmdjA1c2FwNXg5MmEyZHR6c3ph
ZCIgdGltZXN0YW1wPSIxNjc3MDU1NTEwIj4zMzwva2V5PjwvZm9yZWlnbi1rZXlzPjxyZWYtdHlw
ZSBuYW1lPSJKb3VybmFsIEFydGljbGUiPjE3PC9yZWYtdHlwZT48Y29udHJpYnV0b3JzPjxhdXRo
b3JzPjxhdXRob3I+RGVzaWthbiwgUmFodWwgUy48L2F1dGhvcj48YXV0aG9yPlPDqWdvbm5lLCBG
bG9yZW50PC9hdXRob3I+PGF1dGhvcj5GaXNjaGwsIEJydWNlPC9hdXRob3I+PGF1dGhvcj5RdWlu
biwgQnJpYW4gVC48L2F1dGhvcj48YXV0aG9yPkRpY2tlcnNvbiwgQnJhZGZvcmQgQy48L2F1dGhv
cj48YXV0aG9yPkJsYWNrZXIsIERlYm9yYWg8L2F1dGhvcj48YXV0aG9yPkJ1Y2tuZXIsIFJhbmR5
IEwuPC9hdXRob3I+PGF1dGhvcj5EYWxlLCBBbmRlcnMgTS48L2F1dGhvcj48YXV0aG9yPk1hZ3Vp
cmUsIFIuIFBhdWw8L2F1dGhvcj48YXV0aG9yPkh5bWFuLCBCcmFkbGV5IFQuPC9hdXRob3I+PGF1
dGhvcj5BbGJlcnQsIE1hcmlseW4gUy48L2F1dGhvcj48YXV0aG9yPktpbGxpYW55LCBSb25hbGQg
Si48L2F1dGhvcj48L2F1dGhvcnM+PC9jb250cmlidXRvcnM+PGF1dGgtYWRkcmVzcz5Cb3N0b24g
VW5pdiwgU2NoIE1lZCwgRGVwdCBBbmF0ICZhbXA7IE5ldXJvYmlvbCwgQm9zdG9uLCBNQSAwMjEx
OCBVU0EmI3hEO01hc3NhY2h1c2V0dHMgR2VuIEhvc3AsIERlcHQgUmFkaW9sLCBBdGhpbm91bGEg
JmFtcDsgTWFydGlub3MgQ3RyIEJpb21lZCBJbWFnaW5nLCBEZXB0IFJhZGlvbCwgQ2hhcmxlc3Rv
d24sIE1BIDAyMTE4IFVTQSYjeEQ7TUlULCBDU0FJTCwgQ2FtYnJpZGdlLCBNQSAwMjEzOSBVU0Em
I3hEO01hc3NhY2h1c2V0dHMgR2VuIEhvc3AsIERlcHQgUHN5Y2hpYXQsIENoYXJsZXN0b3duLCBN
QSAwMjEyOSBVU0EmI3hEO0hhcnZhcmQgVW5pdiwgRGVwdCBQc3ljaG9sLCBDYW1icmlkZ2UsIE1B
IDAyMTM4IFVTQSYjeEQ7SG93YXJkIEh1Z2hlcyBNZWQgSW5zdCwgQ29jb251dCBHcm92ZSwgRkwg
MzMxMzMgVVNBJiN4RDtVbml2IENhbGlmIFNhbiBEaWVnbywgU2NoIE1lZCwgRGVwdCBOZXVyb3Nj
aSwgU2FuIERpZWdvLCBDQSA5MjA5MyBVU0EmI3hEO1VuaXYgQ2FsaWYgU2FuIERpZWdvLCBTY2gg
TWVkLCBEZXB0IFJhZGlvbCwgU2FuIERpZWdvLCBDQSA5MjA5MyBVU0EmI3hEO1VuaXYgQ2FsaWYg
U2FuIERpZWdvLCBTY2ggTWVkLCBEZXB0IENvZ25pdCBTY2ksIFNhbiBEaWVnbywgQ0EgOTIwOTMg
VVNBJiN4RDtNYXNzYWNodXNldHRzIEdlbiBIb3NwLCBEZXB0IE5ldXJvbCwgQ2hhcmxlc3Rvd24s
IE1BIDAyMTI5IFVTQSYjeEQ7Sm9obnMgSG9wa2lucyBVbml2LCBTY2ggTWVkLCBEZXB0IE5ldXJv
bCwgQmFsdGltb3JlLCBNRCAyMTI4NyBVU0EmI3hEO1BmaXplciBJbmMsIEdsb2JhbCBSZXMgJmFt
cDsgRGV2LCBHcm90b24sIENUIDA2MzQwIFVTQTwvYXV0aC1hZGRyZXNzPjx0aXRsZXM+PHRpdGxl
PkFuIGF1dG9tYXRlZCBsYWJlbGluZyBzeXN0ZW0gZm9yIHN1YmRpdmlkaW5nIHRoZSBodW1hbiBj
ZXJlYnJhbCBjb3J0ZXggb24gTVJJIHNjYW5zIGludG8gZ3lyYWwgYmFzZWQgcmVnaW9ucyBvZiBp
bnRlcmVzdDwvdGl0bGU+PHNlY29uZGFyeS10aXRsZT5OZXVyb0ltYWdlPC9zZWNvbmRhcnktdGl0
bGU+PGFsdC10aXRsZT5OZXVyb2ltYWdlPC9hbHQtdGl0bGU+PC90aXRsZXM+PHBlcmlvZGljYWw+
PGZ1bGwtdGl0bGU+TmV1cm9pbWFnZTwvZnVsbC10aXRsZT48YWJici0xPk5ldXJvaW1hZ2U8L2Fi
YnItMT48L3BlcmlvZGljYWw+PGFsdC1wZXJpb2RpY2FsPjxmdWxsLXRpdGxlPk5ldXJvaW1hZ2U8
L2Z1bGwtdGl0bGU+PGFiYnItMT5OZXVyb2ltYWdlPC9hYmJyLTE+PC9hbHQtcGVyaW9kaWNhbD48
cGFnZXM+OTY4LTk4MDwvcGFnZXM+PHZvbHVtZT4zMTwvdm9sdW1lPjxudW1iZXI+MzwvbnVtYmVy
PjxzZWN0aW9uPjk2ODwvc2VjdGlvbj48a2V5d29yZHM+PGtleXdvcmQ+bWFnbmV0aWMtcmVzb25h
bmNlIGltYWdlczwva2V5d29yZD48a2V5d29yZD5hbHpoZWltZXJzLWRpc2Vhc2U8L2tleXdvcmQ+
PGtleXdvcmQ+Y29ydGljYWwgc3VyZmFjZTwva2V5d29yZD48a2V5d29yZD5odW1hbiBicmFpbjwv
a2V5d29yZD48a2V5d29yZD5wcmVmcm9udGFsIGNvcnRleDwva2V5d29yZD48a2V5d29yZD5jb29y
ZGluYXRlIHN5c3RlbTwva2V5d29yZD48a2V5d29yZD50ZW1wb3JhbC1sb2JlPC9rZXl3b3JkPjxr
ZXl3b3JkPnZvbHVtZTwva2V5d29yZD48a2V5d29yZD5hdGxhczwva2V5d29yZD48a2V5d29yZD5k
ZW1lbnRpYTwva2V5d29yZD48L2tleXdvcmRzPjxkYXRlcz48eWVhcj4yMDA2PC95ZWFyPjxwdWIt
ZGF0ZXM+PGRhdGU+SnVsIDE8L2RhdGU+PC9wdWItZGF0ZXM+PC9kYXRlcz48aXNibj4xMDUzODEx
OTwvaXNibj48YWNjZXNzaW9uLW51bT5XT1M6MDAwMjM4MzU4NTAwMDAzPC9hY2Nlc3Npb24tbnVt
Pjx1cmxzPjxyZWxhdGVkLXVybHM+PHVybD4mbHQ7R28gdG8gSVNJJmd0OzovL1dPUzowMDAyMzgz
NTg1MDAwMDM8L3VybD48L3JlbGF0ZWQtdXJscz48L3VybHM+PGVsZWN0cm9uaWMtcmVzb3VyY2Ut
bnVtPjEwLjEwMTYvai5uZXVyb2ltYWdlLjIwMDYuMDEuMDIxPC9lbGVjdHJvbmljLXJlc291cmNl
LW51bT48bGFuZ3VhZ2U+RW5nbGlzaDwvbGFuZ3VhZ2U+PC9yZWNvcmQ+PC9DaXRlPjxDaXRlPjxB
dXRob3I+RGVzaWthbjwvQXV0aG9yPjxZZWFyPjIwMDY8L1llYXI+PFJlY051bT4zMzwvUmVjTnVt
PjxyZWNvcmQ+PHJlYy1udW1iZXI+MzM8L3JlYy1udW1iZXI+PGZvcmVpZ24ta2V5cz48a2V5IGFw
cD0iRU4iIGRiLWlkPSIwZTB3ZXQwYTh0NWZmbmVyZnYwNXNhcDV4OTJhMmR0enN6YWQiIHRpbWVz
dGFtcD0iMTY3NzA1NTUxMCI+MzM8L2tleT48L2ZvcmVpZ24ta2V5cz48cmVmLXR5cGUgbmFtZT0i
Sm91cm5hbCBBcnRpY2xlIj4xNzwvcmVmLXR5cGU+PGNvbnRyaWJ1dG9ycz48YXV0aG9ycz48YXV0
aG9yPkRlc2lrYW4sIFJhaHVsIFMuPC9hdXRob3I+PGF1dGhvcj5Tw6lnb25uZSwgRmxvcmVudDwv
YXV0aG9yPjxhdXRob3I+RmlzY2hsLCBCcnVjZTwvYXV0aG9yPjxhdXRob3I+UXVpbm4sIEJyaWFu
IFQuPC9hdXRob3I+PGF1dGhvcj5EaWNrZXJzb24sIEJyYWRmb3JkIEMuPC9hdXRob3I+PGF1dGhv
cj5CbGFja2VyLCBEZWJvcmFoPC9hdXRob3I+PGF1dGhvcj5CdWNrbmVyLCBSYW5keSBMLjwvYXV0
aG9yPjxhdXRob3I+RGFsZSwgQW5kZXJzIE0uPC9hdXRob3I+PGF1dGhvcj5NYWd1aXJlLCBSLiBQ
YXVsPC9hdXRob3I+PGF1dGhvcj5IeW1hbiwgQnJhZGxleSBULjwvYXV0aG9yPjxhdXRob3I+QWxi
ZXJ0LCBNYXJpbHluIFMuPC9hdXRob3I+PGF1dGhvcj5LaWxsaWFueSwgUm9uYWxkIEouPC9hdXRo
b3I+PC9hdXRob3JzPjwvY29udHJpYnV0b3JzPjxhdXRoLWFkZHJlc3M+Qm9zdG9uIFVuaXYsIFNj
aCBNZWQsIERlcHQgQW5hdCAmYW1wOyBOZXVyb2Jpb2wsIEJvc3RvbiwgTUEgMDIxMTggVVNBJiN4
RDtNYXNzYWNodXNldHRzIEdlbiBIb3NwLCBEZXB0IFJhZGlvbCwgQXRoaW5vdWxhICZhbXA7IE1h
cnRpbm9zIEN0ciBCaW9tZWQgSW1hZ2luZywgRGVwdCBSYWRpb2wsIENoYXJsZXN0b3duLCBNQSAw
MjExOCBVU0EmI3hEO01JVCwgQ1NBSUwsIENhbWJyaWRnZSwgTUEgMDIxMzkgVVNBJiN4RDtNYXNz
YWNodXNldHRzIEdlbiBIb3NwLCBEZXB0IFBzeWNoaWF0LCBDaGFybGVzdG93biwgTUEgMDIxMjkg
VVNBJiN4RDtIYXJ2YXJkIFVuaXYsIERlcHQgUHN5Y2hvbCwgQ2FtYnJpZGdlLCBNQSAwMjEzOCBV
U0EmI3hEO0hvd2FyZCBIdWdoZXMgTWVkIEluc3QsIENvY29udXQgR3JvdmUsIEZMIDMzMTMzIFVT
QSYjeEQ7VW5pdiBDYWxpZiBTYW4gRGllZ28sIFNjaCBNZWQsIERlcHQgTmV1cm9zY2ksIFNhbiBE
aWVnbywgQ0EgOTIwOTMgVVNBJiN4RDtVbml2IENhbGlmIFNhbiBEaWVnbywgU2NoIE1lZCwgRGVw
dCBSYWRpb2wsIFNhbiBEaWVnbywgQ0EgOTIwOTMgVVNBJiN4RDtVbml2IENhbGlmIFNhbiBEaWVn
bywgU2NoIE1lZCwgRGVwdCBDb2duaXQgU2NpLCBTYW4gRGllZ28sIENBIDkyMDkzIFVTQSYjeEQ7
TWFzc2FjaHVzZXR0cyBHZW4gSG9zcCwgRGVwdCBOZXVyb2wsIENoYXJsZXN0b3duLCBNQSAwMjEy
OSBVU0EmI3hEO0pvaG5zIEhvcGtpbnMgVW5pdiwgU2NoIE1lZCwgRGVwdCBOZXVyb2wsIEJhbHRp
bW9yZSwgTUQgMjEyODcgVVNBJiN4RDtQZml6ZXIgSW5jLCBHbG9iYWwgUmVzICZhbXA7IERldiwg
R3JvdG9uLCBDVCAwNjM0MCBVU0E8L2F1dGgtYWRkcmVzcz48dGl0bGVzPjx0aXRsZT5BbiBhdXRv
bWF0ZWQgbGFiZWxpbmcgc3lzdGVtIGZvciBzdWJkaXZpZGluZyB0aGUgaHVtYW4gY2VyZWJyYWwg
Y29ydGV4IG9uIE1SSSBzY2FucyBpbnRvIGd5cmFsIGJhc2VkIHJlZ2lvbnMgb2YgaW50ZXJlc3Q8
L3RpdGxlPjxzZWNvbmRhcnktdGl0bGU+TmV1cm9JbWFnZTwvc2Vjb25kYXJ5LXRpdGxlPjxhbHQt
dGl0bGU+TmV1cm9pbWFnZTwvYWx0LXRpdGxlPjwvdGl0bGVzPjxwZXJpb2RpY2FsPjxmdWxsLXRp
dGxlPk5ldXJvaW1hZ2U8L2Z1bGwtdGl0bGU+PGFiYnItMT5OZXVyb2ltYWdlPC9hYmJyLTE+PC9w
ZXJpb2RpY2FsPjxhbHQtcGVyaW9kaWNhbD48ZnVsbC10aXRsZT5OZXVyb2ltYWdlPC9mdWxsLXRp
dGxlPjxhYmJyLTE+TmV1cm9pbWFnZTwvYWJici0xPjwvYWx0LXBlcmlvZGljYWw+PHBhZ2VzPjk2
OC05ODA8L3BhZ2VzPjx2b2x1bWU+MzE8L3ZvbHVtZT48bnVtYmVyPjM8L251bWJlcj48c2VjdGlv
bj45Njg8L3NlY3Rpb24+PGtleXdvcmRzPjxrZXl3b3JkPm1hZ25ldGljLXJlc29uYW5jZSBpbWFn
ZXM8L2tleXdvcmQ+PGtleXdvcmQ+YWx6aGVpbWVycy1kaXNlYXNlPC9rZXl3b3JkPjxrZXl3b3Jk
PmNvcnRpY2FsIHN1cmZhY2U8L2tleXdvcmQ+PGtleXdvcmQ+aHVtYW4gYnJhaW48L2tleXdvcmQ+
PGtleXdvcmQ+cHJlZnJvbnRhbCBjb3J0ZXg8L2tleXdvcmQ+PGtleXdvcmQ+Y29vcmRpbmF0ZSBz
eXN0ZW08L2tleXdvcmQ+PGtleXdvcmQ+dGVtcG9yYWwtbG9iZTwva2V5d29yZD48a2V5d29yZD52
b2x1bWU8L2tleXdvcmQ+PGtleXdvcmQ+YXRsYXM8L2tleXdvcmQ+PGtleXdvcmQ+ZGVtZW50aWE8
L2tleXdvcmQ+PC9rZXl3b3Jkcz48ZGF0ZXM+PHllYXI+MjAwNjwveWVhcj48cHViLWRhdGVzPjxk
YXRlPkp1bCAxPC9kYXRlPjwvcHViLWRhdGVzPjwvZGF0ZXM+PGlzYm4+MTA1MzgxMTk8L2lzYm4+
PGFjY2Vzc2lvbi1udW0+V09TOjAwMDIzODM1ODUwMDAwMzwvYWNjZXNzaW9uLW51bT48dXJscz48
cmVsYXRlZC11cmxzPjx1cmw+Jmx0O0dvIHRvIElTSSZndDs6Ly9XT1M6MDAwMjM4MzU4NTAwMDAz
PC91cmw+PC9yZWxhdGVkLXVybHM+PC91cmxzPjxlbGVjdHJvbmljLXJlc291cmNlLW51bT4xMC4x
MDE2L2oubmV1cm9pbWFnZS4yMDA2LjAxLjAyMTwvZWxlY3Ryb25pYy1yZXNvdXJjZS1udW0+PGxh
bmd1YWdlPkVuZ2xpc2g8L2xhbmd1YWdlPjwvcmVjb3JkPjwvQ2l0ZT48L0VuZE5vdGU+AG==
</w:fldData>
        </w:fldChar>
      </w:r>
      <w:r w:rsidRPr="00D77BCF">
        <w:rPr>
          <w:rFonts w:ascii="Times New Roman" w:hAnsi="Times New Roman" w:cs="Times New Roman"/>
        </w:rPr>
        <w:instrText xml:space="preserve"> ADDIN EN.CITE.DATA </w:instrText>
      </w:r>
      <w:r w:rsidRPr="00D77BCF">
        <w:rPr>
          <w:rFonts w:ascii="Times New Roman" w:hAnsi="Times New Roman" w:cs="Times New Roman"/>
        </w:rPr>
      </w:r>
      <w:r w:rsidRPr="00D77BCF">
        <w:rPr>
          <w:rFonts w:ascii="Times New Roman" w:hAnsi="Times New Roman" w:cs="Times New Roman"/>
        </w:rPr>
        <w:fldChar w:fldCharType="end"/>
      </w:r>
      <w:r w:rsidRPr="00D77BCF">
        <w:rPr>
          <w:rFonts w:ascii="Times New Roman" w:hAnsi="Times New Roman" w:cs="Times New Roman"/>
        </w:rPr>
      </w:r>
      <w:r w:rsidRPr="00D77BCF">
        <w:rPr>
          <w:rFonts w:ascii="Times New Roman" w:hAnsi="Times New Roman" w:cs="Times New Roman"/>
        </w:rPr>
        <w:fldChar w:fldCharType="separate"/>
      </w:r>
      <w:r w:rsidRPr="00D77BCF">
        <w:rPr>
          <w:rFonts w:ascii="Times New Roman" w:hAnsi="Times New Roman" w:cs="Times New Roman"/>
          <w:noProof/>
        </w:rPr>
        <w:t>(Desikan et al. 2006)</w:t>
      </w:r>
      <w:r w:rsidRPr="00D77BCF">
        <w:rPr>
          <w:rFonts w:ascii="Times New Roman" w:hAnsi="Times New Roman" w:cs="Times New Roman"/>
        </w:rPr>
        <w:fldChar w:fldCharType="end"/>
      </w:r>
      <w:r w:rsidRPr="00D77BCF">
        <w:rPr>
          <w:rFonts w:ascii="Times New Roman" w:hAnsi="Times New Roman" w:cs="Times New Roman"/>
        </w:rPr>
        <w:t xml:space="preserve">, with a probability threshold of 0. For each subject, the spatial overlap between each ROI and each anatomical area was calculated as the number of voxels in their intersection divided by the number of voxels of that functional area. Then, this spatial overlap index was averaged across participants to characterize the correspondence between the </w:t>
      </w:r>
      <w:r w:rsidRPr="00D77BCF">
        <w:rPr>
          <w:rFonts w:ascii="Times New Roman" w:hAnsi="Times New Roman" w:cs="Times New Roman" w:hint="eastAsia"/>
        </w:rPr>
        <w:t>numerosity</w:t>
      </w:r>
      <w:r w:rsidRPr="00D77BCF">
        <w:rPr>
          <w:rFonts w:ascii="Times New Roman" w:hAnsi="Times New Roman" w:cs="Times New Roman"/>
        </w:rPr>
        <w:t xml:space="preserve">-related ROIs and anatomical regions. Overlaps whose rates were less than 5% was considered to be unstable and therefore excluded from further analysis. </w:t>
      </w:r>
    </w:p>
    <w:p w14:paraId="487DB647" w14:textId="1C2B6CA8" w:rsidR="00842377" w:rsidRPr="00D77BCF" w:rsidRDefault="00842377" w:rsidP="00842377">
      <w:pPr>
        <w:pStyle w:val="a3"/>
        <w:adjustRightInd w:val="0"/>
        <w:snapToGrid w:val="0"/>
        <w:spacing w:before="0" w:beforeAutospacing="0" w:after="0" w:afterAutospacing="0" w:line="360" w:lineRule="auto"/>
        <w:ind w:firstLineChars="200" w:firstLine="480"/>
        <w:rPr>
          <w:rFonts w:ascii="Times New Roman" w:hAnsi="Times New Roman" w:cs="Times New Roman"/>
        </w:rPr>
      </w:pPr>
      <w:r w:rsidRPr="00D77BCF">
        <w:rPr>
          <w:rFonts w:ascii="Times New Roman" w:hAnsi="Times New Roman" w:cs="Times New Roman"/>
        </w:rPr>
        <w:t xml:space="preserve">The averaged overlap rates of each pair of functional and anatomical regions </w:t>
      </w:r>
      <w:r w:rsidRPr="00D77BCF">
        <w:rPr>
          <w:rFonts w:ascii="Times New Roman" w:hAnsi="Times New Roman" w:cs="Times New Roman" w:hint="eastAsia"/>
        </w:rPr>
        <w:t>were</w:t>
      </w:r>
      <w:r w:rsidRPr="00D77BCF">
        <w:rPr>
          <w:rFonts w:ascii="Times New Roman" w:hAnsi="Times New Roman" w:cs="Times New Roman"/>
        </w:rPr>
        <w:t xml:space="preserve"> shown in a heat map (Fig</w:t>
      </w:r>
      <w:r w:rsidR="00F278A6" w:rsidRPr="00D77BCF">
        <w:rPr>
          <w:rFonts w:ascii="Times New Roman" w:hAnsi="Times New Roman" w:cs="Times New Roman"/>
        </w:rPr>
        <w:t>ure S</w:t>
      </w:r>
      <w:r w:rsidR="00F00A74">
        <w:rPr>
          <w:rFonts w:ascii="Times New Roman" w:hAnsi="Times New Roman" w:cs="Times New Roman"/>
        </w:rPr>
        <w:t>2</w:t>
      </w:r>
      <w:r w:rsidRPr="00D77BCF">
        <w:rPr>
          <w:rFonts w:ascii="Times New Roman" w:hAnsi="Times New Roman" w:cs="Times New Roman"/>
        </w:rPr>
        <w:t>). Our analysis reveal</w:t>
      </w:r>
      <w:r w:rsidRPr="00D77BCF">
        <w:rPr>
          <w:rFonts w:ascii="Times New Roman" w:hAnsi="Times New Roman" w:cs="Times New Roman" w:hint="eastAsia"/>
        </w:rPr>
        <w:t>ed</w:t>
      </w:r>
      <w:r w:rsidRPr="00D77BCF">
        <w:rPr>
          <w:rFonts w:ascii="Times New Roman" w:hAnsi="Times New Roman" w:cs="Times New Roman"/>
        </w:rPr>
        <w:t xml:space="preserve"> that each functional region was overlapped with at least two anatomical regions, indicating that there was no one-to-one correspondence between the functional regions and the Harvard–Oxford anatomical regions. For example, the right ITG overlapped with the middle temporal gyrus (MTG), the temporal inferior gyrus (</w:t>
      </w:r>
      <w:proofErr w:type="spellStart"/>
      <w:r w:rsidRPr="00D77BCF">
        <w:rPr>
          <w:rFonts w:ascii="Times New Roman" w:hAnsi="Times New Roman" w:cs="Times New Roman" w:hint="eastAsia"/>
        </w:rPr>
        <w:t>t</w:t>
      </w:r>
      <w:r w:rsidRPr="00D77BCF">
        <w:rPr>
          <w:rFonts w:ascii="Times New Roman" w:hAnsi="Times New Roman" w:cs="Times New Roman"/>
        </w:rPr>
        <w:t>ITG</w:t>
      </w:r>
      <w:proofErr w:type="spellEnd"/>
      <w:r w:rsidRPr="00D77BCF">
        <w:rPr>
          <w:rFonts w:ascii="Times New Roman" w:hAnsi="Times New Roman" w:cs="Times New Roman"/>
        </w:rPr>
        <w:t>), and the inferior lateral occipital cortex (</w:t>
      </w:r>
      <w:proofErr w:type="spellStart"/>
      <w:r w:rsidRPr="00D77BCF">
        <w:rPr>
          <w:rFonts w:ascii="Times New Roman" w:hAnsi="Times New Roman" w:cs="Times New Roman" w:hint="eastAsia"/>
        </w:rPr>
        <w:t>i</w:t>
      </w:r>
      <w:r w:rsidRPr="00D77BCF">
        <w:rPr>
          <w:rFonts w:ascii="Times New Roman" w:hAnsi="Times New Roman" w:cs="Times New Roman"/>
        </w:rPr>
        <w:t>LOC</w:t>
      </w:r>
      <w:proofErr w:type="spellEnd"/>
      <w:r w:rsidRPr="00D77BCF">
        <w:rPr>
          <w:rFonts w:ascii="Times New Roman" w:hAnsi="Times New Roman" w:cs="Times New Roman"/>
        </w:rPr>
        <w:t>), with overlap rates of 29.6%, 35.0%, and 28.0%, respectively. Similarly, the right PM was overlapped with the superior frontal gyrus (SFG), middle frontal gyrus (MFG), and precentral gyrus (</w:t>
      </w:r>
      <w:proofErr w:type="spellStart"/>
      <w:r w:rsidRPr="00D77BCF">
        <w:rPr>
          <w:rFonts w:ascii="Times New Roman" w:hAnsi="Times New Roman" w:cs="Times New Roman"/>
        </w:rPr>
        <w:t>PreCG</w:t>
      </w:r>
      <w:proofErr w:type="spellEnd"/>
      <w:r w:rsidRPr="00D77BCF">
        <w:rPr>
          <w:rFonts w:ascii="Times New Roman" w:hAnsi="Times New Roman" w:cs="Times New Roman"/>
        </w:rPr>
        <w:t>), with overlap rates of 31.6%, 50.0%, and 16.0%, respectively. These findings highlight the complex and distributed nature of the neural substrates involved in numerosity processing.</w:t>
      </w:r>
    </w:p>
    <w:p w14:paraId="19C69305" w14:textId="77777777" w:rsidR="00842377" w:rsidRPr="00D77BCF" w:rsidRDefault="00842377" w:rsidP="00842377">
      <w:pPr>
        <w:pStyle w:val="a3"/>
        <w:adjustRightInd w:val="0"/>
        <w:snapToGrid w:val="0"/>
        <w:spacing w:before="0" w:beforeAutospacing="0" w:after="0" w:afterAutospacing="0" w:line="360" w:lineRule="auto"/>
        <w:ind w:firstLineChars="200" w:firstLine="480"/>
        <w:rPr>
          <w:rFonts w:ascii="Times New Roman" w:hAnsi="Times New Roman" w:cs="Times New Roman"/>
          <w:i/>
          <w:iCs/>
        </w:rPr>
      </w:pPr>
    </w:p>
    <w:p w14:paraId="7202D665" w14:textId="77777777" w:rsidR="00842377" w:rsidRPr="00D77BCF" w:rsidRDefault="00842377" w:rsidP="00842377">
      <w:pPr>
        <w:pStyle w:val="a3"/>
        <w:adjustRightInd w:val="0"/>
        <w:snapToGrid w:val="0"/>
        <w:spacing w:before="0" w:beforeAutospacing="0" w:after="0" w:afterAutospacing="0" w:line="360" w:lineRule="auto"/>
        <w:jc w:val="center"/>
        <w:rPr>
          <w:rFonts w:ascii="Times New Roman" w:hAnsi="Times New Roman" w:cs="Times New Roman"/>
          <w:i/>
          <w:iCs/>
        </w:rPr>
      </w:pPr>
      <w:r w:rsidRPr="00D77BCF">
        <w:rPr>
          <w:rFonts w:ascii="Times New Roman" w:hAnsi="Times New Roman" w:cs="Times New Roman"/>
          <w:i/>
          <w:iCs/>
          <w:noProof/>
        </w:rPr>
        <w:lastRenderedPageBreak/>
        <w:drawing>
          <wp:inline distT="0" distB="0" distL="0" distR="0" wp14:anchorId="63E2CE98" wp14:editId="0F1C8C57">
            <wp:extent cx="5270500" cy="34201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0500" cy="3420110"/>
                    </a:xfrm>
                    <a:prstGeom prst="rect">
                      <a:avLst/>
                    </a:prstGeom>
                  </pic:spPr>
                </pic:pic>
              </a:graphicData>
            </a:graphic>
          </wp:inline>
        </w:drawing>
      </w:r>
    </w:p>
    <w:p w14:paraId="71E7C7A4" w14:textId="2E174EE1" w:rsidR="00842377" w:rsidRPr="00D77BCF" w:rsidRDefault="00842377" w:rsidP="00842377">
      <w:pPr>
        <w:pStyle w:val="a3"/>
        <w:adjustRightInd w:val="0"/>
        <w:snapToGrid w:val="0"/>
        <w:spacing w:before="0" w:beforeAutospacing="0" w:after="0" w:afterAutospacing="0" w:line="360" w:lineRule="auto"/>
        <w:rPr>
          <w:rFonts w:ascii="Times New Roman" w:hAnsi="Times New Roman" w:cs="Times New Roman"/>
        </w:rPr>
      </w:pPr>
      <w:r w:rsidRPr="00D77BCF">
        <w:rPr>
          <w:rFonts w:ascii="Times New Roman" w:hAnsi="Times New Roman" w:cs="Times New Roman"/>
          <w:b/>
          <w:bCs/>
        </w:rPr>
        <w:t>Figure S</w:t>
      </w:r>
      <w:r w:rsidR="00A32118">
        <w:rPr>
          <w:rFonts w:ascii="Times New Roman" w:hAnsi="Times New Roman" w:cs="Times New Roman"/>
          <w:b/>
          <w:bCs/>
        </w:rPr>
        <w:t>2</w:t>
      </w:r>
      <w:r w:rsidRPr="00D77BCF">
        <w:rPr>
          <w:rFonts w:ascii="Times New Roman" w:hAnsi="Times New Roman" w:cs="Times New Roman"/>
          <w:b/>
          <w:bCs/>
        </w:rPr>
        <w:t xml:space="preserve">. Anatomical correspondence of the functional regions involved in numerosity processing. </w:t>
      </w:r>
      <w:r w:rsidRPr="00D77BCF">
        <w:rPr>
          <w:rFonts w:ascii="Times New Roman" w:hAnsi="Times New Roman" w:cs="Times New Roman"/>
        </w:rPr>
        <w:t xml:space="preserve">The values presented in each cell of the heat map indicate the averaged overlap rate, which was calculated as the number of voxels in their intersection divided the number of voxels of corresponding functional region. Overlap rates below 5% were set to 0. IC, Insula Cortex; SFG, Superior Frontal Gyrus; MFG, Middle Frontal Gyrus; </w:t>
      </w:r>
      <w:proofErr w:type="spellStart"/>
      <w:r w:rsidRPr="00D77BCF">
        <w:rPr>
          <w:rFonts w:ascii="Times New Roman" w:hAnsi="Times New Roman" w:cs="Times New Roman"/>
        </w:rPr>
        <w:t>oIFG</w:t>
      </w:r>
      <w:proofErr w:type="spellEnd"/>
      <w:r w:rsidRPr="00D77BCF">
        <w:rPr>
          <w:rFonts w:ascii="Times New Roman" w:hAnsi="Times New Roman" w:cs="Times New Roman"/>
        </w:rPr>
        <w:t xml:space="preserve">, Inferior Frontal Gyrus, pars </w:t>
      </w:r>
      <w:proofErr w:type="spellStart"/>
      <w:r w:rsidRPr="00D77BCF">
        <w:rPr>
          <w:rFonts w:ascii="Times New Roman" w:hAnsi="Times New Roman" w:cs="Times New Roman"/>
        </w:rPr>
        <w:t>opercularis</w:t>
      </w:r>
      <w:proofErr w:type="spellEnd"/>
      <w:r w:rsidRPr="00D77BCF">
        <w:rPr>
          <w:rFonts w:ascii="Times New Roman" w:hAnsi="Times New Roman" w:cs="Times New Roman"/>
        </w:rPr>
        <w:t xml:space="preserve">; </w:t>
      </w:r>
      <w:proofErr w:type="spellStart"/>
      <w:r w:rsidRPr="00D77BCF">
        <w:rPr>
          <w:rFonts w:ascii="Times New Roman" w:hAnsi="Times New Roman" w:cs="Times New Roman"/>
        </w:rPr>
        <w:t>PreCG</w:t>
      </w:r>
      <w:proofErr w:type="spellEnd"/>
      <w:r w:rsidRPr="00D77BCF">
        <w:rPr>
          <w:rFonts w:ascii="Times New Roman" w:hAnsi="Times New Roman" w:cs="Times New Roman"/>
        </w:rPr>
        <w:t xml:space="preserve">, Precentral Gyrus; </w:t>
      </w:r>
      <w:proofErr w:type="spellStart"/>
      <w:r w:rsidRPr="00D77BCF">
        <w:rPr>
          <w:rFonts w:ascii="Times New Roman" w:hAnsi="Times New Roman" w:cs="Times New Roman"/>
        </w:rPr>
        <w:t>tMTG</w:t>
      </w:r>
      <w:proofErr w:type="spellEnd"/>
      <w:r w:rsidRPr="00D77BCF">
        <w:rPr>
          <w:rFonts w:ascii="Times New Roman" w:hAnsi="Times New Roman" w:cs="Times New Roman"/>
        </w:rPr>
        <w:t xml:space="preserve">, Middle Temporal Gyrus, temporooccipital part; </w:t>
      </w:r>
      <w:proofErr w:type="spellStart"/>
      <w:r w:rsidRPr="00D77BCF">
        <w:rPr>
          <w:rFonts w:ascii="Times New Roman" w:hAnsi="Times New Roman" w:cs="Times New Roman"/>
        </w:rPr>
        <w:t>tITG</w:t>
      </w:r>
      <w:proofErr w:type="spellEnd"/>
      <w:r w:rsidRPr="00D77BCF">
        <w:rPr>
          <w:rFonts w:ascii="Times New Roman" w:hAnsi="Times New Roman" w:cs="Times New Roman"/>
        </w:rPr>
        <w:t xml:space="preserve">, Inferior Temporal Gyrus, temporooccipital part; </w:t>
      </w:r>
      <w:proofErr w:type="spellStart"/>
      <w:r w:rsidRPr="00D77BCF">
        <w:rPr>
          <w:rFonts w:ascii="Times New Roman" w:hAnsi="Times New Roman" w:cs="Times New Roman"/>
        </w:rPr>
        <w:t>PoCG</w:t>
      </w:r>
      <w:proofErr w:type="spellEnd"/>
      <w:r w:rsidRPr="00D77BCF">
        <w:rPr>
          <w:rFonts w:ascii="Times New Roman" w:hAnsi="Times New Roman" w:cs="Times New Roman"/>
        </w:rPr>
        <w:t xml:space="preserve">, Postcentral Gyrus; SPL, Superior Parietal Lobule; </w:t>
      </w:r>
      <w:proofErr w:type="spellStart"/>
      <w:r w:rsidRPr="00D77BCF">
        <w:rPr>
          <w:rFonts w:ascii="Times New Roman" w:hAnsi="Times New Roman" w:cs="Times New Roman"/>
        </w:rPr>
        <w:t>aSMG</w:t>
      </w:r>
      <w:proofErr w:type="spellEnd"/>
      <w:r w:rsidRPr="00D77BCF">
        <w:rPr>
          <w:rFonts w:ascii="Times New Roman" w:hAnsi="Times New Roman" w:cs="Times New Roman"/>
        </w:rPr>
        <w:t xml:space="preserve">, Supramarginal Gyrus, anterior division; </w:t>
      </w:r>
      <w:proofErr w:type="spellStart"/>
      <w:r w:rsidRPr="00D77BCF">
        <w:rPr>
          <w:rFonts w:ascii="Times New Roman" w:hAnsi="Times New Roman" w:cs="Times New Roman"/>
        </w:rPr>
        <w:t>pSMG</w:t>
      </w:r>
      <w:proofErr w:type="spellEnd"/>
      <w:r w:rsidRPr="00D77BCF">
        <w:rPr>
          <w:rFonts w:ascii="Times New Roman" w:hAnsi="Times New Roman" w:cs="Times New Roman"/>
        </w:rPr>
        <w:t xml:space="preserve">, Supramarginal Gyrus, posterior division; AG, Angular Gyrus; </w:t>
      </w:r>
      <w:proofErr w:type="spellStart"/>
      <w:r w:rsidRPr="00D77BCF">
        <w:rPr>
          <w:rFonts w:ascii="Times New Roman" w:hAnsi="Times New Roman" w:cs="Times New Roman"/>
        </w:rPr>
        <w:t>sLOC</w:t>
      </w:r>
      <w:proofErr w:type="spellEnd"/>
      <w:r w:rsidRPr="00D77BCF">
        <w:rPr>
          <w:rFonts w:ascii="Times New Roman" w:hAnsi="Times New Roman" w:cs="Times New Roman"/>
        </w:rPr>
        <w:t xml:space="preserve">, Lateral Occipital Cortex, superior division; </w:t>
      </w:r>
      <w:proofErr w:type="spellStart"/>
      <w:r w:rsidRPr="00D77BCF">
        <w:rPr>
          <w:rFonts w:ascii="Times New Roman" w:hAnsi="Times New Roman" w:cs="Times New Roman"/>
        </w:rPr>
        <w:t>iLOC</w:t>
      </w:r>
      <w:proofErr w:type="spellEnd"/>
      <w:r w:rsidRPr="00D77BCF">
        <w:rPr>
          <w:rFonts w:ascii="Times New Roman" w:hAnsi="Times New Roman" w:cs="Times New Roman"/>
        </w:rPr>
        <w:t xml:space="preserve">, Lateral Occipital Cortex, inferior division; PG, Paracingulate Gyrus; </w:t>
      </w:r>
      <w:proofErr w:type="spellStart"/>
      <w:r w:rsidRPr="00D77BCF">
        <w:rPr>
          <w:rFonts w:ascii="Times New Roman" w:hAnsi="Times New Roman" w:cs="Times New Roman"/>
        </w:rPr>
        <w:t>aCG</w:t>
      </w:r>
      <w:proofErr w:type="spellEnd"/>
      <w:r w:rsidRPr="00D77BCF">
        <w:rPr>
          <w:rFonts w:ascii="Times New Roman" w:hAnsi="Times New Roman" w:cs="Times New Roman"/>
        </w:rPr>
        <w:t xml:space="preserve">, Cingulate Gyrus, anterior division; PC, </w:t>
      </w:r>
      <w:proofErr w:type="spellStart"/>
      <w:r w:rsidRPr="00D77BCF">
        <w:rPr>
          <w:rFonts w:ascii="Times New Roman" w:hAnsi="Times New Roman" w:cs="Times New Roman"/>
        </w:rPr>
        <w:t>Precuneous</w:t>
      </w:r>
      <w:proofErr w:type="spellEnd"/>
      <w:r w:rsidRPr="00D77BCF">
        <w:rPr>
          <w:rFonts w:ascii="Times New Roman" w:hAnsi="Times New Roman" w:cs="Times New Roman"/>
        </w:rPr>
        <w:t xml:space="preserve"> Cortex; </w:t>
      </w:r>
      <w:proofErr w:type="spellStart"/>
      <w:r w:rsidRPr="00D77BCF">
        <w:rPr>
          <w:rFonts w:ascii="Times New Roman" w:hAnsi="Times New Roman" w:cs="Times New Roman"/>
        </w:rPr>
        <w:t>FOrC</w:t>
      </w:r>
      <w:proofErr w:type="spellEnd"/>
      <w:r w:rsidRPr="00D77BCF">
        <w:rPr>
          <w:rFonts w:ascii="Times New Roman" w:hAnsi="Times New Roman" w:cs="Times New Roman"/>
        </w:rPr>
        <w:t xml:space="preserve">, Frontal Orbital Cortex; </w:t>
      </w:r>
      <w:proofErr w:type="spellStart"/>
      <w:r w:rsidRPr="00D77BCF">
        <w:rPr>
          <w:rFonts w:ascii="Times New Roman" w:hAnsi="Times New Roman" w:cs="Times New Roman"/>
        </w:rPr>
        <w:t>FopC</w:t>
      </w:r>
      <w:proofErr w:type="spellEnd"/>
      <w:r w:rsidRPr="00D77BCF">
        <w:rPr>
          <w:rFonts w:ascii="Times New Roman" w:hAnsi="Times New Roman" w:cs="Times New Roman"/>
        </w:rPr>
        <w:t xml:space="preserve">, Frontal Operculum Cortex; OP, Occipital Pole. </w:t>
      </w:r>
    </w:p>
    <w:p w14:paraId="5868A770" w14:textId="77777777" w:rsidR="00141AB0" w:rsidRPr="00D77BCF" w:rsidRDefault="00141AB0" w:rsidP="00141AB0">
      <w:pPr>
        <w:pStyle w:val="a3"/>
        <w:adjustRightInd w:val="0"/>
        <w:snapToGrid w:val="0"/>
        <w:spacing w:before="0" w:beforeAutospacing="0" w:after="0" w:afterAutospacing="0" w:line="360" w:lineRule="auto"/>
        <w:rPr>
          <w:rFonts w:ascii="Times New Roman" w:hAnsi="Times New Roman" w:cs="Times New Roman"/>
          <w:i/>
          <w:iCs/>
        </w:rPr>
      </w:pPr>
    </w:p>
    <w:p w14:paraId="41EC47C2" w14:textId="781953E1" w:rsidR="00141AB0" w:rsidRPr="00F00A74" w:rsidRDefault="00141AB0" w:rsidP="00141AB0">
      <w:pPr>
        <w:pStyle w:val="a3"/>
        <w:adjustRightInd w:val="0"/>
        <w:snapToGrid w:val="0"/>
        <w:spacing w:before="0" w:beforeAutospacing="0" w:after="0" w:afterAutospacing="0" w:line="360" w:lineRule="auto"/>
        <w:rPr>
          <w:rFonts w:ascii="Times New Roman" w:hAnsi="Times New Roman" w:cs="Times New Roman"/>
          <w:b/>
          <w:bCs/>
          <w:i/>
          <w:iCs/>
        </w:rPr>
      </w:pPr>
      <w:r w:rsidRPr="00F00A74">
        <w:rPr>
          <w:rFonts w:ascii="Times New Roman" w:hAnsi="Times New Roman" w:cs="Times New Roman"/>
          <w:b/>
          <w:bCs/>
          <w:i/>
          <w:iCs/>
        </w:rPr>
        <w:t>Inter-rater reliability and sample size effect</w:t>
      </w:r>
    </w:p>
    <w:p w14:paraId="2089AFAD" w14:textId="238A5392" w:rsidR="00141AB0" w:rsidRPr="00D77BCF" w:rsidRDefault="00842377" w:rsidP="00141AB0">
      <w:pPr>
        <w:adjustRightInd w:val="0"/>
        <w:snapToGrid w:val="0"/>
        <w:spacing w:line="360" w:lineRule="auto"/>
        <w:ind w:firstLineChars="200" w:firstLine="480"/>
        <w:rPr>
          <w:rFonts w:ascii="Times New Roman" w:hAnsi="Times New Roman" w:cs="Times New Roman"/>
          <w:sz w:val="24"/>
        </w:rPr>
      </w:pPr>
      <w:r w:rsidRPr="00D77BCF">
        <w:rPr>
          <w:rFonts w:ascii="Times New Roman" w:hAnsi="Times New Roman" w:cs="Times New Roman"/>
          <w:sz w:val="24"/>
        </w:rPr>
        <w:t>T</w:t>
      </w:r>
      <w:r w:rsidR="00141AB0" w:rsidRPr="00D77BCF">
        <w:rPr>
          <w:rFonts w:ascii="Times New Roman" w:hAnsi="Times New Roman" w:cs="Times New Roman"/>
          <w:sz w:val="24"/>
        </w:rPr>
        <w:t>o assess the inter-rater reliability of the ROI delineation procedure, we calculated Dice’s coefficient for each region between two raters. Dice’s coefficient was calculated using the following formula:</w:t>
      </w:r>
    </w:p>
    <w:p w14:paraId="5D253D4A" w14:textId="77777777" w:rsidR="00141AB0" w:rsidRPr="00D77BCF" w:rsidRDefault="00141AB0" w:rsidP="00141AB0">
      <w:pPr>
        <w:adjustRightInd w:val="0"/>
        <w:snapToGrid w:val="0"/>
        <w:spacing w:beforeLines="100" w:before="312" w:afterLines="100" w:after="312" w:line="360" w:lineRule="auto"/>
        <w:ind w:firstLineChars="200" w:firstLine="480"/>
        <w:jc w:val="center"/>
        <w:rPr>
          <w:rFonts w:ascii="Times New Roman" w:hAnsi="Times New Roman" w:cs="Times New Roman"/>
          <w:sz w:val="24"/>
        </w:rPr>
      </w:pPr>
      <w:r w:rsidRPr="00D77BCF">
        <w:rPr>
          <w:rFonts w:ascii="Times New Roman" w:hAnsi="Times New Roman" w:cs="Times New Roman"/>
          <w:sz w:val="24"/>
        </w:rPr>
        <w:lastRenderedPageBreak/>
        <w:t xml:space="preserve">Dice = 2 </w:t>
      </w:r>
      <w:r w:rsidRPr="00D77BCF">
        <w:rPr>
          <w:rFonts w:ascii="Cambria Math" w:hAnsi="Cambria Math" w:cs="Cambria Math"/>
          <w:sz w:val="24"/>
        </w:rPr>
        <w:t>∗</w:t>
      </w:r>
      <w:r w:rsidRPr="00D77BCF">
        <w:rPr>
          <w:rFonts w:ascii="Times New Roman" w:hAnsi="Times New Roman" w:cs="Times New Roman"/>
          <w:sz w:val="24"/>
        </w:rPr>
        <w:t xml:space="preserve"> (VA ∩ VB) ∕ (VA+VB)</w:t>
      </w:r>
    </w:p>
    <w:p w14:paraId="6EBD435C" w14:textId="37AB7D43" w:rsidR="00F278A6" w:rsidRPr="00D77BCF" w:rsidRDefault="00141AB0" w:rsidP="00F278A6">
      <w:pPr>
        <w:adjustRightInd w:val="0"/>
        <w:snapToGrid w:val="0"/>
        <w:spacing w:line="360" w:lineRule="auto"/>
        <w:ind w:firstLineChars="200" w:firstLine="480"/>
        <w:rPr>
          <w:rFonts w:ascii="Times New Roman" w:hAnsi="Times New Roman" w:cs="Times New Roman"/>
          <w:sz w:val="24"/>
        </w:rPr>
      </w:pPr>
      <w:r w:rsidRPr="00D77BCF">
        <w:rPr>
          <w:rFonts w:ascii="Times New Roman" w:hAnsi="Times New Roman" w:cs="Times New Roman"/>
          <w:sz w:val="24"/>
        </w:rPr>
        <w:t xml:space="preserve">where VA ∩ VB represents the number of overlapping voxels between the ROI results of rater A and B, and VA+VB indicates the sum of the number of voxels in these two ROI results. A value close to 1 indicates a marked overlap between two ROI results of the main and assistant raters, and 0 indicates no </w:t>
      </w:r>
      <w:r w:rsidR="00F00A74" w:rsidRPr="00D77BCF">
        <w:rPr>
          <w:rFonts w:ascii="Times New Roman" w:hAnsi="Times New Roman" w:cs="Times New Roman"/>
          <w:sz w:val="24"/>
        </w:rPr>
        <w:t>overlap. The</w:t>
      </w:r>
      <w:r w:rsidR="00F278A6" w:rsidRPr="00D77BCF">
        <w:rPr>
          <w:rFonts w:ascii="Times New Roman" w:hAnsi="Times New Roman" w:cs="Times New Roman"/>
          <w:sz w:val="24"/>
        </w:rPr>
        <w:t xml:space="preserve"> results indicated that the Dice coefficients in all regions were close to or higher than 0.80, particularly in the ITG and ACC, suggesting that all ROIs had good inter-rater reliability and the two raters exhibited consistent performance in delineating these ROIs</w:t>
      </w:r>
      <w:r w:rsidR="00F00A74" w:rsidRPr="00D77BCF">
        <w:rPr>
          <w:rFonts w:ascii="Times New Roman" w:hAnsi="Times New Roman" w:cs="Times New Roman"/>
          <w:sz w:val="24"/>
        </w:rPr>
        <w:t xml:space="preserve"> (Figure S</w:t>
      </w:r>
      <w:r w:rsidR="00F00A74">
        <w:rPr>
          <w:rFonts w:ascii="Times New Roman" w:hAnsi="Times New Roman" w:cs="Times New Roman"/>
          <w:sz w:val="24"/>
        </w:rPr>
        <w:t>3</w:t>
      </w:r>
      <w:r w:rsidR="00F00A74" w:rsidRPr="00D77BCF">
        <w:rPr>
          <w:rFonts w:ascii="Times New Roman" w:hAnsi="Times New Roman" w:cs="Times New Roman"/>
          <w:sz w:val="24"/>
        </w:rPr>
        <w:t>)</w:t>
      </w:r>
      <w:r w:rsidR="00F278A6" w:rsidRPr="00D77BCF">
        <w:rPr>
          <w:rFonts w:ascii="Times New Roman" w:hAnsi="Times New Roman" w:cs="Times New Roman"/>
          <w:sz w:val="24"/>
        </w:rPr>
        <w:t>.</w:t>
      </w:r>
    </w:p>
    <w:p w14:paraId="6DCE0A5E" w14:textId="77777777" w:rsidR="00F278A6" w:rsidRPr="00D77BCF" w:rsidRDefault="00F278A6" w:rsidP="00F278A6">
      <w:pPr>
        <w:pStyle w:val="a3"/>
        <w:adjustRightInd w:val="0"/>
        <w:snapToGrid w:val="0"/>
        <w:spacing w:before="0" w:beforeAutospacing="0" w:after="0" w:afterAutospacing="0" w:line="360" w:lineRule="auto"/>
        <w:ind w:firstLineChars="200" w:firstLine="480"/>
        <w:rPr>
          <w:rFonts w:ascii="Times New Roman" w:hAnsi="Times New Roman" w:cs="Times New Roman"/>
        </w:rPr>
      </w:pPr>
    </w:p>
    <w:p w14:paraId="1470B25C" w14:textId="77777777" w:rsidR="00F278A6" w:rsidRPr="00D77BCF" w:rsidRDefault="00F278A6" w:rsidP="00F278A6">
      <w:pPr>
        <w:pStyle w:val="a3"/>
        <w:adjustRightInd w:val="0"/>
        <w:snapToGrid w:val="0"/>
        <w:spacing w:before="0" w:beforeAutospacing="0" w:after="0" w:afterAutospacing="0" w:line="360" w:lineRule="auto"/>
        <w:jc w:val="center"/>
        <w:rPr>
          <w:rFonts w:ascii="Times New Roman" w:hAnsi="Times New Roman" w:cs="Times New Roman"/>
        </w:rPr>
      </w:pPr>
      <w:r w:rsidRPr="00D77BCF">
        <w:rPr>
          <w:rFonts w:ascii="Times New Roman" w:hAnsi="Times New Roman" w:cs="Times New Roman"/>
          <w:noProof/>
        </w:rPr>
        <w:drawing>
          <wp:inline distT="0" distB="0" distL="0" distR="0" wp14:anchorId="71978627" wp14:editId="5D027F07">
            <wp:extent cx="5270500" cy="27343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0500" cy="2734310"/>
                    </a:xfrm>
                    <a:prstGeom prst="rect">
                      <a:avLst/>
                    </a:prstGeom>
                  </pic:spPr>
                </pic:pic>
              </a:graphicData>
            </a:graphic>
          </wp:inline>
        </w:drawing>
      </w:r>
    </w:p>
    <w:p w14:paraId="427730CA" w14:textId="60A1F32A" w:rsidR="00F278A6" w:rsidRPr="00D77BCF" w:rsidRDefault="00F278A6" w:rsidP="00F278A6">
      <w:pPr>
        <w:pStyle w:val="a3"/>
        <w:adjustRightInd w:val="0"/>
        <w:snapToGrid w:val="0"/>
        <w:spacing w:before="0" w:beforeAutospacing="0" w:after="0" w:afterAutospacing="0" w:line="360" w:lineRule="auto"/>
        <w:rPr>
          <w:rFonts w:ascii="Times New Roman" w:hAnsi="Times New Roman" w:cs="Times New Roman"/>
        </w:rPr>
      </w:pPr>
      <w:r w:rsidRPr="00D77BCF">
        <w:rPr>
          <w:rFonts w:ascii="Times New Roman" w:hAnsi="Times New Roman" w:cs="Times New Roman"/>
          <w:b/>
          <w:bCs/>
        </w:rPr>
        <w:t>Figure S</w:t>
      </w:r>
      <w:r w:rsidR="00F00A74">
        <w:rPr>
          <w:rFonts w:ascii="Times New Roman" w:hAnsi="Times New Roman" w:cs="Times New Roman"/>
          <w:b/>
          <w:bCs/>
        </w:rPr>
        <w:t>3</w:t>
      </w:r>
      <w:r w:rsidRPr="00D77BCF">
        <w:rPr>
          <w:rFonts w:ascii="Times New Roman" w:hAnsi="Times New Roman" w:cs="Times New Roman"/>
          <w:b/>
          <w:bCs/>
        </w:rPr>
        <w:t>.</w:t>
      </w:r>
      <w:r w:rsidRPr="00D77BCF">
        <w:rPr>
          <w:rFonts w:ascii="Times New Roman" w:hAnsi="Times New Roman" w:cs="Times New Roman"/>
        </w:rPr>
        <w:t xml:space="preserve"> </w:t>
      </w:r>
      <w:r w:rsidRPr="00D77BCF">
        <w:rPr>
          <w:rFonts w:ascii="Times New Roman" w:hAnsi="Times New Roman" w:cs="Times New Roman"/>
          <w:b/>
          <w:bCs/>
        </w:rPr>
        <w:t xml:space="preserve">Inter-rater reliability of subject-specific delineation measured by Dice’s coefficient across two raters. </w:t>
      </w:r>
      <w:r w:rsidRPr="00D77BCF">
        <w:rPr>
          <w:rFonts w:ascii="Times New Roman" w:hAnsi="Times New Roman" w:cs="Times New Roman"/>
        </w:rPr>
        <w:t xml:space="preserve">Error bars indicate standard error of the mean. </w:t>
      </w:r>
    </w:p>
    <w:p w14:paraId="40E6BBBE" w14:textId="77777777" w:rsidR="00F278A6" w:rsidRPr="00D77BCF" w:rsidRDefault="00F278A6" w:rsidP="00141AB0">
      <w:pPr>
        <w:adjustRightInd w:val="0"/>
        <w:snapToGrid w:val="0"/>
        <w:spacing w:line="360" w:lineRule="auto"/>
        <w:ind w:firstLineChars="200" w:firstLine="480"/>
        <w:rPr>
          <w:rFonts w:ascii="Times New Roman" w:hAnsi="Times New Roman" w:cs="Times New Roman"/>
          <w:sz w:val="24"/>
        </w:rPr>
      </w:pPr>
    </w:p>
    <w:p w14:paraId="6D0152C7" w14:textId="56131F32" w:rsidR="00F278A6" w:rsidRPr="00D77BCF" w:rsidRDefault="00F278A6" w:rsidP="00F278A6">
      <w:pPr>
        <w:adjustRightInd w:val="0"/>
        <w:snapToGrid w:val="0"/>
        <w:spacing w:line="360" w:lineRule="auto"/>
        <w:ind w:firstLineChars="200" w:firstLine="480"/>
        <w:rPr>
          <w:rFonts w:ascii="Times New Roman" w:hAnsi="Times New Roman" w:cs="Times New Roman"/>
          <w:sz w:val="24"/>
        </w:rPr>
      </w:pPr>
      <w:r w:rsidRPr="00D77BCF">
        <w:rPr>
          <w:rFonts w:ascii="Times New Roman" w:hAnsi="Times New Roman" w:cs="Times New Roman"/>
          <w:sz w:val="24"/>
        </w:rPr>
        <w:t>Then, t</w:t>
      </w:r>
      <w:r w:rsidR="00141AB0" w:rsidRPr="00D77BCF">
        <w:rPr>
          <w:rFonts w:ascii="Times New Roman" w:hAnsi="Times New Roman" w:cs="Times New Roman"/>
          <w:sz w:val="24"/>
        </w:rPr>
        <w:t>o evaluate the sample size effect, we created multiple functional probabilistic atlases using a reduced number of participants, ranging from 1 to 456. Dice’s coefficients were calculated to measure the overlap rates between the functional probabilistic atlas with reduced sample size and the atlas with all participants.</w:t>
      </w:r>
      <w:r w:rsidRPr="00D77BCF">
        <w:rPr>
          <w:rFonts w:ascii="Times New Roman" w:hAnsi="Times New Roman" w:cs="Times New Roman"/>
          <w:sz w:val="24"/>
        </w:rPr>
        <w:t xml:space="preserve"> The results </w:t>
      </w:r>
      <w:r w:rsidR="00F00A74" w:rsidRPr="00D77BCF">
        <w:rPr>
          <w:rFonts w:ascii="Times New Roman" w:hAnsi="Times New Roman" w:cs="Times New Roman"/>
          <w:sz w:val="24"/>
        </w:rPr>
        <w:t>showed</w:t>
      </w:r>
      <w:r w:rsidRPr="00D77BCF">
        <w:rPr>
          <w:rFonts w:ascii="Times New Roman" w:hAnsi="Times New Roman" w:cs="Times New Roman"/>
          <w:sz w:val="24"/>
        </w:rPr>
        <w:t xml:space="preserve"> that Dice’s coefficient was only around 60% when including 50 participants, but increased to nearly 100% when including 400 participants</w:t>
      </w:r>
      <w:r w:rsidR="00F00A74">
        <w:rPr>
          <w:rFonts w:ascii="Times New Roman" w:hAnsi="Times New Roman" w:cs="Times New Roman"/>
          <w:sz w:val="24"/>
        </w:rPr>
        <w:t xml:space="preserve"> </w:t>
      </w:r>
      <w:r w:rsidR="00F00A74" w:rsidRPr="00D77BCF">
        <w:rPr>
          <w:rFonts w:ascii="Times New Roman" w:hAnsi="Times New Roman" w:cs="Times New Roman"/>
          <w:sz w:val="24"/>
        </w:rPr>
        <w:t>(Figure S</w:t>
      </w:r>
      <w:r w:rsidR="00F00A74">
        <w:rPr>
          <w:rFonts w:ascii="Times New Roman" w:hAnsi="Times New Roman" w:cs="Times New Roman"/>
          <w:sz w:val="24"/>
        </w:rPr>
        <w:t>4</w:t>
      </w:r>
      <w:r w:rsidR="00F00A74" w:rsidRPr="00D77BCF">
        <w:rPr>
          <w:rFonts w:ascii="Times New Roman" w:hAnsi="Times New Roman" w:cs="Times New Roman"/>
          <w:sz w:val="24"/>
        </w:rPr>
        <w:t>)</w:t>
      </w:r>
      <w:r w:rsidRPr="00D77BCF">
        <w:rPr>
          <w:rFonts w:ascii="Times New Roman" w:hAnsi="Times New Roman" w:cs="Times New Roman"/>
          <w:sz w:val="24"/>
        </w:rPr>
        <w:t>. These findings indicated that larger sample sizes have a strong effect on the stability of the atlas and suggest</w:t>
      </w:r>
      <w:r w:rsidRPr="00D77BCF">
        <w:rPr>
          <w:rFonts w:ascii="Times New Roman" w:hAnsi="Times New Roman" w:cs="Times New Roman" w:hint="eastAsia"/>
          <w:sz w:val="24"/>
        </w:rPr>
        <w:t>ed</w:t>
      </w:r>
      <w:r w:rsidRPr="00D77BCF">
        <w:rPr>
          <w:rFonts w:ascii="Times New Roman" w:hAnsi="Times New Roman" w:cs="Times New Roman"/>
          <w:sz w:val="24"/>
        </w:rPr>
        <w:t xml:space="preserve"> that previous fMRI studies that relied on small sample sizes may have produced imprecise estimates of numerosity-related activation regions. Therefore, we recommend using larger sample sizes to improve the reliability and </w:t>
      </w:r>
      <w:r w:rsidRPr="00D77BCF">
        <w:rPr>
          <w:rFonts w:ascii="Times New Roman" w:hAnsi="Times New Roman" w:cs="Times New Roman"/>
          <w:sz w:val="24"/>
        </w:rPr>
        <w:lastRenderedPageBreak/>
        <w:t>accuracy of ROI delineation.</w:t>
      </w:r>
    </w:p>
    <w:p w14:paraId="66D19AB2" w14:textId="77777777" w:rsidR="00F278A6" w:rsidRPr="00D77BCF" w:rsidRDefault="00F278A6" w:rsidP="00F278A6">
      <w:pPr>
        <w:pStyle w:val="a3"/>
        <w:adjustRightInd w:val="0"/>
        <w:snapToGrid w:val="0"/>
        <w:spacing w:before="0" w:beforeAutospacing="0" w:after="0" w:afterAutospacing="0" w:line="360" w:lineRule="auto"/>
        <w:jc w:val="center"/>
        <w:rPr>
          <w:rFonts w:ascii="Times New Roman" w:hAnsi="Times New Roman" w:cs="Times New Roman"/>
        </w:rPr>
      </w:pPr>
      <w:r w:rsidRPr="00D77BCF">
        <w:rPr>
          <w:rFonts w:ascii="Times New Roman" w:hAnsi="Times New Roman" w:cs="Times New Roman"/>
          <w:noProof/>
        </w:rPr>
        <w:drawing>
          <wp:inline distT="0" distB="0" distL="0" distR="0" wp14:anchorId="381C2216" wp14:editId="2A54671B">
            <wp:extent cx="4285129" cy="3065673"/>
            <wp:effectExtent l="0" t="0" r="0" b="0"/>
            <wp:docPr id="9" name="图片 4">
              <a:extLst xmlns:a="http://schemas.openxmlformats.org/drawingml/2006/main">
                <a:ext uri="{FF2B5EF4-FFF2-40B4-BE49-F238E27FC236}">
                  <a16:creationId xmlns:a16="http://schemas.microsoft.com/office/drawing/2014/main" id="{5D17048C-2B03-024A-B93A-D69CD0007B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5D17048C-2B03-024A-B93A-D69CD0007B77}"/>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01580" cy="3148984"/>
                    </a:xfrm>
                    <a:prstGeom prst="rect">
                      <a:avLst/>
                    </a:prstGeom>
                  </pic:spPr>
                </pic:pic>
              </a:graphicData>
            </a:graphic>
          </wp:inline>
        </w:drawing>
      </w:r>
    </w:p>
    <w:p w14:paraId="122888FE" w14:textId="06ACDA44" w:rsidR="00F278A6" w:rsidRPr="00D77BCF" w:rsidRDefault="00F278A6" w:rsidP="00F278A6">
      <w:pPr>
        <w:pStyle w:val="a3"/>
        <w:adjustRightInd w:val="0"/>
        <w:snapToGrid w:val="0"/>
        <w:spacing w:before="0" w:beforeAutospacing="0" w:after="0" w:afterAutospacing="0" w:line="360" w:lineRule="auto"/>
        <w:rPr>
          <w:rFonts w:ascii="Times New Roman" w:hAnsi="Times New Roman" w:cs="Times New Roman"/>
        </w:rPr>
      </w:pPr>
      <w:r w:rsidRPr="00D77BCF">
        <w:rPr>
          <w:rFonts w:ascii="Times New Roman" w:hAnsi="Times New Roman" w:cs="Times New Roman"/>
          <w:b/>
          <w:bCs/>
        </w:rPr>
        <w:t>Figure S</w:t>
      </w:r>
      <w:r w:rsidR="00F00A74">
        <w:rPr>
          <w:rFonts w:ascii="Times New Roman" w:hAnsi="Times New Roman" w:cs="Times New Roman"/>
          <w:b/>
          <w:bCs/>
        </w:rPr>
        <w:t>4</w:t>
      </w:r>
      <w:r w:rsidRPr="00D77BCF">
        <w:rPr>
          <w:rFonts w:ascii="Times New Roman" w:hAnsi="Times New Roman" w:cs="Times New Roman"/>
          <w:b/>
          <w:bCs/>
        </w:rPr>
        <w:t>.</w:t>
      </w:r>
      <w:r w:rsidRPr="00D77BCF">
        <w:rPr>
          <w:rFonts w:ascii="Times New Roman" w:hAnsi="Times New Roman" w:cs="Times New Roman"/>
        </w:rPr>
        <w:t xml:space="preserve"> </w:t>
      </w:r>
      <w:r w:rsidRPr="00D77BCF">
        <w:rPr>
          <w:rFonts w:ascii="Times New Roman" w:hAnsi="Times New Roman" w:cs="Times New Roman"/>
          <w:b/>
          <w:bCs/>
        </w:rPr>
        <w:t>Effect of sample size on the reliability of the probabilistic atlas.</w:t>
      </w:r>
      <w:r w:rsidRPr="00D77BCF">
        <w:rPr>
          <w:rFonts w:ascii="Times New Roman" w:hAnsi="Times New Roman" w:cs="Times New Roman"/>
        </w:rPr>
        <w:t xml:space="preserve"> Dice’s coefficient was calculated to measure the overlap between functional probabilistic atlas with all participants (N = 456) and atlas with reduced sample sizes (ranging from 1 to 456). </w:t>
      </w:r>
    </w:p>
    <w:p w14:paraId="027E8BF4" w14:textId="77777777" w:rsidR="00842377" w:rsidRPr="00D77BCF" w:rsidRDefault="00842377" w:rsidP="00141AB0">
      <w:pPr>
        <w:pStyle w:val="a3"/>
        <w:adjustRightInd w:val="0"/>
        <w:snapToGrid w:val="0"/>
        <w:spacing w:before="0" w:beforeAutospacing="0" w:after="0" w:afterAutospacing="0" w:line="360" w:lineRule="auto"/>
        <w:rPr>
          <w:rFonts w:ascii="Times New Roman" w:hAnsi="Times New Roman" w:cs="Times New Roman"/>
          <w:i/>
          <w:iCs/>
        </w:rPr>
      </w:pPr>
    </w:p>
    <w:p w14:paraId="70CF3E46" w14:textId="52EA52FD" w:rsidR="00141AB0" w:rsidRPr="00D77BCF" w:rsidRDefault="00141AB0" w:rsidP="00141AB0">
      <w:pPr>
        <w:pStyle w:val="a3"/>
        <w:adjustRightInd w:val="0"/>
        <w:snapToGrid w:val="0"/>
        <w:spacing w:before="0" w:beforeAutospacing="0" w:after="0" w:afterAutospacing="0" w:line="360" w:lineRule="auto"/>
        <w:rPr>
          <w:rFonts w:ascii="Times New Roman" w:hAnsi="Times New Roman" w:cs="Times New Roman"/>
          <w:i/>
          <w:iCs/>
        </w:rPr>
      </w:pPr>
      <w:r w:rsidRPr="00D77BCF">
        <w:rPr>
          <w:rFonts w:ascii="Times New Roman" w:hAnsi="Times New Roman" w:cs="Times New Roman"/>
          <w:i/>
          <w:iCs/>
        </w:rPr>
        <w:t>Comparing functional probabilistic atlas with the uniformity meta-analytic map</w:t>
      </w:r>
    </w:p>
    <w:p w14:paraId="1CC819D1" w14:textId="1A75993F" w:rsidR="005B5503" w:rsidRPr="00D77BCF" w:rsidRDefault="00141AB0" w:rsidP="00F278A6">
      <w:pPr>
        <w:adjustRightInd w:val="0"/>
        <w:snapToGrid w:val="0"/>
        <w:spacing w:line="360" w:lineRule="auto"/>
        <w:ind w:firstLineChars="200" w:firstLine="480"/>
        <w:rPr>
          <w:rFonts w:ascii="Times New Roman" w:hAnsi="Times New Roman" w:cs="Times New Roman"/>
          <w:sz w:val="24"/>
        </w:rPr>
      </w:pPr>
      <w:r w:rsidRPr="00D77BCF">
        <w:rPr>
          <w:rFonts w:ascii="Times New Roman" w:hAnsi="Times New Roman" w:cs="Times New Roman"/>
          <w:sz w:val="24"/>
        </w:rPr>
        <w:t xml:space="preserve">To evaluate the agreement between our functional probabilistic atlas and previous functional activation maps, we compared the boundaries of regions in our atlas with those of the uniformity meta-analytic reference map generated by topic-based analyses from </w:t>
      </w:r>
      <w:proofErr w:type="spellStart"/>
      <w:r w:rsidRPr="00D77BCF">
        <w:rPr>
          <w:rFonts w:ascii="Times New Roman" w:hAnsi="Times New Roman" w:cs="Times New Roman"/>
          <w:sz w:val="24"/>
        </w:rPr>
        <w:t>Neurosynth</w:t>
      </w:r>
      <w:proofErr w:type="spellEnd"/>
      <w:r w:rsidRPr="00D77BCF">
        <w:rPr>
          <w:rFonts w:ascii="Times New Roman" w:hAnsi="Times New Roman" w:cs="Times New Roman"/>
          <w:sz w:val="24"/>
        </w:rPr>
        <w:t xml:space="preserve"> </w:t>
      </w:r>
      <w:r w:rsidRPr="00D77BCF">
        <w:rPr>
          <w:rFonts w:ascii="Times New Roman" w:hAnsi="Times New Roman" w:cs="Times New Roman"/>
          <w:sz w:val="24"/>
        </w:rPr>
        <w:fldChar w:fldCharType="begin"/>
      </w:r>
      <w:r w:rsidRPr="00D77BCF">
        <w:rPr>
          <w:rFonts w:ascii="Times New Roman" w:hAnsi="Times New Roman" w:cs="Times New Roman"/>
          <w:sz w:val="24"/>
        </w:rPr>
        <w:instrText xml:space="preserve"> ADDIN EN.CITE &lt;EndNote&gt;&lt;Cite&gt;&lt;Author&gt;Yarkoni&lt;/Author&gt;&lt;Year&gt;2011&lt;/Year&gt;&lt;RecNum&gt;34&lt;/RecNum&gt;&lt;DisplayText&gt;(Yarkoni et al. 2011)&lt;/DisplayText&gt;&lt;record&gt;&lt;rec-number&gt;34&lt;/rec-number&gt;&lt;foreign-keys&gt;&lt;key app="EN" db-id="0e0wet0a8t5ffnerfv05sap5x92a2dtzszad" timestamp="1677055527"&gt;34&lt;/key&gt;&lt;/foreign-keys&gt;&lt;ref-type name="Journal Article"&gt;17&lt;/ref-type&gt;&lt;contributors&gt;&lt;authors&gt;&lt;author&gt;Yarkoni, T.&lt;/author&gt;&lt;author&gt;Poldrack, R. A.&lt;/author&gt;&lt;author&gt;Nichols, T. E.&lt;/author&gt;&lt;author&gt;Van Essen, D. C.&lt;/author&gt;&lt;author&gt;Wager, T. D.&lt;/author&gt;&lt;/authors&gt;&lt;/contributors&gt;&lt;auth-address&gt;Department of Psychology and Neuroscience, University of Colorado at Boulder, Boulder, Colorado, USA. tal.yarkoni@colorado.edu&lt;/auth-address&gt;&lt;titles&gt;&lt;title&gt;Large-scale automated synthesis of human functional neuroimaging data&lt;/title&gt;&lt;secondary-title&gt;Nat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Methods&lt;/abbr-1&gt;&lt;/alt-periodical&gt;&lt;pages&gt;665-70&lt;/pages&gt;&lt;volume&gt;8&lt;/volume&gt;&lt;number&gt;8&lt;/number&gt;&lt;edition&gt;2011/06/28&lt;/edition&gt;&lt;keywords&gt;&lt;keyword&gt;Brain/*physiology&lt;/keyword&gt;&lt;keyword&gt;Brain Mapping/*methods&lt;/keyword&gt;&lt;keyword&gt;Data Mining/*methods&lt;/keyword&gt;&lt;keyword&gt;Humans&lt;/keyword&gt;&lt;keyword&gt;Internet&lt;/keyword&gt;&lt;keyword&gt;Magnetic Resonance Imaging/*methods&lt;/keyword&gt;&lt;keyword&gt;*Natural Language Processing&lt;/keyword&gt;&lt;keyword&gt;*Periodicals as Topic&lt;/keyword&gt;&lt;keyword&gt;*Software&lt;/keyword&gt;&lt;/keywords&gt;&lt;dates&gt;&lt;year&gt;2011&lt;/year&gt;&lt;pub-dates&gt;&lt;date&gt;Jun 26&lt;/date&gt;&lt;/pub-dates&gt;&lt;/dates&gt;&lt;isbn&gt;1548-7105 (Electronic)&amp;#xD;1548-7091 (Print)&amp;#xD;1548-7091 (Linking)&lt;/isbn&gt;&lt;accession-num&gt;21706013&lt;/accession-num&gt;&lt;urls&gt;&lt;related-urls&gt;&lt;url&gt;https://www.ncbi.nlm.nih.gov/pubmed/21706013&lt;/url&gt;&lt;/related-urls&gt;&lt;/urls&gt;&lt;custom2&gt;PMC3146590&lt;/custom2&gt;&lt;electronic-resource-num&gt;10.1038/nmeth.1635&lt;/electronic-resource-num&gt;&lt;language&gt;English&lt;/language&gt;&lt;/record&gt;&lt;/Cite&gt;&lt;/EndNote&gt;</w:instrText>
      </w:r>
      <w:r w:rsidRPr="00D77BCF">
        <w:rPr>
          <w:rFonts w:ascii="Times New Roman" w:hAnsi="Times New Roman" w:cs="Times New Roman"/>
          <w:sz w:val="24"/>
        </w:rPr>
        <w:fldChar w:fldCharType="separate"/>
      </w:r>
      <w:r w:rsidRPr="00D77BCF">
        <w:rPr>
          <w:rFonts w:ascii="Times New Roman" w:hAnsi="Times New Roman" w:cs="Times New Roman"/>
          <w:noProof/>
          <w:sz w:val="24"/>
        </w:rPr>
        <w:t>(Yarkoni et al. 2011)</w:t>
      </w:r>
      <w:r w:rsidRPr="00D77BCF">
        <w:rPr>
          <w:rFonts w:ascii="Times New Roman" w:hAnsi="Times New Roman" w:cs="Times New Roman"/>
          <w:sz w:val="24"/>
        </w:rPr>
        <w:fldChar w:fldCharType="end"/>
      </w:r>
      <w:r w:rsidRPr="00D77BCF">
        <w:rPr>
          <w:rFonts w:ascii="Times New Roman" w:hAnsi="Times New Roman" w:cs="Times New Roman"/>
          <w:sz w:val="24"/>
        </w:rPr>
        <w:t xml:space="preserve">. Specifically, we selected the “v5-topic-400” set, which consists of 400 topics extracted with LDA (Latent Dirichlet Allocation) from abstracts of articles in the </w:t>
      </w:r>
      <w:proofErr w:type="spellStart"/>
      <w:r w:rsidRPr="00D77BCF">
        <w:rPr>
          <w:rFonts w:ascii="Times New Roman" w:hAnsi="Times New Roman" w:cs="Times New Roman"/>
          <w:sz w:val="24"/>
        </w:rPr>
        <w:t>Neurosynth</w:t>
      </w:r>
      <w:proofErr w:type="spellEnd"/>
      <w:r w:rsidRPr="00D77BCF">
        <w:rPr>
          <w:rFonts w:ascii="Times New Roman" w:hAnsi="Times New Roman" w:cs="Times New Roman"/>
          <w:sz w:val="24"/>
        </w:rPr>
        <w:t xml:space="preserve"> database as of July 2018, and identified one topic (topic 86) that contains the term “numerosity”. As the uniformity test map offers information on consistently active brain regions across studies, we downloaded this topic's uniformity test map to serve as the meta-analytic reference map for “numerosity”</w:t>
      </w:r>
      <w:r w:rsidR="009F4F76" w:rsidRPr="00D77BCF">
        <w:rPr>
          <w:rFonts w:ascii="Times New Roman" w:hAnsi="Times New Roman" w:cs="Times New Roman"/>
          <w:sz w:val="24"/>
        </w:rPr>
        <w:t xml:space="preserve"> (Figure S</w:t>
      </w:r>
      <w:r w:rsidR="00770E73">
        <w:rPr>
          <w:rFonts w:ascii="Times New Roman" w:hAnsi="Times New Roman" w:cs="Times New Roman"/>
          <w:sz w:val="24"/>
        </w:rPr>
        <w:t>5</w:t>
      </w:r>
      <w:r w:rsidR="009F4F76" w:rsidRPr="00D77BCF">
        <w:rPr>
          <w:rFonts w:ascii="Times New Roman" w:hAnsi="Times New Roman" w:cs="Times New Roman"/>
          <w:sz w:val="24"/>
        </w:rPr>
        <w:t>)</w:t>
      </w:r>
      <w:r w:rsidRPr="00D77BCF">
        <w:rPr>
          <w:rFonts w:ascii="Times New Roman" w:hAnsi="Times New Roman" w:cs="Times New Roman"/>
          <w:sz w:val="24"/>
        </w:rPr>
        <w:t>. The z-score of each voxel was calculated using a chi-square (χ</w:t>
      </w:r>
      <w:r w:rsidRPr="00D77BCF">
        <w:rPr>
          <w:rFonts w:ascii="Times New Roman" w:hAnsi="Times New Roman" w:cs="Times New Roman"/>
          <w:sz w:val="24"/>
          <w:vertAlign w:val="superscript"/>
        </w:rPr>
        <w:t>2</w:t>
      </w:r>
      <w:r w:rsidRPr="00D77BCF">
        <w:rPr>
          <w:rFonts w:ascii="Times New Roman" w:hAnsi="Times New Roman" w:cs="Times New Roman"/>
          <w:sz w:val="24"/>
        </w:rPr>
        <w:t>) test, where the null hypothesis assumes that activation in all the voxels was equally probable. Voxels with higher z-scores were more frequently reported in studies than other voxels.</w:t>
      </w:r>
    </w:p>
    <w:p w14:paraId="4393347A" w14:textId="190EAE07" w:rsidR="005B5503" w:rsidRPr="00D77BCF" w:rsidRDefault="005B5503" w:rsidP="005B5503">
      <w:pPr>
        <w:pStyle w:val="a3"/>
        <w:adjustRightInd w:val="0"/>
        <w:snapToGrid w:val="0"/>
        <w:spacing w:before="0" w:beforeAutospacing="0" w:after="0" w:afterAutospacing="0" w:line="360" w:lineRule="auto"/>
        <w:ind w:firstLineChars="200" w:firstLine="480"/>
        <w:rPr>
          <w:rFonts w:ascii="Times New Roman" w:hAnsi="Times New Roman" w:cs="Times New Roman"/>
        </w:rPr>
      </w:pPr>
      <w:r w:rsidRPr="00D77BCF">
        <w:rPr>
          <w:rFonts w:ascii="Times New Roman" w:hAnsi="Times New Roman" w:cs="Times New Roman"/>
        </w:rPr>
        <w:t xml:space="preserve">We found that all regions acquired by meta-analyses overlapped with our functional probabilistic atlas, indicating its validity. However, it is worth noting that the activation volumes of numerosity-related regions in the map from </w:t>
      </w:r>
      <w:proofErr w:type="spellStart"/>
      <w:r w:rsidRPr="00D77BCF">
        <w:rPr>
          <w:rFonts w:ascii="Times New Roman" w:hAnsi="Times New Roman" w:cs="Times New Roman"/>
        </w:rPr>
        <w:t>Neurosynth</w:t>
      </w:r>
      <w:proofErr w:type="spellEnd"/>
      <w:r w:rsidRPr="00D77BCF">
        <w:rPr>
          <w:rFonts w:ascii="Times New Roman" w:hAnsi="Times New Roman" w:cs="Times New Roman"/>
        </w:rPr>
        <w:t xml:space="preserve"> </w:t>
      </w:r>
      <w:r w:rsidRPr="00D77BCF">
        <w:rPr>
          <w:rFonts w:ascii="Times New Roman" w:hAnsi="Times New Roman" w:cs="Times New Roman"/>
        </w:rPr>
        <w:lastRenderedPageBreak/>
        <w:t>were nearly the same in the left and right hemisphere, whereas our atlas showed significant hemispheric differences, suggesting that our probabilistic atlas may offer a more comprehensive and accurate depiction of the hemispheric specialization in numerosity processing.</w:t>
      </w:r>
    </w:p>
    <w:p w14:paraId="01510617" w14:textId="77777777" w:rsidR="005B5503" w:rsidRPr="00D77BCF" w:rsidRDefault="005B5503" w:rsidP="005B5503">
      <w:pPr>
        <w:pStyle w:val="a3"/>
        <w:adjustRightInd w:val="0"/>
        <w:snapToGrid w:val="0"/>
        <w:spacing w:before="0" w:beforeAutospacing="0" w:after="0" w:afterAutospacing="0" w:line="360" w:lineRule="auto"/>
        <w:ind w:firstLineChars="200" w:firstLine="480"/>
        <w:rPr>
          <w:rFonts w:ascii="Times New Roman" w:hAnsi="Times New Roman" w:cs="Times New Roman"/>
        </w:rPr>
      </w:pPr>
    </w:p>
    <w:p w14:paraId="1C6344B3" w14:textId="77777777" w:rsidR="005B5503" w:rsidRPr="00D77BCF" w:rsidRDefault="005B5503" w:rsidP="005B5503">
      <w:pPr>
        <w:pStyle w:val="a3"/>
        <w:adjustRightInd w:val="0"/>
        <w:snapToGrid w:val="0"/>
        <w:spacing w:before="0" w:beforeAutospacing="0" w:after="0" w:afterAutospacing="0" w:line="360" w:lineRule="auto"/>
        <w:jc w:val="center"/>
        <w:rPr>
          <w:rFonts w:ascii="Times New Roman" w:hAnsi="Times New Roman" w:cs="Times New Roman"/>
          <w:i/>
          <w:iCs/>
        </w:rPr>
      </w:pPr>
      <w:r w:rsidRPr="00D77BCF">
        <w:rPr>
          <w:rFonts w:ascii="Times New Roman" w:hAnsi="Times New Roman" w:cs="Times New Roman"/>
          <w:i/>
          <w:iCs/>
          <w:noProof/>
        </w:rPr>
        <w:drawing>
          <wp:inline distT="0" distB="0" distL="0" distR="0" wp14:anchorId="5FE1923B" wp14:editId="6BB3D665">
            <wp:extent cx="5270500" cy="336994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0500" cy="3369945"/>
                    </a:xfrm>
                    <a:prstGeom prst="rect">
                      <a:avLst/>
                    </a:prstGeom>
                  </pic:spPr>
                </pic:pic>
              </a:graphicData>
            </a:graphic>
          </wp:inline>
        </w:drawing>
      </w:r>
    </w:p>
    <w:p w14:paraId="274F3E2D" w14:textId="7EE9D53B" w:rsidR="005B5503" w:rsidRDefault="005B5503" w:rsidP="005B5503">
      <w:pPr>
        <w:pStyle w:val="a3"/>
        <w:adjustRightInd w:val="0"/>
        <w:snapToGrid w:val="0"/>
        <w:spacing w:before="0" w:beforeAutospacing="0" w:after="0" w:afterAutospacing="0" w:line="360" w:lineRule="auto"/>
        <w:rPr>
          <w:rFonts w:ascii="Times New Roman" w:hAnsi="Times New Roman" w:cs="Times New Roman"/>
        </w:rPr>
      </w:pPr>
      <w:r w:rsidRPr="00D77BCF">
        <w:rPr>
          <w:rFonts w:ascii="Times New Roman" w:hAnsi="Times New Roman" w:cs="Times New Roman"/>
          <w:b/>
          <w:bCs/>
        </w:rPr>
        <w:t xml:space="preserve">Figure </w:t>
      </w:r>
      <w:r w:rsidR="005F2363" w:rsidRPr="00D77BCF">
        <w:rPr>
          <w:rFonts w:ascii="Times New Roman" w:hAnsi="Times New Roman" w:cs="Times New Roman"/>
          <w:b/>
          <w:bCs/>
        </w:rPr>
        <w:t>S</w:t>
      </w:r>
      <w:r w:rsidR="00770E73">
        <w:rPr>
          <w:rFonts w:ascii="Times New Roman" w:hAnsi="Times New Roman" w:cs="Times New Roman"/>
          <w:b/>
          <w:bCs/>
        </w:rPr>
        <w:t>5</w:t>
      </w:r>
      <w:r w:rsidRPr="00D77BCF">
        <w:rPr>
          <w:rFonts w:ascii="Times New Roman" w:hAnsi="Times New Roman" w:cs="Times New Roman"/>
          <w:b/>
          <w:bCs/>
        </w:rPr>
        <w:t>. Comparison of the meta-analytic functional map and functional probabilistic atlas.</w:t>
      </w:r>
      <w:r w:rsidRPr="00D77BCF">
        <w:rPr>
          <w:rFonts w:ascii="Times New Roman" w:hAnsi="Times New Roman" w:cs="Times New Roman"/>
        </w:rPr>
        <w:t xml:space="preserve"> The meta-analytic map was generated using </w:t>
      </w:r>
      <w:proofErr w:type="spellStart"/>
      <w:r w:rsidRPr="00D77BCF">
        <w:rPr>
          <w:rFonts w:ascii="Times New Roman" w:hAnsi="Times New Roman" w:cs="Times New Roman"/>
        </w:rPr>
        <w:t>Neurosynth</w:t>
      </w:r>
      <w:proofErr w:type="spellEnd"/>
      <w:r w:rsidRPr="00D77BCF">
        <w:rPr>
          <w:rFonts w:ascii="Times New Roman" w:hAnsi="Times New Roman" w:cs="Times New Roman"/>
        </w:rPr>
        <w:t>. Values below 1.65 were set to zero.</w:t>
      </w:r>
      <w:r w:rsidRPr="00D77BCF">
        <w:t xml:space="preserve"> </w:t>
      </w:r>
      <w:r w:rsidRPr="00D77BCF">
        <w:rPr>
          <w:rFonts w:ascii="Times New Roman" w:hAnsi="Times New Roman" w:cs="Times New Roman"/>
        </w:rPr>
        <w:t xml:space="preserve">The blue contour shows the boundary of our functional probabilistic atlas to facilitate visual comparison. L, left hemisphere; R, right hemisphere. </w:t>
      </w:r>
    </w:p>
    <w:p w14:paraId="40785837" w14:textId="77777777" w:rsidR="00D77BCF" w:rsidRPr="00D77BCF" w:rsidRDefault="00D77BCF" w:rsidP="005B5503">
      <w:pPr>
        <w:pStyle w:val="a3"/>
        <w:adjustRightInd w:val="0"/>
        <w:snapToGrid w:val="0"/>
        <w:spacing w:before="0" w:beforeAutospacing="0" w:after="0" w:afterAutospacing="0" w:line="360" w:lineRule="auto"/>
        <w:rPr>
          <w:rFonts w:ascii="Times New Roman" w:hAnsi="Times New Roman" w:cs="Times New Roman"/>
        </w:rPr>
      </w:pPr>
    </w:p>
    <w:p w14:paraId="3240D5A6" w14:textId="406217BB" w:rsidR="00842377" w:rsidRPr="00D77BCF" w:rsidRDefault="00D77BCF" w:rsidP="00D77BCF">
      <w:pPr>
        <w:jc w:val="left"/>
        <w:rPr>
          <w:rFonts w:ascii="Times New Roman" w:hAnsi="Times New Roman" w:cs="Times New Roman"/>
          <w:b/>
          <w:bCs/>
          <w:sz w:val="24"/>
        </w:rPr>
      </w:pPr>
      <w:r w:rsidRPr="00D77BCF">
        <w:rPr>
          <w:rFonts w:ascii="Times New Roman" w:hAnsi="Times New Roman" w:cs="Times New Roman" w:hint="eastAsia"/>
          <w:b/>
          <w:bCs/>
          <w:sz w:val="24"/>
        </w:rPr>
        <w:t>R</w:t>
      </w:r>
      <w:r w:rsidRPr="00D77BCF">
        <w:rPr>
          <w:rFonts w:ascii="Times New Roman" w:hAnsi="Times New Roman" w:cs="Times New Roman"/>
          <w:b/>
          <w:bCs/>
          <w:sz w:val="24"/>
        </w:rPr>
        <w:t>eference:</w:t>
      </w:r>
    </w:p>
    <w:p w14:paraId="4BE8DBD5" w14:textId="77777777" w:rsidR="009F4F76" w:rsidRPr="00D77BCF" w:rsidRDefault="00842377" w:rsidP="00D77BCF">
      <w:pPr>
        <w:pStyle w:val="EndNoteBibliography"/>
        <w:ind w:left="720" w:hanging="720"/>
        <w:jc w:val="left"/>
        <w:rPr>
          <w:rFonts w:ascii="Times New Roman" w:hAnsi="Times New Roman" w:cs="Times New Roman"/>
          <w:noProof/>
        </w:rPr>
      </w:pPr>
      <w:r w:rsidRPr="00D77BCF">
        <w:rPr>
          <w:rFonts w:ascii="Times New Roman" w:hAnsi="Times New Roman" w:cs="Times New Roman"/>
          <w:b/>
          <w:bCs/>
          <w:sz w:val="32"/>
          <w:szCs w:val="32"/>
        </w:rPr>
        <w:fldChar w:fldCharType="begin"/>
      </w:r>
      <w:r w:rsidRPr="00D77BCF">
        <w:rPr>
          <w:rFonts w:ascii="Times New Roman" w:hAnsi="Times New Roman" w:cs="Times New Roman"/>
          <w:b/>
          <w:bCs/>
          <w:sz w:val="32"/>
          <w:szCs w:val="32"/>
        </w:rPr>
        <w:instrText xml:space="preserve"> ADDIN EN.REFLIST </w:instrText>
      </w:r>
      <w:r w:rsidRPr="00D77BCF">
        <w:rPr>
          <w:rFonts w:ascii="Times New Roman" w:hAnsi="Times New Roman" w:cs="Times New Roman"/>
          <w:b/>
          <w:bCs/>
          <w:sz w:val="32"/>
          <w:szCs w:val="32"/>
        </w:rPr>
        <w:fldChar w:fldCharType="separate"/>
      </w:r>
      <w:r w:rsidR="009F4F76" w:rsidRPr="00D77BCF">
        <w:rPr>
          <w:rFonts w:ascii="Times New Roman" w:hAnsi="Times New Roman" w:cs="Times New Roman"/>
          <w:noProof/>
        </w:rPr>
        <w:t>Desikan RS, Ségonne F, Fischl B, Quinn BT, Dickerson BC, Blacker D, Buckner RL, Dale AM, Maguire RP, Hyman BT, Albert MS, Killiany RJ (2006) An automated labeling system for subdividing the human cerebral cortex on MRI scans into gyral based regions of interest. Neuroimage 31 (3):968-980. doi:10.1016/j.neuroimage.2006.01.021</w:t>
      </w:r>
    </w:p>
    <w:p w14:paraId="1F33B117" w14:textId="77777777" w:rsidR="009F4F76" w:rsidRPr="00D77BCF" w:rsidRDefault="009F4F76" w:rsidP="00D77BCF">
      <w:pPr>
        <w:pStyle w:val="EndNoteBibliography"/>
        <w:ind w:left="720" w:hanging="720"/>
        <w:jc w:val="left"/>
        <w:rPr>
          <w:rFonts w:ascii="Times New Roman" w:hAnsi="Times New Roman" w:cs="Times New Roman"/>
          <w:noProof/>
        </w:rPr>
      </w:pPr>
      <w:r w:rsidRPr="00D77BCF">
        <w:rPr>
          <w:rFonts w:ascii="Times New Roman" w:hAnsi="Times New Roman" w:cs="Times New Roman"/>
          <w:noProof/>
        </w:rPr>
        <w:t>Yarkoni T, Poldrack RA, Nichols TE, Van Essen DC, Wager TD (2011) Large-scale automated synthesis of human functional neuroimaging data. Nat Methods 8 (8):665-670. doi:10.1038/nmeth.1635</w:t>
      </w:r>
    </w:p>
    <w:p w14:paraId="2BBB7489" w14:textId="06D7C881" w:rsidR="00141AB0" w:rsidRPr="00860FD9" w:rsidRDefault="00842377" w:rsidP="00D77BCF">
      <w:pPr>
        <w:jc w:val="left"/>
        <w:rPr>
          <w:rFonts w:ascii="Times New Roman" w:hAnsi="Times New Roman" w:cs="Times New Roman"/>
          <w:b/>
          <w:bCs/>
          <w:sz w:val="32"/>
          <w:szCs w:val="32"/>
        </w:rPr>
      </w:pPr>
      <w:r w:rsidRPr="00D77BCF">
        <w:rPr>
          <w:rFonts w:ascii="Times New Roman" w:hAnsi="Times New Roman" w:cs="Times New Roman"/>
          <w:b/>
          <w:bCs/>
          <w:sz w:val="32"/>
          <w:szCs w:val="32"/>
        </w:rPr>
        <w:fldChar w:fldCharType="end"/>
      </w:r>
    </w:p>
    <w:sectPr w:rsidR="00141AB0" w:rsidRPr="00860FD9" w:rsidSect="0011270C">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A92CC" w14:textId="77777777" w:rsidR="00D54F08" w:rsidRDefault="00D54F08" w:rsidP="007C7CB6">
      <w:r>
        <w:separator/>
      </w:r>
    </w:p>
  </w:endnote>
  <w:endnote w:type="continuationSeparator" w:id="0">
    <w:p w14:paraId="49570261" w14:textId="77777777" w:rsidR="00D54F08" w:rsidRDefault="00D54F08" w:rsidP="007C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DD4E" w14:textId="77777777" w:rsidR="00D54F08" w:rsidRDefault="00D54F08" w:rsidP="007C7CB6">
      <w:r>
        <w:separator/>
      </w:r>
    </w:p>
  </w:footnote>
  <w:footnote w:type="continuationSeparator" w:id="0">
    <w:p w14:paraId="4E644046" w14:textId="77777777" w:rsidR="00D54F08" w:rsidRDefault="00D54F08" w:rsidP="007C7C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rain Struct Funct&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0wet0a8t5ffnerfv05sap5x92a2dtzszad&quot;&gt;reference&lt;record-ids&gt;&lt;item&gt;33&lt;/item&gt;&lt;item&gt;34&lt;/item&gt;&lt;/record-ids&gt;&lt;/item&gt;&lt;/Libraries&gt;"/>
  </w:docVars>
  <w:rsids>
    <w:rsidRoot w:val="007D2279"/>
    <w:rsid w:val="00046766"/>
    <w:rsid w:val="000A0DB4"/>
    <w:rsid w:val="000A745B"/>
    <w:rsid w:val="000A7F22"/>
    <w:rsid w:val="000C6F09"/>
    <w:rsid w:val="00110EE2"/>
    <w:rsid w:val="0011270C"/>
    <w:rsid w:val="00141AB0"/>
    <w:rsid w:val="00143726"/>
    <w:rsid w:val="0014526C"/>
    <w:rsid w:val="001A4638"/>
    <w:rsid w:val="001A75E0"/>
    <w:rsid w:val="001B1EA9"/>
    <w:rsid w:val="001C017F"/>
    <w:rsid w:val="001F0BB6"/>
    <w:rsid w:val="001F3F22"/>
    <w:rsid w:val="00216267"/>
    <w:rsid w:val="00285FB1"/>
    <w:rsid w:val="00292758"/>
    <w:rsid w:val="002F7435"/>
    <w:rsid w:val="00316FE6"/>
    <w:rsid w:val="003451E7"/>
    <w:rsid w:val="0038454B"/>
    <w:rsid w:val="00397BEE"/>
    <w:rsid w:val="003D79C5"/>
    <w:rsid w:val="003E34C2"/>
    <w:rsid w:val="0043542D"/>
    <w:rsid w:val="0044734F"/>
    <w:rsid w:val="004639E2"/>
    <w:rsid w:val="0046610F"/>
    <w:rsid w:val="00492BB4"/>
    <w:rsid w:val="00522F5B"/>
    <w:rsid w:val="00536A50"/>
    <w:rsid w:val="00543222"/>
    <w:rsid w:val="0055434D"/>
    <w:rsid w:val="005A6D3D"/>
    <w:rsid w:val="005B5503"/>
    <w:rsid w:val="005F2363"/>
    <w:rsid w:val="00606A68"/>
    <w:rsid w:val="00624E1B"/>
    <w:rsid w:val="00707BC0"/>
    <w:rsid w:val="00726E47"/>
    <w:rsid w:val="007702BF"/>
    <w:rsid w:val="00770E73"/>
    <w:rsid w:val="00797DE0"/>
    <w:rsid w:val="007C07AF"/>
    <w:rsid w:val="007C7CB6"/>
    <w:rsid w:val="007D2279"/>
    <w:rsid w:val="007D4996"/>
    <w:rsid w:val="007D4D2D"/>
    <w:rsid w:val="008151EA"/>
    <w:rsid w:val="00842377"/>
    <w:rsid w:val="00860FD9"/>
    <w:rsid w:val="00867507"/>
    <w:rsid w:val="00891258"/>
    <w:rsid w:val="00892892"/>
    <w:rsid w:val="009165B1"/>
    <w:rsid w:val="00927569"/>
    <w:rsid w:val="00941890"/>
    <w:rsid w:val="00962D36"/>
    <w:rsid w:val="00967CB2"/>
    <w:rsid w:val="009F4F76"/>
    <w:rsid w:val="00A15B20"/>
    <w:rsid w:val="00A25BD2"/>
    <w:rsid w:val="00A32118"/>
    <w:rsid w:val="00A654E8"/>
    <w:rsid w:val="00A70B67"/>
    <w:rsid w:val="00A77862"/>
    <w:rsid w:val="00A86CB9"/>
    <w:rsid w:val="00A94AAA"/>
    <w:rsid w:val="00AB29E1"/>
    <w:rsid w:val="00AB6196"/>
    <w:rsid w:val="00AC5463"/>
    <w:rsid w:val="00AD513D"/>
    <w:rsid w:val="00AF0DEB"/>
    <w:rsid w:val="00B15026"/>
    <w:rsid w:val="00B34A9C"/>
    <w:rsid w:val="00B7384A"/>
    <w:rsid w:val="00B84365"/>
    <w:rsid w:val="00B85AE8"/>
    <w:rsid w:val="00BB1CF2"/>
    <w:rsid w:val="00BB750D"/>
    <w:rsid w:val="00BF2DC6"/>
    <w:rsid w:val="00BF7D98"/>
    <w:rsid w:val="00C2542A"/>
    <w:rsid w:val="00C47A15"/>
    <w:rsid w:val="00C8102E"/>
    <w:rsid w:val="00CD5049"/>
    <w:rsid w:val="00D17278"/>
    <w:rsid w:val="00D2039F"/>
    <w:rsid w:val="00D20F69"/>
    <w:rsid w:val="00D32E34"/>
    <w:rsid w:val="00D5050C"/>
    <w:rsid w:val="00D54F08"/>
    <w:rsid w:val="00D56370"/>
    <w:rsid w:val="00D62C70"/>
    <w:rsid w:val="00D736AE"/>
    <w:rsid w:val="00D77BCF"/>
    <w:rsid w:val="00D93A45"/>
    <w:rsid w:val="00DA3D62"/>
    <w:rsid w:val="00DB58DF"/>
    <w:rsid w:val="00DE76FF"/>
    <w:rsid w:val="00E21669"/>
    <w:rsid w:val="00E2404E"/>
    <w:rsid w:val="00E27C3D"/>
    <w:rsid w:val="00E31117"/>
    <w:rsid w:val="00E55125"/>
    <w:rsid w:val="00E60BC0"/>
    <w:rsid w:val="00E679AB"/>
    <w:rsid w:val="00E70669"/>
    <w:rsid w:val="00EA6540"/>
    <w:rsid w:val="00EE0F8F"/>
    <w:rsid w:val="00EF04BA"/>
    <w:rsid w:val="00EF6EFD"/>
    <w:rsid w:val="00F00A74"/>
    <w:rsid w:val="00F278A6"/>
    <w:rsid w:val="00F335BE"/>
    <w:rsid w:val="00F378CC"/>
    <w:rsid w:val="00F61E87"/>
    <w:rsid w:val="00F734F0"/>
    <w:rsid w:val="00F96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3E13E"/>
  <w15:chartTrackingRefBased/>
  <w15:docId w15:val="{DE65A853-BFBD-764E-86C2-8A7E7C9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141AB0"/>
    <w:pPr>
      <w:widowControl/>
      <w:spacing w:before="100" w:beforeAutospacing="1" w:after="100" w:afterAutospacing="1"/>
      <w:jc w:val="left"/>
    </w:pPr>
    <w:rPr>
      <w:rFonts w:ascii="宋体" w:eastAsia="宋体" w:hAnsi="宋体" w:cs="宋体"/>
      <w:kern w:val="0"/>
      <w:sz w:val="24"/>
    </w:rPr>
  </w:style>
  <w:style w:type="character" w:customStyle="1" w:styleId="a4">
    <w:name w:val="普通(网站) 字符"/>
    <w:basedOn w:val="a0"/>
    <w:link w:val="a3"/>
    <w:uiPriority w:val="99"/>
    <w:rsid w:val="00141AB0"/>
    <w:rPr>
      <w:rFonts w:ascii="宋体" w:eastAsia="宋体" w:hAnsi="宋体" w:cs="宋体"/>
      <w:kern w:val="0"/>
      <w:sz w:val="24"/>
    </w:rPr>
  </w:style>
  <w:style w:type="character" w:styleId="a5">
    <w:name w:val="annotation reference"/>
    <w:basedOn w:val="a0"/>
    <w:uiPriority w:val="99"/>
    <w:semiHidden/>
    <w:unhideWhenUsed/>
    <w:rsid w:val="005F2363"/>
    <w:rPr>
      <w:sz w:val="21"/>
      <w:szCs w:val="21"/>
    </w:rPr>
  </w:style>
  <w:style w:type="paragraph" w:styleId="a6">
    <w:name w:val="annotation text"/>
    <w:basedOn w:val="a"/>
    <w:link w:val="a7"/>
    <w:uiPriority w:val="99"/>
    <w:semiHidden/>
    <w:unhideWhenUsed/>
    <w:rsid w:val="005F2363"/>
    <w:pPr>
      <w:widowControl/>
      <w:jc w:val="left"/>
    </w:pPr>
    <w:rPr>
      <w:rFonts w:ascii="宋体" w:eastAsia="宋体" w:hAnsi="宋体" w:cs="宋体"/>
      <w:kern w:val="0"/>
      <w:sz w:val="24"/>
    </w:rPr>
  </w:style>
  <w:style w:type="character" w:customStyle="1" w:styleId="a7">
    <w:name w:val="批注文字 字符"/>
    <w:basedOn w:val="a0"/>
    <w:link w:val="a6"/>
    <w:uiPriority w:val="99"/>
    <w:semiHidden/>
    <w:rsid w:val="005F2363"/>
    <w:rPr>
      <w:rFonts w:ascii="宋体" w:eastAsia="宋体" w:hAnsi="宋体" w:cs="宋体"/>
      <w:kern w:val="0"/>
      <w:sz w:val="24"/>
    </w:rPr>
  </w:style>
  <w:style w:type="paragraph" w:styleId="a8">
    <w:name w:val="header"/>
    <w:basedOn w:val="a"/>
    <w:link w:val="a9"/>
    <w:uiPriority w:val="99"/>
    <w:unhideWhenUsed/>
    <w:rsid w:val="007C7CB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7C7CB6"/>
    <w:rPr>
      <w:sz w:val="18"/>
      <w:szCs w:val="18"/>
    </w:rPr>
  </w:style>
  <w:style w:type="paragraph" w:styleId="aa">
    <w:name w:val="footer"/>
    <w:basedOn w:val="a"/>
    <w:link w:val="ab"/>
    <w:uiPriority w:val="99"/>
    <w:unhideWhenUsed/>
    <w:rsid w:val="007C7CB6"/>
    <w:pPr>
      <w:tabs>
        <w:tab w:val="center" w:pos="4153"/>
        <w:tab w:val="right" w:pos="8306"/>
      </w:tabs>
      <w:snapToGrid w:val="0"/>
      <w:jc w:val="left"/>
    </w:pPr>
    <w:rPr>
      <w:sz w:val="18"/>
      <w:szCs w:val="18"/>
    </w:rPr>
  </w:style>
  <w:style w:type="character" w:customStyle="1" w:styleId="ab">
    <w:name w:val="页脚 字符"/>
    <w:basedOn w:val="a0"/>
    <w:link w:val="aa"/>
    <w:uiPriority w:val="99"/>
    <w:rsid w:val="007C7CB6"/>
    <w:rPr>
      <w:sz w:val="18"/>
      <w:szCs w:val="18"/>
    </w:rPr>
  </w:style>
  <w:style w:type="paragraph" w:customStyle="1" w:styleId="EndNoteBibliographyTitle">
    <w:name w:val="EndNote Bibliography Title"/>
    <w:basedOn w:val="a"/>
    <w:link w:val="EndNoteBibliographyTitle0"/>
    <w:rsid w:val="00842377"/>
    <w:pPr>
      <w:jc w:val="center"/>
    </w:pPr>
    <w:rPr>
      <w:rFonts w:ascii="DengXian" w:eastAsia="DengXian" w:hAnsi="DengXian"/>
      <w:sz w:val="20"/>
    </w:rPr>
  </w:style>
  <w:style w:type="character" w:customStyle="1" w:styleId="EndNoteBibliographyTitle0">
    <w:name w:val="EndNote Bibliography Title 字符"/>
    <w:basedOn w:val="a4"/>
    <w:link w:val="EndNoteBibliographyTitle"/>
    <w:rsid w:val="00842377"/>
    <w:rPr>
      <w:rFonts w:ascii="DengXian" w:eastAsia="DengXian" w:hAnsi="DengXian" w:cs="宋体"/>
      <w:kern w:val="0"/>
      <w:sz w:val="20"/>
    </w:rPr>
  </w:style>
  <w:style w:type="paragraph" w:customStyle="1" w:styleId="EndNoteBibliography">
    <w:name w:val="EndNote Bibliography"/>
    <w:basedOn w:val="a"/>
    <w:link w:val="EndNoteBibliography0"/>
    <w:rsid w:val="00842377"/>
    <w:pPr>
      <w:jc w:val="center"/>
    </w:pPr>
    <w:rPr>
      <w:rFonts w:ascii="DengXian" w:eastAsia="DengXian" w:hAnsi="DengXian"/>
      <w:sz w:val="20"/>
    </w:rPr>
  </w:style>
  <w:style w:type="character" w:customStyle="1" w:styleId="EndNoteBibliography0">
    <w:name w:val="EndNote Bibliography 字符"/>
    <w:basedOn w:val="a4"/>
    <w:link w:val="EndNoteBibliography"/>
    <w:rsid w:val="00842377"/>
    <w:rPr>
      <w:rFonts w:ascii="DengXian" w:eastAsia="DengXian" w:hAnsi="DengXian" w:cs="宋体"/>
      <w:kern w:val="0"/>
      <w:sz w:val="20"/>
    </w:rPr>
  </w:style>
  <w:style w:type="paragraph" w:styleId="ac">
    <w:name w:val="annotation subject"/>
    <w:basedOn w:val="a6"/>
    <w:next w:val="a6"/>
    <w:link w:val="ad"/>
    <w:uiPriority w:val="99"/>
    <w:semiHidden/>
    <w:unhideWhenUsed/>
    <w:rsid w:val="00707BC0"/>
    <w:pPr>
      <w:widowControl w:val="0"/>
    </w:pPr>
    <w:rPr>
      <w:rFonts w:asciiTheme="minorHAnsi" w:eastAsiaTheme="minorEastAsia" w:hAnsiTheme="minorHAnsi" w:cstheme="minorBidi"/>
      <w:b/>
      <w:bCs/>
      <w:kern w:val="2"/>
      <w:sz w:val="21"/>
    </w:rPr>
  </w:style>
  <w:style w:type="character" w:customStyle="1" w:styleId="ad">
    <w:name w:val="批注主题 字符"/>
    <w:basedOn w:val="a7"/>
    <w:link w:val="ac"/>
    <w:uiPriority w:val="99"/>
    <w:semiHidden/>
    <w:rsid w:val="00707BC0"/>
    <w:rPr>
      <w:rFonts w:ascii="宋体" w:eastAsia="宋体" w:hAnsi="宋体" w:cs="宋体"/>
      <w:b/>
      <w:bCs/>
      <w:kern w:val="0"/>
      <w:sz w:val="24"/>
    </w:rPr>
  </w:style>
  <w:style w:type="paragraph" w:styleId="ae">
    <w:name w:val="Revision"/>
    <w:hidden/>
    <w:uiPriority w:val="99"/>
    <w:semiHidden/>
    <w:rsid w:val="00A32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81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1727</Words>
  <Characters>9845</Characters>
  <Application>Microsoft Office Word</Application>
  <DocSecurity>0</DocSecurity>
  <Lines>82</Lines>
  <Paragraphs>23</Paragraphs>
  <ScaleCrop>false</ScaleCrop>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臧 仲尧</dc:creator>
  <cp:keywords/>
  <dc:description/>
  <cp:lastModifiedBy>kzhou@bnu.edu.cn</cp:lastModifiedBy>
  <cp:revision>2</cp:revision>
  <dcterms:created xsi:type="dcterms:W3CDTF">2023-08-11T17:22:00Z</dcterms:created>
  <dcterms:modified xsi:type="dcterms:W3CDTF">2023-08-11T17:22:00Z</dcterms:modified>
</cp:coreProperties>
</file>