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contextualSpacing/>
        <w:outlineLvl w:val="0"/>
        <w:rPr>
          <w:rStyle w:val="7"/>
          <w:rFonts w:ascii="Times New Roman" w:hAnsi="Times New Roman" w:cs="Times New Roman"/>
          <w:b/>
          <w:bCs/>
          <w:color w:val="101214"/>
          <w:sz w:val="36"/>
          <w:szCs w:val="36"/>
          <w:shd w:val="clear" w:color="auto" w:fill="FFFFFF"/>
        </w:rPr>
      </w:pPr>
      <w:r>
        <w:rPr>
          <w:rStyle w:val="7"/>
          <w:rFonts w:ascii="Times New Roman" w:hAnsi="Times New Roman" w:cs="Times New Roman"/>
          <w:b/>
          <w:bCs/>
          <w:color w:val="101214"/>
          <w:sz w:val="36"/>
          <w:szCs w:val="36"/>
          <w:shd w:val="clear" w:color="auto" w:fill="FFFFFF"/>
        </w:rPr>
        <w:t>Supplementary Materials</w:t>
      </w:r>
    </w:p>
    <w:p>
      <w:pPr>
        <w:adjustRightInd w:val="0"/>
        <w:spacing w:line="360" w:lineRule="auto"/>
        <w:contextualSpacing/>
        <w:outlineLvl w:val="0"/>
        <w:rPr>
          <w:rStyle w:val="7"/>
          <w:rFonts w:ascii="Times New Roman" w:hAnsi="Times New Roman" w:cs="Times New Roman"/>
          <w:b/>
          <w:bCs/>
          <w:color w:val="101214"/>
          <w:sz w:val="36"/>
          <w:szCs w:val="36"/>
          <w:shd w:val="clear" w:color="auto" w:fill="FFFFFF"/>
        </w:rPr>
      </w:pPr>
    </w:p>
    <w:p>
      <w:pPr>
        <w:adjustRightInd w:val="0"/>
        <w:spacing w:before="156" w:beforeLines="50" w:line="360" w:lineRule="auto"/>
        <w:contextualSpacing/>
        <w:rPr>
          <w:rFonts w:ascii="Arial" w:hAnsi="Arial" w:eastAsia="等线" w:cs="Arial"/>
          <w:color w:val="2E2E2E"/>
          <w:sz w:val="24"/>
        </w:rPr>
      </w:pPr>
      <w:r>
        <w:rPr>
          <w:rFonts w:ascii="Arial" w:hAnsi="Arial" w:eastAsia="等线" w:cs="Arial"/>
          <w:color w:val="2E2E2E"/>
          <w:sz w:val="24"/>
        </w:rPr>
        <w:drawing>
          <wp:inline distT="0" distB="0" distL="114300" distR="114300">
            <wp:extent cx="5269230" cy="1677670"/>
            <wp:effectExtent l="0" t="0" r="7620" b="8255"/>
            <wp:docPr id="4" name="图片 4" descr="1686658533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866585338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67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Figure S1. Extent and methods of soft tissue thickness measurement. The orange quadrangle shows the position and extent of the soft tissue acquired for measurement.</w:t>
      </w:r>
      <w:r>
        <w:rPr>
          <w:rFonts w:ascii="Times New Roman" w:hAnsi="Times New Roman" w:cs="Times New Roman"/>
        </w:rPr>
        <w:t xml:space="preserve"> The blue dash line is </w:t>
      </w:r>
      <w:r>
        <w:rPr>
          <w:rFonts w:ascii="Times New Roman" w:hAnsi="Times New Roman" w:cs="Times New Roman"/>
          <w:szCs w:val="21"/>
        </w:rPr>
        <w:t>dentition extension line</w:t>
      </w:r>
    </w:p>
    <w:p>
      <w:pPr>
        <w:adjustRightInd w:val="0"/>
        <w:spacing w:line="360" w:lineRule="auto"/>
        <w:contextualSpacing/>
        <w:outlineLvl w:val="0"/>
        <w:rPr>
          <w:rStyle w:val="7"/>
          <w:rFonts w:ascii="Arial" w:hAnsi="Arial" w:cs="Arial"/>
          <w:color w:val="101214"/>
          <w:szCs w:val="21"/>
          <w:shd w:val="clear" w:color="auto" w:fill="FFFFFF"/>
        </w:rPr>
      </w:pPr>
    </w:p>
    <w:p>
      <w:pPr>
        <w:adjustRightInd w:val="0"/>
        <w:spacing w:before="156" w:beforeLines="50" w:line="360" w:lineRule="auto"/>
        <w:contextualSpacing/>
        <w:rPr>
          <w:rFonts w:ascii="Arial" w:hAnsi="Arial" w:eastAsia="等线" w:cs="Arial"/>
          <w:color w:val="2E2E2E"/>
          <w:sz w:val="24"/>
        </w:rPr>
      </w:pPr>
      <w:r>
        <w:rPr>
          <w:rFonts w:ascii="Arial" w:hAnsi="Arial" w:eastAsia="等线" w:cs="Arial"/>
          <w:color w:val="2E2E2E"/>
          <w:sz w:val="24"/>
        </w:rPr>
        <w:drawing>
          <wp:inline distT="0" distB="0" distL="114300" distR="114300">
            <wp:extent cx="4996180" cy="2091055"/>
            <wp:effectExtent l="0" t="0" r="4445" b="4445"/>
            <wp:docPr id="5" name="图片 5" descr="1686658617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8665861714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6180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before="156" w:beforeLines="50" w:line="360" w:lineRule="auto"/>
        <w:contextualSpacing/>
        <w:rPr>
          <w:rStyle w:val="7"/>
          <w:rFonts w:ascii="Times New Roman" w:hAnsi="Times New Roman" w:cs="Times New Roman"/>
          <w:color w:val="101214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Figure S2. 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The graph depicts the reference lines used to measure bone levels at implants. </w:t>
      </w: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>a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, coronal aspect of the implant head;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b</w:t>
      </w:r>
      <w:r>
        <w:rPr>
          <w:rFonts w:ascii="Times New Roman" w:hAnsi="Times New Roman" w:eastAsia="AdvTrumpM-R" w:cs="Times New Roman"/>
          <w:i/>
          <w:iCs/>
          <w:color w:val="231F20"/>
          <w:kern w:val="0"/>
          <w:szCs w:val="21"/>
          <w:lang w:bidi="ar"/>
        </w:rPr>
        <w:t>,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 most apical aspect of the implant tip;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c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, most coronal point of bone-implant contact;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d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, distance between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a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 and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b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; and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e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, distance between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a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 and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c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>. The bone height was calculated using the following formula: 3.8 mm (length of the implant)/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d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 × </w:t>
      </w:r>
      <w:r>
        <w:rPr>
          <w:rFonts w:ascii="Times New Roman" w:hAnsi="Times New Roman" w:eastAsia="宋体" w:cs="Times New Roman"/>
          <w:i/>
          <w:iCs/>
          <w:color w:val="231F20"/>
          <w:kern w:val="0"/>
          <w:szCs w:val="21"/>
          <w:lang w:bidi="ar"/>
        </w:rPr>
        <w:t>e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 xml:space="preserve">; </w:t>
      </w:r>
      <w:r>
        <w:rPr>
          <w:rFonts w:ascii="Times New Roman" w:hAnsi="Times New Roman" w:eastAsia="AdvTrumpM-R" w:cs="Times New Roman"/>
          <w:color w:val="231F20"/>
          <w:kern w:val="0"/>
          <w:szCs w:val="21"/>
        </w:rPr>
        <w:t xml:space="preserve">For each implant, buccal, palatal, mesial, and distal bone levels were measured (average of </w:t>
      </w:r>
      <w:r>
        <w:rPr>
          <w:rFonts w:ascii="Times New Roman" w:hAnsi="Times New Roman" w:eastAsia="AdvTrumpM-R" w:cs="Times New Roman"/>
          <w:color w:val="231F20"/>
          <w:kern w:val="0"/>
          <w:szCs w:val="21"/>
          <w:lang w:bidi="ar"/>
        </w:rPr>
        <w:t>three technical replicates).</w:t>
      </w:r>
    </w:p>
    <w:p>
      <w:pPr>
        <w:adjustRightInd w:val="0"/>
        <w:spacing w:line="360" w:lineRule="auto"/>
        <w:contextualSpacing/>
        <w:outlineLvl w:val="0"/>
        <w:rPr>
          <w:rStyle w:val="7"/>
          <w:rFonts w:ascii="Arial" w:hAnsi="Arial" w:cs="Arial"/>
          <w:color w:val="101214"/>
          <w:szCs w:val="21"/>
          <w:shd w:val="clear" w:color="auto" w:fill="FFFFFF"/>
        </w:rPr>
      </w:pPr>
      <w:r>
        <w:rPr>
          <w:rStyle w:val="7"/>
          <w:rFonts w:ascii="Arial" w:hAnsi="Arial" w:cs="Arial"/>
          <w:color w:val="101214"/>
          <w:szCs w:val="21"/>
          <w:shd w:val="clear" w:color="auto" w:fill="FFFFFF"/>
        </w:rPr>
        <w:drawing>
          <wp:inline distT="0" distB="0" distL="114300" distR="114300">
            <wp:extent cx="5272405" cy="5876290"/>
            <wp:effectExtent l="0" t="0" r="4445" b="635"/>
            <wp:docPr id="11" name="图片 11" descr="1686659346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866593467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87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Figure S3. EDS mapping of implant sandblasting surface. EDS mapping showed that Al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particles used in sandblasting were embedded on the surface of the implant, and white arrow indicate the Al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particles remaining on the surface of the implant resulted in the locally high Al and O element contents.</w:t>
      </w:r>
    </w:p>
    <w:p>
      <w:pPr>
        <w:adjustRightInd w:val="0"/>
        <w:spacing w:line="360" w:lineRule="auto"/>
        <w:contextualSpacing/>
        <w:outlineLvl w:val="0"/>
        <w:rPr>
          <w:rStyle w:val="7"/>
          <w:rFonts w:ascii="Arial" w:hAnsi="Arial" w:cs="Arial"/>
          <w:color w:val="101214"/>
          <w:szCs w:val="21"/>
          <w:shd w:val="clear" w:color="auto" w:fill="FFFFFF"/>
        </w:rPr>
      </w:pPr>
      <w:r>
        <w:rPr>
          <w:rStyle w:val="7"/>
          <w:rFonts w:ascii="Arial" w:hAnsi="Arial" w:cs="Arial"/>
          <w:color w:val="101214"/>
          <w:szCs w:val="21"/>
          <w:shd w:val="clear" w:color="auto" w:fill="FFFFFF"/>
        </w:rPr>
        <w:drawing>
          <wp:inline distT="0" distB="0" distL="114300" distR="114300">
            <wp:extent cx="5270500" cy="2868295"/>
            <wp:effectExtent l="0" t="0" r="6350" b="8255"/>
            <wp:docPr id="12" name="图片 12" descr="168665938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866593877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Figure S4. Instruments and drugs required for implant surgery.</w:t>
      </w:r>
    </w:p>
    <w:p>
      <w:pPr>
        <w:spacing w:line="360" w:lineRule="auto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Style w:val="7"/>
          <w:rFonts w:ascii="Arial" w:hAnsi="Arial" w:cs="Arial"/>
          <w:color w:val="101214"/>
          <w:szCs w:val="21"/>
          <w:shd w:val="clear" w:color="auto" w:fill="FFFFFF"/>
        </w:rPr>
      </w:pPr>
      <w:r>
        <w:rPr>
          <w:rStyle w:val="7"/>
          <w:rFonts w:ascii="Arial" w:hAnsi="Arial" w:cs="Arial"/>
          <w:color w:val="101214"/>
          <w:szCs w:val="21"/>
          <w:shd w:val="clear" w:color="auto" w:fill="FFFFFF"/>
        </w:rPr>
        <w:drawing>
          <wp:inline distT="0" distB="0" distL="114300" distR="114300">
            <wp:extent cx="5270500" cy="2518410"/>
            <wp:effectExtent l="0" t="0" r="6350" b="5715"/>
            <wp:docPr id="13" name="图片 13" descr="1686659487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8665948743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1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contextualSpacing/>
        <w:outlineLvl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S5. Vascular perfusion results in the maxillary region. B, C, D, and E are the pictures respectively observed from various direction showed in A. The vessel are marked in red. There is a large vessel shown on the buccal side of the alveolar ridge in pre-molar region (yellow arrow), and there are vessels on the superficial of palatal cleft (green arrow). </w:t>
      </w: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drawing>
          <wp:inline distT="0" distB="0" distL="114300" distR="114300">
            <wp:extent cx="5269230" cy="1710055"/>
            <wp:effectExtent l="0" t="0" r="7620" b="4445"/>
            <wp:docPr id="14" name="图片 14" descr="1686659555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866595559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等线" w:cs="Times New Roman"/>
          <w:szCs w:val="21"/>
        </w:rPr>
      </w:pPr>
      <w:r>
        <w:rPr>
          <w:rFonts w:ascii="Times New Roman" w:hAnsi="Times New Roman" w:cs="Times New Roman"/>
          <w:szCs w:val="21"/>
        </w:rPr>
        <w:t>Figure S6. The position of incision and implant region. (A) The position of incision. T</w:t>
      </w:r>
      <w:r>
        <w:rPr>
          <w:rFonts w:ascii="Times New Roman" w:hAnsi="Times New Roman" w:eastAsia="等线" w:cs="Times New Roman"/>
          <w:color w:val="2E2E2E"/>
          <w:szCs w:val="21"/>
        </w:rPr>
        <w:t>he starting point of the incision is 2 mm mesial to the gingival entry point of the first molar and slightly palatal to the extension line of the dentition.</w:t>
      </w:r>
      <w:r>
        <w:rPr>
          <w:rFonts w:ascii="Times New Roman" w:hAnsi="Times New Roman" w:cs="Times New Roman"/>
          <w:szCs w:val="21"/>
        </w:rPr>
        <w:t xml:space="preserve"> Yellow zone: the ideal incision position; black dotted line: the maxillary midline; black dotted circle: palatal cleft, the blue dotted line: the alveolar ridge; the yellow dotted line: the dentition extended line; GEP: gingival entry plane; </w:t>
      </w:r>
      <w:r>
        <w:rPr>
          <w:rFonts w:ascii="Times New Roman" w:hAnsi="Times New Roman" w:cs="Times New Roman"/>
          <w:color w:val="2E2E2E"/>
          <w:szCs w:val="21"/>
        </w:rPr>
        <w:t xml:space="preserve">BSP: bone suture plane; </w:t>
      </w:r>
      <w:r>
        <w:rPr>
          <w:rFonts w:ascii="Times New Roman" w:hAnsi="Times New Roman" w:cs="Times New Roman"/>
          <w:szCs w:val="21"/>
        </w:rPr>
        <w:t>red zone: the buccal and palatal vessels. (B) The position of implant region. Green zone: the ideal implant region; R</w:t>
      </w:r>
      <w:r>
        <w:rPr>
          <w:rFonts w:ascii="Times New Roman" w:hAnsi="Times New Roman" w:cs="Times New Roman"/>
          <w:color w:val="2E2E2E"/>
          <w:szCs w:val="21"/>
        </w:rPr>
        <w:t xml:space="preserve">ed arrow: bone suture; </w:t>
      </w:r>
      <w:r>
        <w:rPr>
          <w:rFonts w:ascii="Times New Roman" w:hAnsi="Times New Roman" w:cs="Times New Roman"/>
          <w:szCs w:val="21"/>
        </w:rPr>
        <w:t xml:space="preserve">D1 = 2mm, </w:t>
      </w:r>
      <w:r>
        <w:rPr>
          <w:rFonts w:ascii="Times New Roman" w:hAnsi="Times New Roman" w:eastAsia="等线" w:cs="Times New Roman"/>
          <w:color w:val="2E2E2E"/>
          <w:szCs w:val="21"/>
        </w:rPr>
        <w:t>a certain distance reserved for the subgingival mesial root</w:t>
      </w:r>
      <w:r>
        <w:rPr>
          <w:rFonts w:ascii="Times New Roman" w:hAnsi="Times New Roman" w:eastAsia="等线" w:cs="Times New Roman"/>
          <w:szCs w:val="21"/>
        </w:rPr>
        <w:t>; D2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eastAsia="等线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eastAsia="等线" w:cs="Times New Roman"/>
          <w:szCs w:val="21"/>
        </w:rPr>
        <w:t>6mm to avoid bone suture</w:t>
      </w:r>
      <w:r>
        <w:rPr>
          <w:rFonts w:ascii="Times New Roman" w:hAnsi="Times New Roman" w:cs="Times New Roman"/>
          <w:szCs w:val="21"/>
        </w:rPr>
        <w:t>.</w:t>
      </w: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drawing>
          <wp:inline distT="0" distB="0" distL="114300" distR="114300">
            <wp:extent cx="5273040" cy="1175385"/>
            <wp:effectExtent l="0" t="0" r="3810" b="5715"/>
            <wp:docPr id="15" name="图片 15" descr="168665958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8665958002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7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contextualSpacing/>
        <w:outlineLvl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S7. The positional relationship between the implant and the bone surface after implantation (palatal, mesial and buccal perspective from A to C). </w:t>
      </w: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drawing>
          <wp:inline distT="0" distB="0" distL="114300" distR="114300">
            <wp:extent cx="5268595" cy="3493770"/>
            <wp:effectExtent l="0" t="0" r="8255" b="1905"/>
            <wp:docPr id="16" name="图片 16" descr="1686659638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68665963846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Figure S8. Immediate post-operative picture of implant. The transgingival segment allows the ligation groove to expose just above the soft tissue.</w:t>
      </w:r>
    </w:p>
    <w:p>
      <w:pPr>
        <w:spacing w:line="360" w:lineRule="auto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drawing>
          <wp:inline distT="0" distB="0" distL="114300" distR="114300">
            <wp:extent cx="5268595" cy="2545080"/>
            <wp:effectExtent l="0" t="0" r="8255" b="7620"/>
            <wp:docPr id="18" name="图片 18" descr="1686659674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8665967490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Figure S9. The entire model establishment process.</w:t>
      </w: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drawing>
          <wp:inline distT="0" distB="0" distL="114300" distR="114300">
            <wp:extent cx="5250180" cy="3699510"/>
            <wp:effectExtent l="0" t="0" r="7620" b="5715"/>
            <wp:docPr id="19" name="图片 19" descr="1686659699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68665969928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369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contextualSpacing/>
        <w:outlineLvl w:val="0"/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</w:pPr>
      <w:r>
        <w:rPr>
          <w:rFonts w:ascii="Times New Roman" w:hAnsi="Times New Roman" w:eastAsia="宋体" w:cs="Times New Roman"/>
          <w:color w:val="231F20"/>
          <w:kern w:val="0"/>
          <w:szCs w:val="21"/>
          <w:lang w:bidi="ar"/>
        </w:rPr>
        <w:t xml:space="preserve">Figure S10. </w:t>
      </w:r>
      <w:r>
        <w:rPr>
          <w:rFonts w:ascii="Times New Roman" w:hAnsi="Times New Roman" w:eastAsia="微软雅黑" w:cs="Times New Roman"/>
          <w:szCs w:val="21"/>
          <w:shd w:val="clear" w:color="auto" w:fill="FCFDFE"/>
        </w:rPr>
        <w:t>Representative h</w:t>
      </w:r>
      <w:r>
        <w:rPr>
          <w:rFonts w:ascii="Times New Roman" w:hAnsi="Times New Roman" w:cs="Times New Roman"/>
          <w:color w:val="2E2E2E"/>
          <w:szCs w:val="21"/>
        </w:rPr>
        <w:t>istological image of H&amp;E</w:t>
      </w:r>
      <w:r>
        <w:rPr>
          <w:rFonts w:ascii="Times New Roman" w:hAnsi="Times New Roman" w:eastAsia="微软雅黑" w:cs="Times New Roman"/>
          <w:szCs w:val="21"/>
          <w:shd w:val="clear" w:color="auto" w:fill="FCFDFE"/>
        </w:rPr>
        <w:t xml:space="preserve"> staining from buccopawlatal direction.</w:t>
      </w: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Table S1. The primers used for quantitative PCR. 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5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Gene</w:t>
            </w:r>
          </w:p>
        </w:tc>
        <w:tc>
          <w:tcPr>
            <w:tcW w:w="5475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  <w:tcBorders>
              <w:top w:val="single" w:color="auto" w:sz="6" w:space="0"/>
            </w:tcBorders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GAPDH</w:t>
            </w:r>
          </w:p>
        </w:tc>
        <w:tc>
          <w:tcPr>
            <w:tcW w:w="5475" w:type="dxa"/>
            <w:tcBorders>
              <w:top w:val="single" w:color="auto" w:sz="6" w:space="0"/>
            </w:tcBorders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Forward 5’-ACTCCACGACGTACTCAGCG-3’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</w:tcPr>
          <w:p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475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Reverse 5’-GGTCGGAGTCAACGGATTTG-3’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IL-1β</w:t>
            </w:r>
          </w:p>
        </w:tc>
        <w:tc>
          <w:tcPr>
            <w:tcW w:w="5475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Forward 5’-TCTGTGACTCGTGGGATGAT-3’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</w:tcPr>
          <w:p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475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Reverse 5’-CTTCTTTGGGTATTGTTTGG-3’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IL-18</w:t>
            </w:r>
          </w:p>
        </w:tc>
        <w:tc>
          <w:tcPr>
            <w:tcW w:w="5475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Forward 5’-CAACCGCAGTAATACGGAGC-3’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</w:tcPr>
          <w:p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475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Reverse 5’-TCTGGTCTGGGATTCGTTGG-3’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427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IL-6</w:t>
            </w:r>
          </w:p>
        </w:tc>
        <w:tc>
          <w:tcPr>
            <w:tcW w:w="5475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Forward 5’-ACAGTGCATCATCGCTGTTC-3’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</w:tcPr>
          <w:p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475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Reverse 5’-CCGGAGAGGAGACTTCACAG-3’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427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TNF-α</w:t>
            </w:r>
          </w:p>
        </w:tc>
        <w:tc>
          <w:tcPr>
            <w:tcW w:w="5475" w:type="dxa"/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Forward 5’-GGATCTCAAAGACAACCAAC-3’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27" w:type="dxa"/>
            <w:tcBorders>
              <w:bottom w:val="single" w:color="auto" w:sz="6" w:space="0"/>
            </w:tcBorders>
          </w:tcPr>
          <w:p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475" w:type="dxa"/>
            <w:tcBorders>
              <w:bottom w:val="single" w:color="auto" w:sz="6" w:space="0"/>
            </w:tcBorders>
          </w:tcPr>
          <w:p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Reverse 5’-ACAGAGCAATGACTCCAAAG-3’</w:t>
            </w:r>
          </w:p>
        </w:tc>
      </w:tr>
    </w:tbl>
    <w:p>
      <w:pPr>
        <w:rPr>
          <w:rFonts w:ascii="Arial" w:hAnsi="Arial" w:cs="Arial"/>
          <w:sz w:val="22"/>
        </w:rPr>
      </w:pPr>
    </w:p>
    <w:p>
      <w:pPr>
        <w:rPr>
          <w:rFonts w:ascii="Arial" w:hAnsi="Arial" w:cs="Arial"/>
          <w:sz w:val="22"/>
        </w:rPr>
      </w:pPr>
    </w:p>
    <w:p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 xml:space="preserve">Table S2. </w:t>
      </w:r>
      <w:r>
        <w:rPr>
          <w:rFonts w:ascii="Arial" w:hAnsi="Arial" w:cs="Arial"/>
          <w:sz w:val="22"/>
          <w:szCs w:val="22"/>
        </w:rPr>
        <w:t xml:space="preserve">Instruments and drugs required for implant surgery. </w:t>
      </w:r>
    </w:p>
    <w:tbl>
      <w:tblPr>
        <w:tblStyle w:val="4"/>
        <w:tblpPr w:leftFromText="180" w:rightFromText="180" w:vertAnchor="text" w:horzAnchor="page" w:tblpX="929" w:tblpY="306"/>
        <w:tblOverlap w:val="never"/>
        <w:tblW w:w="10520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0"/>
        <w:gridCol w:w="3406"/>
        <w:gridCol w:w="43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Tool name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Vendor (catalog number)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Purpose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Mouth opener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BIOFIVEN (HH04038)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Keep mouth open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Retractor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Kangqiao (E3)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Expose the surgical field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Tweezers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Kangqiao 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Expose the surgical field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Knife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Zhuoyouyue (NO. 3)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Cut the mucosa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Periosteal separator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Weirong (6#)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Detach the mucoperiosteal flap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Surgical light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Boruida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Make a bright field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Operating table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Boruida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Fix the rat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OLE_LINK57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Adrenaline</w:t>
            </w:r>
            <w:bookmarkEnd w:id="0"/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Quanyu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Topical Vasoconstrictors </w:t>
            </w: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1:10,000 U/ml)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Atropine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Quanyu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2E2E2E"/>
                <w:sz w:val="22"/>
                <w:szCs w:val="22"/>
              </w:rPr>
              <w:t>Inhibit salivary secretion（0.01ml/kg）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Cotton ball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Winner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Wipe away blood and saline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Periodontal probe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Shiying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Measure distance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Ball drill (Φ=0.5mm)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KOMET (F1)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Make a positioning hole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Drill (Φ=0.5/0.7/0.85mm)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UNION TOOL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Prepare the implant hole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Power system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Shixin (204)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Prepare the implant hole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Irrigator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Kangdelai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Cooling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Pre-cooled normal saline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Kelun 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Cooling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Screwdriver 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YUPEI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Screw in the implant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2810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Micro tweezers</w:t>
            </w:r>
          </w:p>
        </w:tc>
        <w:tc>
          <w:tcPr>
            <w:tcW w:w="3406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Kewuo </w:t>
            </w:r>
          </w:p>
        </w:tc>
        <w:tc>
          <w:tcPr>
            <w:tcW w:w="4304" w:type="dxa"/>
            <w:tcBorders>
              <w:top w:val="single" w:color="080000" w:sz="2" w:space="0"/>
              <w:bottom w:val="single" w:color="08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Fix the implant when screw into hole</w:t>
            </w:r>
          </w:p>
        </w:tc>
      </w:tr>
    </w:tbl>
    <w:p>
      <w:pPr>
        <w:adjustRightInd w:val="0"/>
        <w:spacing w:line="360" w:lineRule="auto"/>
        <w:contextualSpacing/>
        <w:outlineLvl w:val="0"/>
        <w:rPr>
          <w:rFonts w:ascii="Arial" w:hAnsi="Arial" w:cs="Arial"/>
          <w:szCs w:val="21"/>
        </w:rPr>
      </w:pPr>
    </w:p>
    <w:p>
      <w:bookmarkStart w:id="1" w:name="_GoBack"/>
      <w:bookmarkEnd w:id="1"/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TrumpM-R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NTRkODU4Mzc2YjVhMzdlN2ZiN2EyZjE2YWUxN2EifQ=="/>
  </w:docVars>
  <w:rsids>
    <w:rsidRoot w:val="07BA2234"/>
    <w:rsid w:val="07BA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tg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2023-08-10T15:16:00Z</dcterms:created>
  <dc:creator>_DSD</dc:creator>
  <cp:lastModifiedBy>_DSD</cp:lastModifiedBy>
  <dcterms:modified xsi:type="dcterms:W3CDTF">2023-08-10T15:17:26Z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52748DF611A047A3BEDA5D9B89B99DBA_11</vt:lpwstr>
  </property>
</Properties>
</file>